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3.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4.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5.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6.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3.xml" ContentType="application/vnd.openxmlformats-officedocument.wordprocessingml.header+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7.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8.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9.xml" ContentType="application/vnd.openxmlformats-officedocument.drawingml.chartshapes+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0.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1.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5.xml" ContentType="application/vnd.openxmlformats-officedocument.wordprocessingml.header+xml"/>
  <Override PartName="/word/charts/chart25.xml" ContentType="application/vnd.openxmlformats-officedocument.drawingml.chart+xml"/>
  <Override PartName="/word/drawings/drawing12.xml" ContentType="application/vnd.openxmlformats-officedocument.drawingml.chartshapes+xml"/>
  <Override PartName="/word/charts/chart26.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577E" w14:textId="70CA2538" w:rsidR="00ED698D" w:rsidRPr="001A2D42" w:rsidRDefault="00ED698D" w:rsidP="003B32F9">
      <w:pPr>
        <w:pStyle w:val="DivisionName"/>
        <w:spacing w:before="4000"/>
      </w:pPr>
      <w:r w:rsidRPr="001A2D42">
        <w:rPr>
          <w:noProof/>
          <w:lang w:bidi="es-419"/>
        </w:rPr>
        <w:drawing>
          <wp:anchor distT="0" distB="0" distL="114300" distR="114300" simplePos="0" relativeHeight="251658240" behindDoc="0" locked="0" layoutInCell="1" allowOverlap="1" wp14:anchorId="0E0F2877" wp14:editId="04E3714C">
            <wp:simplePos x="0" y="0"/>
            <wp:positionH relativeFrom="column">
              <wp:posOffset>4114800</wp:posOffset>
            </wp:positionH>
            <wp:positionV relativeFrom="margin">
              <wp:posOffset>2387792</wp:posOffset>
            </wp:positionV>
            <wp:extent cx="2081354" cy="927748"/>
            <wp:effectExtent l="0" t="0" r="0" b="571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081354" cy="927748"/>
                    </a:xfrm>
                    <a:prstGeom prst="rect">
                      <a:avLst/>
                    </a:prstGeom>
                  </pic:spPr>
                </pic:pic>
              </a:graphicData>
            </a:graphic>
            <wp14:sizeRelH relativeFrom="margin">
              <wp14:pctWidth>0</wp14:pctWidth>
            </wp14:sizeRelH>
            <wp14:sizeRelV relativeFrom="margin">
              <wp14:pctHeight>0</wp14:pctHeight>
            </wp14:sizeRelV>
          </wp:anchor>
        </w:drawing>
      </w:r>
      <w:r w:rsidRPr="001A2D42">
        <w:rPr>
          <w:lang w:bidi="es-419"/>
        </w:rPr>
        <w:t>División de Políticas de Salud y Análisis</w:t>
      </w:r>
    </w:p>
    <w:p w14:paraId="28544874" w14:textId="77777777" w:rsidR="00ED698D" w:rsidRPr="001A2D42" w:rsidRDefault="00ED698D" w:rsidP="003B32F9">
      <w:pPr>
        <w:pStyle w:val="ProgramName"/>
        <w:ind w:right="72"/>
        <w:rPr>
          <w:b/>
          <w:bCs/>
        </w:rPr>
      </w:pPr>
      <w:r w:rsidRPr="001A2D42">
        <w:rPr>
          <w:b/>
          <w:lang w:bidi="es-419"/>
        </w:rPr>
        <w:t>Programa de Incentivos de Calidad de las CCO</w:t>
      </w:r>
    </w:p>
    <w:p w14:paraId="223FCAC0" w14:textId="77777777" w:rsidR="008F4FBD" w:rsidRPr="001A2D42" w:rsidRDefault="00ED698D" w:rsidP="003B32F9">
      <w:pPr>
        <w:spacing w:before="240" w:line="240" w:lineRule="auto"/>
        <w:rPr>
          <w:b/>
          <w:bCs/>
          <w:color w:val="004982"/>
          <w:sz w:val="72"/>
          <w:szCs w:val="72"/>
        </w:rPr>
        <w:sectPr w:rsidR="008F4FBD" w:rsidRPr="001A2D42" w:rsidSect="00CD7CAC">
          <w:footerReference w:type="default" r:id="rId12"/>
          <w:footerReference w:type="first" r:id="rId13"/>
          <w:footnotePr>
            <w:numFmt w:val="lowerLetter"/>
          </w:footnotePr>
          <w:pgSz w:w="12240" w:h="15840"/>
          <w:pgMar w:top="1440" w:right="1440" w:bottom="1440" w:left="1440" w:header="720" w:footer="720" w:gutter="0"/>
          <w:pgNumType w:fmt="lowerRoman" w:start="1"/>
          <w:cols w:space="720"/>
          <w:titlePg/>
          <w:docGrid w:linePitch="360"/>
        </w:sectPr>
      </w:pPr>
      <w:r w:rsidRPr="001A2D42">
        <w:rPr>
          <w:b/>
          <w:color w:val="004982"/>
          <w:sz w:val="72"/>
          <w:szCs w:val="72"/>
          <w:lang w:bidi="es-419"/>
        </w:rPr>
        <w:t>Informe Final de Indicadores de las CCO 2025</w:t>
      </w:r>
    </w:p>
    <w:p w14:paraId="2CA2C519" w14:textId="260AF236" w:rsidR="006E0242" w:rsidRPr="001A2D42" w:rsidRDefault="006E0242" w:rsidP="003B32F9">
      <w:pPr>
        <w:pStyle w:val="Heading1"/>
        <w:spacing w:line="240" w:lineRule="auto"/>
        <w:rPr>
          <w:rStyle w:val="Heading1Char"/>
        </w:rPr>
      </w:pPr>
      <w:bookmarkStart w:id="0" w:name="_Toc241770397"/>
      <w:r w:rsidRPr="001A2D42">
        <w:rPr>
          <w:rStyle w:val="Heading1Char"/>
          <w:lang w:bidi="es-419"/>
        </w:rPr>
        <w:lastRenderedPageBreak/>
        <w:t>Resumen ejecutivo</w:t>
      </w:r>
      <w:bookmarkEnd w:id="0"/>
    </w:p>
    <w:p w14:paraId="626DB3FC" w14:textId="759CE3BC" w:rsidR="00E600A7" w:rsidRPr="001A2D42" w:rsidRDefault="00E600A7" w:rsidP="003B32F9">
      <w:pPr>
        <w:pStyle w:val="Heading3"/>
        <w:spacing w:line="240" w:lineRule="auto"/>
      </w:pPr>
      <w:r w:rsidRPr="001A2D42">
        <w:rPr>
          <w:lang w:bidi="es-419"/>
        </w:rPr>
        <w:t>Para 2025, las Organizaciones de Atención Coordinada (CCO) de Oregon obtuvieron colectivamente más de $238 millones a través del Programa de Incentivos de Calidad de las CCO, un programa de pago por rendimiento que recompensa la calidad de la atención.</w:t>
      </w:r>
    </w:p>
    <w:p w14:paraId="0642AA42" w14:textId="1FBC1FA0" w:rsidR="00E600A7" w:rsidRPr="001A2D42" w:rsidRDefault="00E600A7" w:rsidP="003B32F9">
      <w:pPr>
        <w:spacing w:line="240" w:lineRule="auto"/>
      </w:pPr>
      <w:r w:rsidRPr="001A2D42">
        <w:rPr>
          <w:lang w:bidi="es-419"/>
        </w:rPr>
        <w:t xml:space="preserve">El objetivo de las Organizaciones de Atención Coordinada (Coordinated Care Organizations, CCO, por sus siglas en inglés) es mejorar la calidad de la atención para </w:t>
      </w:r>
      <w:r w:rsidR="001A2D42">
        <w:rPr>
          <w:lang w:bidi="es-419"/>
        </w:rPr>
        <w:br/>
      </w:r>
      <w:r w:rsidRPr="001A2D42">
        <w:rPr>
          <w:lang w:bidi="es-419"/>
        </w:rPr>
        <w:t xml:space="preserve">los miembros del Plan de Salud de Oregon (Oregon Health Plan, OHP, por sus siglas en inglés). Para obtener bonos del Programa de Incentivos de Calidad de las CCO, las mismas deben proporcionar una mejor atención cada año. Los bonos se suman a los pagos mensuales que cubren el costo de la atención, llamados pagos por miembro al mes </w:t>
      </w:r>
      <w:r w:rsidR="001A2D42">
        <w:rPr>
          <w:lang w:bidi="es-419"/>
        </w:rPr>
        <w:br/>
      </w:r>
      <w:r w:rsidRPr="001A2D42">
        <w:rPr>
          <w:lang w:bidi="es-419"/>
        </w:rPr>
        <w:t xml:space="preserve">(per-member per-month, PMPM, por sus siglas en inglés) o tasas de capitación. </w:t>
      </w:r>
      <w:permStart w:id="2060321891" w:edGrp="everyone"/>
      <w:permEnd w:id="2060321891"/>
    </w:p>
    <w:p w14:paraId="5E475D76" w14:textId="59EEEA26" w:rsidR="00E600A7" w:rsidRPr="001A2D42" w:rsidRDefault="5D830F9E" w:rsidP="003B32F9">
      <w:pPr>
        <w:spacing w:line="240" w:lineRule="auto"/>
      </w:pPr>
      <w:r w:rsidRPr="001A2D42">
        <w:rPr>
          <w:lang w:bidi="es-419"/>
        </w:rPr>
        <w:t xml:space="preserve">En 2025, el total del fondo de incentivos por calidad de las CCO se estableció en el 3% </w:t>
      </w:r>
      <w:r w:rsidR="001A2D42">
        <w:rPr>
          <w:lang w:bidi="es-419"/>
        </w:rPr>
        <w:br/>
      </w:r>
      <w:r w:rsidRPr="001A2D42">
        <w:rPr>
          <w:lang w:bidi="es-419"/>
        </w:rPr>
        <w:t xml:space="preserve">de pagos PMPM agregados de ese año para las CCO. Aunque este porcentaje fue una reducción con respecto a años anteriores, representó un total de dinero en dólares </w:t>
      </w:r>
      <w:r w:rsidR="00262EEF">
        <w:rPr>
          <w:lang w:bidi="es-419"/>
        </w:rPr>
        <w:br/>
      </w:r>
      <w:r w:rsidRPr="001A2D42">
        <w:rPr>
          <w:lang w:bidi="es-419"/>
        </w:rPr>
        <w:t>mayor que algunos años anteriores del programa. La reducción en el porcentaje se realizó parcialmente para compensar los aumentos en las tasas de capitación, que fueron mucho más altos de lo presupuestado para 2026.</w:t>
      </w:r>
    </w:p>
    <w:p w14:paraId="14BCB6DB" w14:textId="1641A820" w:rsidR="00E600A7" w:rsidRPr="001A2D42" w:rsidRDefault="007F3207" w:rsidP="003B32F9">
      <w:pPr>
        <w:pStyle w:val="Heading3"/>
        <w:spacing w:line="240" w:lineRule="auto"/>
      </w:pPr>
      <w:r w:rsidRPr="001A2D42">
        <w:rPr>
          <w:lang w:bidi="es-419"/>
        </w:rPr>
        <w:t>El rendimiento a nivel estatal de las CCO se mantuvo estable o mejoró en todas las medidas de incentivos respecto a los datos de 2024 a 2025.</w:t>
      </w:r>
    </w:p>
    <w:p w14:paraId="346C0745" w14:textId="7336B9E9" w:rsidR="00E600A7" w:rsidRPr="001A2D42" w:rsidRDefault="007F3207" w:rsidP="003B32F9">
      <w:pPr>
        <w:spacing w:line="240" w:lineRule="auto"/>
      </w:pPr>
      <w:r w:rsidRPr="001A2D42">
        <w:rPr>
          <w:lang w:bidi="es-419"/>
        </w:rPr>
        <w:t xml:space="preserve">Las CCO mejoraron más en la medida de acceso significativo al idioma (equidad en salud), que tiene como objetivo aumentar el uso de servicios lingüísticos de alta calidad para los miembros que necesitan un intérprete. Las CCO a nivel estatal aumentaron los servicios lingüísticos calificados del 14.4% de las visitas en 2024 al </w:t>
      </w:r>
      <w:r w:rsidR="00824161">
        <w:rPr>
          <w:lang w:bidi="es-419"/>
        </w:rPr>
        <w:t>17.7</w:t>
      </w:r>
      <w:r w:rsidRPr="001A2D42">
        <w:rPr>
          <w:lang w:bidi="es-419"/>
        </w:rPr>
        <w:t xml:space="preserve">% en 2025. Sin embargo, </w:t>
      </w:r>
      <w:r w:rsidR="001A2D42">
        <w:rPr>
          <w:lang w:bidi="es-419"/>
        </w:rPr>
        <w:br/>
      </w:r>
      <w:r w:rsidRPr="001A2D42">
        <w:rPr>
          <w:lang w:bidi="es-419"/>
        </w:rPr>
        <w:t>el acceso significativo al idioma (equidad en salud) tuvo uno de los rendimientos más bajos de las CCO en comparación con otras medidas de incentivos.</w:t>
      </w:r>
    </w:p>
    <w:p w14:paraId="7AA24263" w14:textId="1DC18FEF" w:rsidR="00562540" w:rsidRPr="001A2D42" w:rsidRDefault="001C6BEC" w:rsidP="003B32F9">
      <w:pPr>
        <w:spacing w:line="240" w:lineRule="auto"/>
      </w:pPr>
      <w:r w:rsidRPr="001A2D42">
        <w:rPr>
          <w:lang w:bidi="es-419"/>
        </w:rPr>
        <w:t>Las tasas estatales de las CCO alcanzaron niveles previos a la pandemia por primera vez en 2 medidas:</w:t>
      </w:r>
    </w:p>
    <w:p w14:paraId="3D095A55" w14:textId="7716E674" w:rsidR="001C6BEC" w:rsidRPr="001A2D42" w:rsidRDefault="00562540" w:rsidP="003B32F9">
      <w:pPr>
        <w:pStyle w:val="ListParagraph"/>
        <w:numPr>
          <w:ilvl w:val="0"/>
          <w:numId w:val="16"/>
        </w:numPr>
        <w:spacing w:line="240" w:lineRule="auto"/>
      </w:pPr>
      <w:r w:rsidRPr="001A2D42">
        <w:rPr>
          <w:lang w:bidi="es-419"/>
        </w:rPr>
        <w:t>Cuidados de la diabetes: control deficiente de la hemoglobina A1c (HbA1c).</w:t>
      </w:r>
    </w:p>
    <w:p w14:paraId="767BBF8C" w14:textId="57F5BE75" w:rsidR="00562540" w:rsidRPr="001A2D42" w:rsidRDefault="00562540" w:rsidP="003B32F9">
      <w:pPr>
        <w:pStyle w:val="ListParagraph"/>
        <w:numPr>
          <w:ilvl w:val="0"/>
          <w:numId w:val="16"/>
        </w:numPr>
        <w:spacing w:line="240" w:lineRule="auto"/>
      </w:pPr>
      <w:r w:rsidRPr="001A2D42">
        <w:rPr>
          <w:lang w:bidi="es-419"/>
        </w:rPr>
        <w:t>Vacunación para adolescentes: combinación 2.</w:t>
      </w:r>
    </w:p>
    <w:p w14:paraId="4957838B" w14:textId="753B92CC" w:rsidR="00562540" w:rsidRPr="001A2D42" w:rsidRDefault="00977067" w:rsidP="003B32F9">
      <w:pPr>
        <w:spacing w:line="240" w:lineRule="auto"/>
      </w:pPr>
      <w:r w:rsidRPr="001A2D42">
        <w:rPr>
          <w:lang w:bidi="es-419"/>
        </w:rPr>
        <w:t xml:space="preserve">Las CCO lograron avances notables en el cuidado de la diabetes: control deficiente de la hemoglobina A1c (HbA1c). El 2025 tuvo el mejor rendimiento a nivel estatal de las CCO desde que esta medida se incentivó por primera vez en 2014. </w:t>
      </w:r>
    </w:p>
    <w:p w14:paraId="7AE6F95E" w14:textId="4981BBC9" w:rsidR="00977067" w:rsidRPr="001A2D42" w:rsidRDefault="001C6BEC" w:rsidP="003B32F9">
      <w:pPr>
        <w:pStyle w:val="Heading3"/>
        <w:spacing w:line="240" w:lineRule="auto"/>
      </w:pPr>
      <w:r w:rsidRPr="001A2D42">
        <w:rPr>
          <w:lang w:bidi="es-419"/>
        </w:rPr>
        <w:t>Las CCO aún tienen margen de mejora en cinco medidas.</w:t>
      </w:r>
    </w:p>
    <w:p w14:paraId="6DE7658F" w14:textId="4E0EB7D2" w:rsidR="00AD548B" w:rsidRPr="001A2D42" w:rsidRDefault="00CB77DA" w:rsidP="003B32F9">
      <w:pPr>
        <w:spacing w:line="240" w:lineRule="auto"/>
      </w:pPr>
      <w:r w:rsidRPr="001A2D42">
        <w:rPr>
          <w:lang w:bidi="es-419"/>
        </w:rPr>
        <w:t xml:space="preserve">De todas las medidas de incentivos de programas anteriores a 2020, dos aún no han alcanzado los niveles previos a la pandemia: </w:t>
      </w:r>
    </w:p>
    <w:p w14:paraId="2599918A" w14:textId="25A92813" w:rsidR="00AD548B" w:rsidRPr="001A2D42" w:rsidRDefault="00AD548B" w:rsidP="003B32F9">
      <w:pPr>
        <w:pStyle w:val="ListParagraph"/>
        <w:numPr>
          <w:ilvl w:val="0"/>
          <w:numId w:val="13"/>
        </w:numPr>
        <w:spacing w:line="240" w:lineRule="auto"/>
      </w:pPr>
      <w:r w:rsidRPr="001A2D42">
        <w:rPr>
          <w:lang w:bidi="es-419"/>
        </w:rPr>
        <w:lastRenderedPageBreak/>
        <w:t>Servicios de salud dental o bucal preventivos (niños de 6 a 14 años de edad).</w:t>
      </w:r>
    </w:p>
    <w:p w14:paraId="099EA12B" w14:textId="45C43780" w:rsidR="00AD548B" w:rsidRPr="001A2D42" w:rsidRDefault="00AD548B" w:rsidP="003B32F9">
      <w:pPr>
        <w:pStyle w:val="ListParagraph"/>
        <w:numPr>
          <w:ilvl w:val="0"/>
          <w:numId w:val="13"/>
        </w:numPr>
        <w:spacing w:line="240" w:lineRule="auto"/>
      </w:pPr>
      <w:r w:rsidRPr="001A2D42">
        <w:rPr>
          <w:lang w:bidi="es-419"/>
        </w:rPr>
        <w:t>Adultos con diabetes: evaluación oral.</w:t>
      </w:r>
    </w:p>
    <w:p w14:paraId="45E1D192" w14:textId="195CF151" w:rsidR="00CB77DA" w:rsidRPr="001A2D42" w:rsidRDefault="00AD548B" w:rsidP="003B32F9">
      <w:pPr>
        <w:spacing w:line="240" w:lineRule="auto"/>
      </w:pPr>
      <w:r w:rsidRPr="001A2D42">
        <w:rPr>
          <w:lang w:bidi="es-419"/>
        </w:rPr>
        <w:t>Ambos están relacionados con los servicios dentales, que fueron los más afectados durante la pandemia del COVID-19. En 2025, las tasas a nivel estatal de las CCO estuvieron solo ligeramente por debajo de los niveles previos a la pandemia.</w:t>
      </w:r>
    </w:p>
    <w:p w14:paraId="3F11D686" w14:textId="3C552930" w:rsidR="00516119" w:rsidRPr="001A2D42" w:rsidRDefault="00FE6F5A" w:rsidP="003B32F9">
      <w:pPr>
        <w:spacing w:line="240" w:lineRule="auto"/>
      </w:pPr>
      <w:r w:rsidRPr="001A2D42">
        <w:rPr>
          <w:lang w:bidi="es-419"/>
        </w:rPr>
        <w:t>Aunque se encuentran por encima de las tasas previas a la pandemia, este es el estado de vacunación infantil: la combinación 3 no vio las mismas ganancias que la vacunación para adolescentes de: la combinación 2 respecto a los datos de 2024 a 2025. De manera similar, para el inicio y participación en el tratamiento del trastorno por consumo de sustancias (Substance Use Disorder, SUD, por su</w:t>
      </w:r>
      <w:r w:rsidR="00F86635">
        <w:rPr>
          <w:lang w:bidi="es-419"/>
        </w:rPr>
        <w:t>s</w:t>
      </w:r>
      <w:r w:rsidRPr="001A2D42">
        <w:rPr>
          <w:lang w:bidi="es-419"/>
        </w:rPr>
        <w:t xml:space="preserve"> siglas en inglés), las tasas de inicio se mantuvieron estables y no tuvieron las mismas mejoras relativas que las tasas de participación.</w:t>
      </w:r>
    </w:p>
    <w:p w14:paraId="723E9956" w14:textId="025C2E68" w:rsidR="008E58D1" w:rsidRPr="001A2D42" w:rsidRDefault="008E58D1" w:rsidP="003B32F9">
      <w:pPr>
        <w:spacing w:line="240" w:lineRule="auto"/>
      </w:pPr>
      <w:r w:rsidRPr="001A2D42">
        <w:rPr>
          <w:lang w:bidi="es-419"/>
        </w:rPr>
        <w:t>Por último, aunque mostró la mayor mejora respecto a los datos de 2024 a 2025, el acceso significativo al idioma (equidad en salud) sigue siendo un área de mejora.</w:t>
      </w:r>
    </w:p>
    <w:p w14:paraId="2FA5893F" w14:textId="43AB94D3" w:rsidR="009F42F7" w:rsidRPr="001A2D42" w:rsidRDefault="00F3167E" w:rsidP="003B32F9">
      <w:pPr>
        <w:pStyle w:val="Heading3"/>
        <w:spacing w:line="240" w:lineRule="auto"/>
      </w:pPr>
      <w:r w:rsidRPr="001A2D42">
        <w:rPr>
          <w:lang w:bidi="es-419"/>
        </w:rPr>
        <w:t>La OHA y las CCO continúan desarrollando medidas preventivas que abordan los factores determinantes sociales de la salud.</w:t>
      </w:r>
    </w:p>
    <w:p w14:paraId="6EE75014" w14:textId="3FEB1F9D" w:rsidR="00575C51" w:rsidRPr="001A2D42" w:rsidRDefault="009F42F7" w:rsidP="003B32F9">
      <w:pPr>
        <w:spacing w:line="240" w:lineRule="auto"/>
      </w:pPr>
      <w:r w:rsidRPr="001A2D42">
        <w:rPr>
          <w:lang w:bidi="es-419"/>
        </w:rPr>
        <w:t>El 2025 fue el primer año de incentivos para los servicios de intervención o tratamiento centrados en problemas socioemocionales para niños pequeños, reemplazando la medida a nivel de sistema. Para los niños pequeños, las CCO a nivel estatal aumentaron las intervenciones breves y los servicios de tratamiento del 5.0% en 2024 al 6.3% en 2025. Dado que no todos los niños tienen problemas socioemocionales, esperamos que las tasas sean más bajas en comparación con otras medidas.</w:t>
      </w:r>
    </w:p>
    <w:p w14:paraId="55565C8B" w14:textId="77777777" w:rsidR="00262EEF" w:rsidRDefault="004F22E3" w:rsidP="00262EEF">
      <w:pPr>
        <w:spacing w:line="240" w:lineRule="auto"/>
        <w:rPr>
          <w:lang w:bidi="es-419"/>
        </w:rPr>
      </w:pPr>
      <w:r w:rsidRPr="001A2D42">
        <w:rPr>
          <w:lang w:bidi="es-419"/>
        </w:rPr>
        <w:t xml:space="preserve">El 2025 también fue el primer año del informe de muestra para los factores determinantes sociales de la salud (Social Determinants of Health, SDOH, por sus siglas en inglés): </w:t>
      </w:r>
      <w:r w:rsidR="001A2D42">
        <w:rPr>
          <w:lang w:bidi="es-419"/>
        </w:rPr>
        <w:br/>
      </w:r>
      <w:r w:rsidRPr="001A2D42">
        <w:rPr>
          <w:lang w:bidi="es-419"/>
        </w:rPr>
        <w:t>la prueba de detección de necesidades sociales y remisiones, que se centran en la inseguridad de vivienda, la inseguridad alimentaria y las necesidades de transporte de los miembros.</w:t>
      </w:r>
    </w:p>
    <w:p w14:paraId="2FA68F3D" w14:textId="77961FFE" w:rsidR="004F22E3" w:rsidRPr="001A2D42" w:rsidRDefault="00262EEF" w:rsidP="00262EEF">
      <w:pPr>
        <w:spacing w:line="240" w:lineRule="auto"/>
      </w:pPr>
      <w:r w:rsidRPr="001A2D42">
        <w:rPr>
          <w:lang w:bidi="es-419"/>
        </w:rPr>
        <w:t xml:space="preserve"> </w:t>
      </w:r>
      <w:r w:rsidR="004F22E3" w:rsidRPr="001A2D42">
        <w:rPr>
          <w:lang w:bidi="es-419"/>
        </w:rPr>
        <w:t>Por último, la Oregon Health Authority (OHA) trabajó con las CCO en cambios para la medida de acceso significativo al idioma (equidad en salud). Los cambios incluyeron:</w:t>
      </w:r>
    </w:p>
    <w:p w14:paraId="68753A08" w14:textId="0B945FCF" w:rsidR="004F22E3" w:rsidRPr="001A2D42" w:rsidRDefault="004F22E3" w:rsidP="003B32F9">
      <w:pPr>
        <w:pStyle w:val="ListParagraph"/>
        <w:numPr>
          <w:ilvl w:val="0"/>
          <w:numId w:val="17"/>
        </w:numPr>
        <w:spacing w:line="240" w:lineRule="auto"/>
      </w:pPr>
      <w:r w:rsidRPr="001A2D42">
        <w:rPr>
          <w:lang w:bidi="es-419"/>
        </w:rPr>
        <w:t>Ampliar la definición de quién califica como proveedor del idioma.</w:t>
      </w:r>
    </w:p>
    <w:p w14:paraId="5D4A6F15" w14:textId="274C3FAE" w:rsidR="004F22E3" w:rsidRPr="001A2D42" w:rsidRDefault="004F22E3" w:rsidP="003B32F9">
      <w:pPr>
        <w:pStyle w:val="ListParagraph"/>
        <w:numPr>
          <w:ilvl w:val="0"/>
          <w:numId w:val="17"/>
        </w:numPr>
        <w:spacing w:line="240" w:lineRule="auto"/>
      </w:pPr>
      <w:r w:rsidRPr="001A2D42">
        <w:rPr>
          <w:lang w:bidi="es-419"/>
        </w:rPr>
        <w:t>Eliminar el requisito de volver a evaluar el dominio del idioma.</w:t>
      </w:r>
    </w:p>
    <w:p w14:paraId="4F23C54F" w14:textId="00138BE6" w:rsidR="004F22E3" w:rsidRPr="001A2D42" w:rsidRDefault="004F22E3" w:rsidP="003B32F9">
      <w:pPr>
        <w:pStyle w:val="ListParagraph"/>
        <w:numPr>
          <w:ilvl w:val="0"/>
          <w:numId w:val="17"/>
        </w:numPr>
        <w:spacing w:line="240" w:lineRule="auto"/>
      </w:pPr>
      <w:r w:rsidRPr="001A2D42">
        <w:rPr>
          <w:lang w:bidi="es-419"/>
        </w:rPr>
        <w:t xml:space="preserve">Permitir que las CCO excluyan las visitas en las que un miembro rechazó un intérprete. Esto no excluye otras visitas del mismo miembro. </w:t>
      </w:r>
    </w:p>
    <w:p w14:paraId="1501E663" w14:textId="737E2256" w:rsidR="004F22E3" w:rsidRPr="001A2D42" w:rsidRDefault="004F22E3" w:rsidP="003B32F9">
      <w:pPr>
        <w:spacing w:line="240" w:lineRule="auto"/>
        <w:sectPr w:rsidR="004F22E3" w:rsidRPr="001A2D42" w:rsidSect="00CD7CAC">
          <w:footnotePr>
            <w:numFmt w:val="lowerLetter"/>
          </w:footnotePr>
          <w:pgSz w:w="12240" w:h="15840"/>
          <w:pgMar w:top="1440" w:right="1440" w:bottom="1440" w:left="1440" w:header="720" w:footer="720" w:gutter="0"/>
          <w:pgNumType w:fmt="lowerRoman" w:start="1"/>
          <w:cols w:space="720"/>
          <w:titlePg/>
          <w:docGrid w:linePitch="360"/>
        </w:sectPr>
      </w:pPr>
      <w:r w:rsidRPr="001A2D42">
        <w:rPr>
          <w:lang w:bidi="es-419"/>
        </w:rPr>
        <w:t xml:space="preserve">La OHA </w:t>
      </w:r>
      <w:r w:rsidR="001D18D7" w:rsidRPr="001A2D42">
        <w:rPr>
          <w:lang w:bidi="es-419"/>
        </w:rPr>
        <w:t>está</w:t>
      </w:r>
      <w:r w:rsidRPr="001A2D42">
        <w:rPr>
          <w:lang w:bidi="es-419"/>
        </w:rPr>
        <w:t xml:space="preserve"> comprometida en garantizar que los recursos se dirijan a donde tengan el mayor impacto y que los miembros del Plan de Salud de Oregon reciban interpretación de idiomas de alta calidad.</w:t>
      </w:r>
    </w:p>
    <w:sdt>
      <w:sdtPr>
        <w:rPr>
          <w:rFonts w:eastAsiaTheme="minorEastAsia"/>
          <w:b/>
          <w:bCs/>
          <w:sz w:val="22"/>
        </w:rPr>
        <w:id w:val="350692084"/>
        <w:docPartObj>
          <w:docPartGallery w:val="Table of Contents"/>
          <w:docPartUnique/>
        </w:docPartObj>
      </w:sdtPr>
      <w:sdtEndPr>
        <w:rPr>
          <w:b w:val="0"/>
          <w:bCs w:val="0"/>
          <w:sz w:val="24"/>
          <w:szCs w:val="24"/>
        </w:rPr>
      </w:sdtEndPr>
      <w:sdtContent>
        <w:p w14:paraId="538D5E58" w14:textId="46C01525" w:rsidR="00ED698D" w:rsidRPr="001A2D42" w:rsidRDefault="00ED698D" w:rsidP="003B32F9">
          <w:pPr>
            <w:spacing w:line="240" w:lineRule="auto"/>
            <w:rPr>
              <w:rStyle w:val="Heading1Char"/>
              <w:b/>
              <w:bCs/>
            </w:rPr>
          </w:pPr>
          <w:r w:rsidRPr="001A2D42">
            <w:rPr>
              <w:rStyle w:val="Heading1Char"/>
              <w:lang w:bidi="es-419"/>
            </w:rPr>
            <w:t>Índice</w:t>
          </w:r>
        </w:p>
        <w:p w14:paraId="698EF216" w14:textId="591D0EEC" w:rsidR="001A2D42" w:rsidRPr="001A2D42" w:rsidRDefault="00ED698D" w:rsidP="003B32F9">
          <w:pPr>
            <w:pStyle w:val="TOC1"/>
            <w:tabs>
              <w:tab w:val="right" w:leader="dot" w:pos="9350"/>
            </w:tabs>
            <w:spacing w:line="240" w:lineRule="auto"/>
            <w:rPr>
              <w:rFonts w:eastAsiaTheme="minorEastAsia"/>
              <w:noProof/>
              <w:szCs w:val="24"/>
              <w:lang w:val="es-AR" w:eastAsia="es-MX"/>
            </w:rPr>
          </w:pPr>
          <w:r w:rsidRPr="001A2D42">
            <w:rPr>
              <w:lang w:bidi="es-419"/>
            </w:rPr>
            <w:fldChar w:fldCharType="begin"/>
          </w:r>
          <w:r w:rsidRPr="001A2D42">
            <w:rPr>
              <w:lang w:bidi="es-419"/>
            </w:rPr>
            <w:instrText xml:space="preserve"> TOC \o "1-2" \h \z \u </w:instrText>
          </w:r>
          <w:r w:rsidRPr="001A2D42">
            <w:rPr>
              <w:lang w:bidi="es-419"/>
            </w:rPr>
            <w:fldChar w:fldCharType="separate"/>
          </w:r>
          <w:hyperlink w:anchor="_Toc241770397" w:history="1">
            <w:r w:rsidR="001A2D42" w:rsidRPr="001A2D42">
              <w:rPr>
                <w:rStyle w:val="Hyperlink"/>
                <w:noProof/>
                <w:lang w:bidi="es-419"/>
              </w:rPr>
              <w:t>Resumen ejecutivo</w:t>
            </w:r>
            <w:r w:rsidR="001A2D42" w:rsidRPr="001A2D42">
              <w:rPr>
                <w:noProof/>
                <w:webHidden/>
              </w:rPr>
              <w:tab/>
            </w:r>
            <w:r w:rsidR="001A2D42">
              <w:rPr>
                <w:noProof/>
                <w:webHidden/>
              </w:rPr>
              <w:t>i</w:t>
            </w:r>
            <w:r w:rsidR="001A2D42" w:rsidRPr="001A2D42">
              <w:rPr>
                <w:noProof/>
                <w:webHidden/>
              </w:rPr>
              <w:fldChar w:fldCharType="begin"/>
            </w:r>
            <w:r w:rsidR="001A2D42" w:rsidRPr="001A2D42">
              <w:rPr>
                <w:noProof/>
                <w:webHidden/>
              </w:rPr>
              <w:instrText xml:space="preserve"> PAGEREF _Toc241770397 \h </w:instrText>
            </w:r>
            <w:r w:rsidR="001A2D42" w:rsidRPr="001A2D42">
              <w:rPr>
                <w:noProof/>
                <w:webHidden/>
              </w:rPr>
            </w:r>
            <w:r w:rsidR="001A2D42" w:rsidRPr="001A2D42">
              <w:rPr>
                <w:noProof/>
                <w:webHidden/>
              </w:rPr>
              <w:fldChar w:fldCharType="separate"/>
            </w:r>
            <w:r w:rsidR="00C83A5C">
              <w:rPr>
                <w:noProof/>
                <w:webHidden/>
              </w:rPr>
              <w:t>i</w:t>
            </w:r>
            <w:r w:rsidR="001A2D42" w:rsidRPr="001A2D42">
              <w:rPr>
                <w:noProof/>
                <w:webHidden/>
              </w:rPr>
              <w:fldChar w:fldCharType="end"/>
            </w:r>
          </w:hyperlink>
        </w:p>
        <w:p w14:paraId="2BEA3094" w14:textId="3D49537E" w:rsidR="001A2D42" w:rsidRPr="001A2D42" w:rsidRDefault="001A2D42" w:rsidP="003B32F9">
          <w:pPr>
            <w:pStyle w:val="TOC1"/>
            <w:tabs>
              <w:tab w:val="right" w:leader="dot" w:pos="9350"/>
            </w:tabs>
            <w:spacing w:line="240" w:lineRule="auto"/>
            <w:rPr>
              <w:rFonts w:eastAsiaTheme="minorEastAsia"/>
              <w:noProof/>
              <w:szCs w:val="24"/>
              <w:lang w:val="es-AR" w:eastAsia="es-MX"/>
            </w:rPr>
          </w:pPr>
          <w:hyperlink w:anchor="_Toc241770398" w:history="1">
            <w:r w:rsidRPr="001A2D42">
              <w:rPr>
                <w:rStyle w:val="Hyperlink"/>
                <w:noProof/>
                <w:lang w:bidi="es-419"/>
              </w:rPr>
              <w:t>Acerca de este informe</w:t>
            </w:r>
            <w:r w:rsidRPr="001A2D42">
              <w:rPr>
                <w:noProof/>
                <w:webHidden/>
              </w:rPr>
              <w:tab/>
            </w:r>
            <w:r w:rsidRPr="001A2D42">
              <w:rPr>
                <w:noProof/>
                <w:webHidden/>
              </w:rPr>
              <w:fldChar w:fldCharType="begin"/>
            </w:r>
            <w:r w:rsidRPr="001A2D42">
              <w:rPr>
                <w:noProof/>
                <w:webHidden/>
              </w:rPr>
              <w:instrText xml:space="preserve"> PAGEREF _Toc241770398 \h </w:instrText>
            </w:r>
            <w:r w:rsidRPr="001A2D42">
              <w:rPr>
                <w:noProof/>
                <w:webHidden/>
              </w:rPr>
            </w:r>
            <w:r w:rsidRPr="001A2D42">
              <w:rPr>
                <w:noProof/>
                <w:webHidden/>
              </w:rPr>
              <w:fldChar w:fldCharType="separate"/>
            </w:r>
            <w:r w:rsidR="00C83A5C">
              <w:rPr>
                <w:noProof/>
                <w:webHidden/>
              </w:rPr>
              <w:t>1</w:t>
            </w:r>
            <w:r w:rsidRPr="001A2D42">
              <w:rPr>
                <w:noProof/>
                <w:webHidden/>
              </w:rPr>
              <w:fldChar w:fldCharType="end"/>
            </w:r>
          </w:hyperlink>
        </w:p>
        <w:p w14:paraId="52565789" w14:textId="01C0D8B5" w:rsidR="001A2D42" w:rsidRPr="001A2D42" w:rsidRDefault="001A2D42" w:rsidP="003B32F9">
          <w:pPr>
            <w:pStyle w:val="TOC1"/>
            <w:tabs>
              <w:tab w:val="right" w:leader="dot" w:pos="9350"/>
            </w:tabs>
            <w:spacing w:line="240" w:lineRule="auto"/>
            <w:rPr>
              <w:rFonts w:eastAsiaTheme="minorEastAsia"/>
              <w:noProof/>
              <w:szCs w:val="24"/>
              <w:lang w:val="es-AR" w:eastAsia="es-MX"/>
            </w:rPr>
          </w:pPr>
          <w:hyperlink w:anchor="_Toc241770399" w:history="1">
            <w:r w:rsidRPr="001A2D42">
              <w:rPr>
                <w:rStyle w:val="Hyperlink"/>
                <w:noProof/>
                <w:lang w:bidi="es-419"/>
              </w:rPr>
              <w:t>Puntos destacados del programa</w:t>
            </w:r>
            <w:r w:rsidRPr="001A2D42">
              <w:rPr>
                <w:noProof/>
                <w:webHidden/>
              </w:rPr>
              <w:tab/>
            </w:r>
            <w:r w:rsidRPr="001A2D42">
              <w:rPr>
                <w:noProof/>
                <w:webHidden/>
              </w:rPr>
              <w:fldChar w:fldCharType="begin"/>
            </w:r>
            <w:r w:rsidRPr="001A2D42">
              <w:rPr>
                <w:noProof/>
                <w:webHidden/>
              </w:rPr>
              <w:instrText xml:space="preserve"> PAGEREF _Toc241770399 \h </w:instrText>
            </w:r>
            <w:r w:rsidRPr="001A2D42">
              <w:rPr>
                <w:noProof/>
                <w:webHidden/>
              </w:rPr>
            </w:r>
            <w:r w:rsidRPr="001A2D42">
              <w:rPr>
                <w:noProof/>
                <w:webHidden/>
              </w:rPr>
              <w:fldChar w:fldCharType="separate"/>
            </w:r>
            <w:r w:rsidR="00C83A5C">
              <w:rPr>
                <w:noProof/>
                <w:webHidden/>
              </w:rPr>
              <w:t>2</w:t>
            </w:r>
            <w:r w:rsidRPr="001A2D42">
              <w:rPr>
                <w:noProof/>
                <w:webHidden/>
              </w:rPr>
              <w:fldChar w:fldCharType="end"/>
            </w:r>
          </w:hyperlink>
        </w:p>
        <w:p w14:paraId="5568FE55" w14:textId="2CA140CF" w:rsidR="001A2D42" w:rsidRPr="001A2D42" w:rsidRDefault="001A2D42" w:rsidP="003B32F9">
          <w:pPr>
            <w:pStyle w:val="TOC2"/>
            <w:spacing w:line="240" w:lineRule="auto"/>
            <w:rPr>
              <w:rFonts w:eastAsiaTheme="minorEastAsia"/>
              <w:bCs w:val="0"/>
              <w:szCs w:val="24"/>
              <w:lang w:val="es-AR" w:eastAsia="es-MX"/>
            </w:rPr>
          </w:pPr>
          <w:hyperlink w:anchor="_Toc241770400" w:history="1">
            <w:r w:rsidRPr="001A2D42">
              <w:rPr>
                <w:rStyle w:val="Hyperlink"/>
                <w:lang w:bidi="es-419"/>
              </w:rPr>
              <w:t xml:space="preserve">Resumen: Cambio en el rendimiento a nivel estatal de las CCO respecto a los datos </w:t>
            </w:r>
            <w:r>
              <w:rPr>
                <w:rStyle w:val="Hyperlink"/>
                <w:lang w:bidi="es-419"/>
              </w:rPr>
              <w:br/>
            </w:r>
            <w:r w:rsidRPr="001A2D42">
              <w:rPr>
                <w:rStyle w:val="Hyperlink"/>
                <w:lang w:bidi="es-419"/>
              </w:rPr>
              <w:t>de 2024 a 2025</w:t>
            </w:r>
            <w:r w:rsidRPr="001A2D42">
              <w:rPr>
                <w:webHidden/>
              </w:rPr>
              <w:tab/>
            </w:r>
            <w:r w:rsidRPr="001A2D42">
              <w:rPr>
                <w:webHidden/>
              </w:rPr>
              <w:fldChar w:fldCharType="begin"/>
            </w:r>
            <w:r w:rsidRPr="001A2D42">
              <w:rPr>
                <w:webHidden/>
              </w:rPr>
              <w:instrText xml:space="preserve"> PAGEREF _Toc241770400 \h </w:instrText>
            </w:r>
            <w:r w:rsidRPr="001A2D42">
              <w:rPr>
                <w:webHidden/>
              </w:rPr>
            </w:r>
            <w:r w:rsidRPr="001A2D42">
              <w:rPr>
                <w:webHidden/>
              </w:rPr>
              <w:fldChar w:fldCharType="separate"/>
            </w:r>
            <w:r w:rsidR="00C83A5C">
              <w:rPr>
                <w:webHidden/>
              </w:rPr>
              <w:t>7</w:t>
            </w:r>
            <w:r w:rsidRPr="001A2D42">
              <w:rPr>
                <w:webHidden/>
              </w:rPr>
              <w:fldChar w:fldCharType="end"/>
            </w:r>
          </w:hyperlink>
        </w:p>
        <w:p w14:paraId="37F1DB5F" w14:textId="7912FBC0" w:rsidR="001A2D42" w:rsidRPr="001A2D42" w:rsidRDefault="001A2D42" w:rsidP="003B32F9">
          <w:pPr>
            <w:pStyle w:val="TOC1"/>
            <w:tabs>
              <w:tab w:val="right" w:leader="dot" w:pos="9350"/>
            </w:tabs>
            <w:spacing w:line="240" w:lineRule="auto"/>
            <w:rPr>
              <w:rFonts w:eastAsiaTheme="minorEastAsia"/>
              <w:noProof/>
              <w:szCs w:val="24"/>
              <w:lang w:val="es-AR" w:eastAsia="es-MX"/>
            </w:rPr>
          </w:pPr>
          <w:hyperlink w:anchor="_Toc241770401" w:history="1">
            <w:r w:rsidRPr="001A2D42">
              <w:rPr>
                <w:rStyle w:val="Hyperlink"/>
                <w:noProof/>
                <w:lang w:bidi="es-419"/>
              </w:rPr>
              <w:t>Puntos destacados de las medidas</w:t>
            </w:r>
            <w:r w:rsidRPr="001A2D42">
              <w:rPr>
                <w:noProof/>
                <w:webHidden/>
              </w:rPr>
              <w:tab/>
            </w:r>
            <w:r w:rsidRPr="001A2D42">
              <w:rPr>
                <w:noProof/>
                <w:webHidden/>
              </w:rPr>
              <w:fldChar w:fldCharType="begin"/>
            </w:r>
            <w:r w:rsidRPr="001A2D42">
              <w:rPr>
                <w:noProof/>
                <w:webHidden/>
              </w:rPr>
              <w:instrText xml:space="preserve"> PAGEREF _Toc241770401 \h </w:instrText>
            </w:r>
            <w:r w:rsidRPr="001A2D42">
              <w:rPr>
                <w:noProof/>
                <w:webHidden/>
              </w:rPr>
            </w:r>
            <w:r w:rsidRPr="001A2D42">
              <w:rPr>
                <w:noProof/>
                <w:webHidden/>
              </w:rPr>
              <w:fldChar w:fldCharType="separate"/>
            </w:r>
            <w:r w:rsidR="00C83A5C">
              <w:rPr>
                <w:noProof/>
                <w:webHidden/>
              </w:rPr>
              <w:t>8</w:t>
            </w:r>
            <w:r w:rsidRPr="001A2D42">
              <w:rPr>
                <w:noProof/>
                <w:webHidden/>
              </w:rPr>
              <w:fldChar w:fldCharType="end"/>
            </w:r>
          </w:hyperlink>
        </w:p>
        <w:p w14:paraId="547992D8" w14:textId="52D55889" w:rsidR="001A2D42" w:rsidRPr="001A2D42" w:rsidRDefault="001A2D42" w:rsidP="003B32F9">
          <w:pPr>
            <w:pStyle w:val="TOC2"/>
            <w:spacing w:line="240" w:lineRule="auto"/>
            <w:rPr>
              <w:rFonts w:eastAsiaTheme="minorEastAsia"/>
              <w:bCs w:val="0"/>
              <w:szCs w:val="24"/>
              <w:lang w:val="es-AR" w:eastAsia="es-MX"/>
            </w:rPr>
          </w:pPr>
          <w:hyperlink w:anchor="_Toc241770402" w:history="1">
            <w:r w:rsidRPr="001A2D42">
              <w:rPr>
                <w:rStyle w:val="Hyperlink"/>
                <w:lang w:bidi="es-419"/>
              </w:rPr>
              <w:t>Medidas preventivas</w:t>
            </w:r>
            <w:r w:rsidRPr="001A2D42">
              <w:rPr>
                <w:webHidden/>
              </w:rPr>
              <w:tab/>
            </w:r>
            <w:r w:rsidRPr="001A2D42">
              <w:rPr>
                <w:webHidden/>
              </w:rPr>
              <w:fldChar w:fldCharType="begin"/>
            </w:r>
            <w:r w:rsidRPr="001A2D42">
              <w:rPr>
                <w:webHidden/>
              </w:rPr>
              <w:instrText xml:space="preserve"> PAGEREF _Toc241770402 \h </w:instrText>
            </w:r>
            <w:r w:rsidRPr="001A2D42">
              <w:rPr>
                <w:webHidden/>
              </w:rPr>
            </w:r>
            <w:r w:rsidRPr="001A2D42">
              <w:rPr>
                <w:webHidden/>
              </w:rPr>
              <w:fldChar w:fldCharType="separate"/>
            </w:r>
            <w:r w:rsidR="00C83A5C">
              <w:rPr>
                <w:webHidden/>
              </w:rPr>
              <w:t>8</w:t>
            </w:r>
            <w:r w:rsidRPr="001A2D42">
              <w:rPr>
                <w:webHidden/>
              </w:rPr>
              <w:fldChar w:fldCharType="end"/>
            </w:r>
          </w:hyperlink>
        </w:p>
        <w:p w14:paraId="57033F4F" w14:textId="549E0EA7" w:rsidR="001A2D42" w:rsidRPr="001A2D42" w:rsidRDefault="001A2D42" w:rsidP="003B32F9">
          <w:pPr>
            <w:pStyle w:val="TOC2"/>
            <w:spacing w:line="240" w:lineRule="auto"/>
            <w:rPr>
              <w:rFonts w:eastAsiaTheme="minorEastAsia"/>
              <w:bCs w:val="0"/>
              <w:szCs w:val="24"/>
              <w:lang w:val="es-AR" w:eastAsia="es-MX"/>
            </w:rPr>
          </w:pPr>
          <w:hyperlink w:anchor="_Toc241770403" w:history="1">
            <w:r w:rsidRPr="001A2D42">
              <w:rPr>
                <w:rStyle w:val="Hyperlink"/>
                <w:lang w:bidi="es-419"/>
              </w:rPr>
              <w:t>Acceso a la atención primaria y atención preventiva</w:t>
            </w:r>
            <w:r w:rsidRPr="001A2D42">
              <w:rPr>
                <w:webHidden/>
              </w:rPr>
              <w:tab/>
            </w:r>
            <w:r w:rsidRPr="001A2D42">
              <w:rPr>
                <w:webHidden/>
              </w:rPr>
              <w:fldChar w:fldCharType="begin"/>
            </w:r>
            <w:r w:rsidRPr="001A2D42">
              <w:rPr>
                <w:webHidden/>
              </w:rPr>
              <w:instrText xml:space="preserve"> PAGEREF _Toc241770403 \h </w:instrText>
            </w:r>
            <w:r w:rsidRPr="001A2D42">
              <w:rPr>
                <w:webHidden/>
              </w:rPr>
            </w:r>
            <w:r w:rsidRPr="001A2D42">
              <w:rPr>
                <w:webHidden/>
              </w:rPr>
              <w:fldChar w:fldCharType="separate"/>
            </w:r>
            <w:r w:rsidR="00C83A5C">
              <w:rPr>
                <w:webHidden/>
              </w:rPr>
              <w:t>16</w:t>
            </w:r>
            <w:r w:rsidRPr="001A2D42">
              <w:rPr>
                <w:webHidden/>
              </w:rPr>
              <w:fldChar w:fldCharType="end"/>
            </w:r>
          </w:hyperlink>
        </w:p>
        <w:p w14:paraId="32A0A78C" w14:textId="6F771332" w:rsidR="001A2D42" w:rsidRPr="001A2D42" w:rsidRDefault="001A2D42" w:rsidP="003B32F9">
          <w:pPr>
            <w:pStyle w:val="TOC2"/>
            <w:spacing w:line="240" w:lineRule="auto"/>
            <w:rPr>
              <w:rFonts w:eastAsiaTheme="minorEastAsia"/>
              <w:bCs w:val="0"/>
              <w:szCs w:val="24"/>
              <w:lang w:val="es-AR" w:eastAsia="es-MX"/>
            </w:rPr>
          </w:pPr>
          <w:hyperlink w:anchor="_Toc241770404" w:history="1">
            <w:r w:rsidRPr="001A2D42">
              <w:rPr>
                <w:rStyle w:val="Hyperlink"/>
                <w:lang w:bidi="es-419"/>
              </w:rPr>
              <w:t>Salud materna y perinatal</w:t>
            </w:r>
            <w:r w:rsidRPr="001A2D42">
              <w:rPr>
                <w:webHidden/>
              </w:rPr>
              <w:tab/>
            </w:r>
            <w:r w:rsidRPr="001A2D42">
              <w:rPr>
                <w:webHidden/>
              </w:rPr>
              <w:fldChar w:fldCharType="begin"/>
            </w:r>
            <w:r w:rsidRPr="001A2D42">
              <w:rPr>
                <w:webHidden/>
              </w:rPr>
              <w:instrText xml:space="preserve"> PAGEREF _Toc241770404 \h </w:instrText>
            </w:r>
            <w:r w:rsidRPr="001A2D42">
              <w:rPr>
                <w:webHidden/>
              </w:rPr>
            </w:r>
            <w:r w:rsidRPr="001A2D42">
              <w:rPr>
                <w:webHidden/>
              </w:rPr>
              <w:fldChar w:fldCharType="separate"/>
            </w:r>
            <w:r w:rsidR="00C83A5C">
              <w:rPr>
                <w:webHidden/>
              </w:rPr>
              <w:t>19</w:t>
            </w:r>
            <w:r w:rsidRPr="001A2D42">
              <w:rPr>
                <w:webHidden/>
              </w:rPr>
              <w:fldChar w:fldCharType="end"/>
            </w:r>
          </w:hyperlink>
        </w:p>
        <w:p w14:paraId="58486446" w14:textId="38026E87" w:rsidR="001A2D42" w:rsidRPr="001A2D42" w:rsidRDefault="001A2D42" w:rsidP="003B32F9">
          <w:pPr>
            <w:pStyle w:val="TOC2"/>
            <w:spacing w:line="240" w:lineRule="auto"/>
            <w:rPr>
              <w:rFonts w:eastAsiaTheme="minorEastAsia"/>
              <w:bCs w:val="0"/>
              <w:szCs w:val="24"/>
              <w:lang w:val="es-AR" w:eastAsia="es-MX"/>
            </w:rPr>
          </w:pPr>
          <w:hyperlink w:anchor="_Toc241770405" w:history="1">
            <w:r w:rsidRPr="001A2D42">
              <w:rPr>
                <w:rStyle w:val="Hyperlink"/>
                <w:lang w:bidi="es-419"/>
              </w:rPr>
              <w:t>Atención de condiciones agudas y crónicas</w:t>
            </w:r>
            <w:r w:rsidRPr="001A2D42">
              <w:rPr>
                <w:webHidden/>
              </w:rPr>
              <w:tab/>
            </w:r>
            <w:r w:rsidRPr="001A2D42">
              <w:rPr>
                <w:webHidden/>
              </w:rPr>
              <w:fldChar w:fldCharType="begin"/>
            </w:r>
            <w:r w:rsidRPr="001A2D42">
              <w:rPr>
                <w:webHidden/>
              </w:rPr>
              <w:instrText xml:space="preserve"> PAGEREF _Toc241770405 \h </w:instrText>
            </w:r>
            <w:r w:rsidRPr="001A2D42">
              <w:rPr>
                <w:webHidden/>
              </w:rPr>
            </w:r>
            <w:r w:rsidRPr="001A2D42">
              <w:rPr>
                <w:webHidden/>
              </w:rPr>
              <w:fldChar w:fldCharType="separate"/>
            </w:r>
            <w:r w:rsidR="00C83A5C">
              <w:rPr>
                <w:webHidden/>
              </w:rPr>
              <w:t>20</w:t>
            </w:r>
            <w:r w:rsidRPr="001A2D42">
              <w:rPr>
                <w:webHidden/>
              </w:rPr>
              <w:fldChar w:fldCharType="end"/>
            </w:r>
          </w:hyperlink>
        </w:p>
        <w:p w14:paraId="6C3BB708" w14:textId="6025281D" w:rsidR="001A2D42" w:rsidRPr="001A2D42" w:rsidRDefault="001A2D42" w:rsidP="003B32F9">
          <w:pPr>
            <w:pStyle w:val="TOC2"/>
            <w:spacing w:line="240" w:lineRule="auto"/>
            <w:rPr>
              <w:rFonts w:eastAsiaTheme="minorEastAsia"/>
              <w:bCs w:val="0"/>
              <w:szCs w:val="24"/>
              <w:lang w:val="es-AR" w:eastAsia="es-MX"/>
            </w:rPr>
          </w:pPr>
          <w:hyperlink w:anchor="_Toc241770406" w:history="1">
            <w:r w:rsidRPr="001A2D42">
              <w:rPr>
                <w:rStyle w:val="Hyperlink"/>
                <w:lang w:bidi="es-419"/>
              </w:rPr>
              <w:t>Atención médica conductual</w:t>
            </w:r>
            <w:r w:rsidRPr="001A2D42">
              <w:rPr>
                <w:webHidden/>
              </w:rPr>
              <w:tab/>
            </w:r>
            <w:r w:rsidRPr="001A2D42">
              <w:rPr>
                <w:webHidden/>
              </w:rPr>
              <w:fldChar w:fldCharType="begin"/>
            </w:r>
            <w:r w:rsidRPr="001A2D42">
              <w:rPr>
                <w:webHidden/>
              </w:rPr>
              <w:instrText xml:space="preserve"> PAGEREF _Toc241770406 \h </w:instrText>
            </w:r>
            <w:r w:rsidRPr="001A2D42">
              <w:rPr>
                <w:webHidden/>
              </w:rPr>
            </w:r>
            <w:r w:rsidRPr="001A2D42">
              <w:rPr>
                <w:webHidden/>
              </w:rPr>
              <w:fldChar w:fldCharType="separate"/>
            </w:r>
            <w:r w:rsidR="00C83A5C">
              <w:rPr>
                <w:webHidden/>
              </w:rPr>
              <w:t>21</w:t>
            </w:r>
            <w:r w:rsidRPr="001A2D42">
              <w:rPr>
                <w:webHidden/>
              </w:rPr>
              <w:fldChar w:fldCharType="end"/>
            </w:r>
          </w:hyperlink>
        </w:p>
        <w:p w14:paraId="49E9936F" w14:textId="661C7090" w:rsidR="001A2D42" w:rsidRPr="001A2D42" w:rsidRDefault="001A2D42" w:rsidP="003B32F9">
          <w:pPr>
            <w:pStyle w:val="TOC2"/>
            <w:spacing w:line="240" w:lineRule="auto"/>
            <w:rPr>
              <w:rFonts w:eastAsiaTheme="minorEastAsia"/>
              <w:bCs w:val="0"/>
              <w:szCs w:val="24"/>
              <w:lang w:val="es-AR" w:eastAsia="es-MX"/>
            </w:rPr>
          </w:pPr>
          <w:hyperlink w:anchor="_Toc241770407" w:history="1">
            <w:r w:rsidRPr="001A2D42">
              <w:rPr>
                <w:rStyle w:val="Hyperlink"/>
                <w:lang w:bidi="es-419"/>
              </w:rPr>
              <w:t>Servicios de salud dental y bucal</w:t>
            </w:r>
            <w:r w:rsidRPr="001A2D42">
              <w:rPr>
                <w:webHidden/>
              </w:rPr>
              <w:tab/>
            </w:r>
            <w:r w:rsidRPr="001A2D42">
              <w:rPr>
                <w:webHidden/>
              </w:rPr>
              <w:fldChar w:fldCharType="begin"/>
            </w:r>
            <w:r w:rsidRPr="001A2D42">
              <w:rPr>
                <w:webHidden/>
              </w:rPr>
              <w:instrText xml:space="preserve"> PAGEREF _Toc241770407 \h </w:instrText>
            </w:r>
            <w:r w:rsidRPr="001A2D42">
              <w:rPr>
                <w:webHidden/>
              </w:rPr>
            </w:r>
            <w:r w:rsidRPr="001A2D42">
              <w:rPr>
                <w:webHidden/>
              </w:rPr>
              <w:fldChar w:fldCharType="separate"/>
            </w:r>
            <w:r w:rsidR="00C83A5C">
              <w:rPr>
                <w:webHidden/>
              </w:rPr>
              <w:t>24</w:t>
            </w:r>
            <w:r w:rsidRPr="001A2D42">
              <w:rPr>
                <w:webHidden/>
              </w:rPr>
              <w:fldChar w:fldCharType="end"/>
            </w:r>
          </w:hyperlink>
        </w:p>
        <w:p w14:paraId="20C9E7F6" w14:textId="48ADCB78" w:rsidR="001A2D42" w:rsidRPr="001A2D42" w:rsidRDefault="001A2D42" w:rsidP="003B32F9">
          <w:pPr>
            <w:pStyle w:val="TOC2"/>
            <w:spacing w:line="240" w:lineRule="auto"/>
            <w:rPr>
              <w:rFonts w:eastAsiaTheme="minorEastAsia"/>
              <w:bCs w:val="0"/>
              <w:szCs w:val="24"/>
              <w:lang w:val="es-AR" w:eastAsia="es-MX"/>
            </w:rPr>
          </w:pPr>
          <w:hyperlink w:anchor="_Toc241770408" w:history="1">
            <w:r w:rsidRPr="001A2D42">
              <w:rPr>
                <w:rStyle w:val="Hyperlink"/>
                <w:lang w:bidi="es-419"/>
              </w:rPr>
              <w:t>Preparación para el kínder</w:t>
            </w:r>
            <w:r w:rsidRPr="001A2D42">
              <w:rPr>
                <w:webHidden/>
              </w:rPr>
              <w:tab/>
            </w:r>
            <w:r w:rsidRPr="001A2D42">
              <w:rPr>
                <w:webHidden/>
              </w:rPr>
              <w:fldChar w:fldCharType="begin"/>
            </w:r>
            <w:r w:rsidRPr="001A2D42">
              <w:rPr>
                <w:webHidden/>
              </w:rPr>
              <w:instrText xml:space="preserve"> PAGEREF _Toc241770408 \h </w:instrText>
            </w:r>
            <w:r w:rsidRPr="001A2D42">
              <w:rPr>
                <w:webHidden/>
              </w:rPr>
            </w:r>
            <w:r w:rsidRPr="001A2D42">
              <w:rPr>
                <w:webHidden/>
              </w:rPr>
              <w:fldChar w:fldCharType="separate"/>
            </w:r>
            <w:r w:rsidR="00C83A5C">
              <w:rPr>
                <w:webHidden/>
              </w:rPr>
              <w:t>24</w:t>
            </w:r>
            <w:r w:rsidRPr="001A2D42">
              <w:rPr>
                <w:webHidden/>
              </w:rPr>
              <w:fldChar w:fldCharType="end"/>
            </w:r>
          </w:hyperlink>
        </w:p>
        <w:p w14:paraId="7CD48BA6" w14:textId="613E5CF9" w:rsidR="001A2D42" w:rsidRPr="001A2D42" w:rsidRDefault="001A2D42" w:rsidP="003B32F9">
          <w:pPr>
            <w:pStyle w:val="TOC1"/>
            <w:tabs>
              <w:tab w:val="right" w:leader="dot" w:pos="9350"/>
            </w:tabs>
            <w:spacing w:line="240" w:lineRule="auto"/>
            <w:rPr>
              <w:rFonts w:eastAsiaTheme="minorEastAsia"/>
              <w:noProof/>
              <w:szCs w:val="24"/>
              <w:lang w:val="es-AR" w:eastAsia="es-MX"/>
            </w:rPr>
          </w:pPr>
          <w:hyperlink w:anchor="_Toc241770409" w:history="1">
            <w:r w:rsidRPr="001A2D42">
              <w:rPr>
                <w:rStyle w:val="Hyperlink"/>
                <w:noProof/>
                <w:lang w:bidi="es-419"/>
              </w:rPr>
              <w:t>Modelo de pago de incentivos</w:t>
            </w:r>
            <w:r w:rsidRPr="001A2D42">
              <w:rPr>
                <w:noProof/>
                <w:webHidden/>
              </w:rPr>
              <w:tab/>
            </w:r>
            <w:r w:rsidRPr="001A2D42">
              <w:rPr>
                <w:noProof/>
                <w:webHidden/>
              </w:rPr>
              <w:fldChar w:fldCharType="begin"/>
            </w:r>
            <w:r w:rsidRPr="001A2D42">
              <w:rPr>
                <w:noProof/>
                <w:webHidden/>
              </w:rPr>
              <w:instrText xml:space="preserve"> PAGEREF _Toc241770409 \h </w:instrText>
            </w:r>
            <w:r w:rsidRPr="001A2D42">
              <w:rPr>
                <w:noProof/>
                <w:webHidden/>
              </w:rPr>
            </w:r>
            <w:r w:rsidRPr="001A2D42">
              <w:rPr>
                <w:noProof/>
                <w:webHidden/>
              </w:rPr>
              <w:fldChar w:fldCharType="separate"/>
            </w:r>
            <w:r w:rsidR="00C83A5C">
              <w:rPr>
                <w:noProof/>
                <w:webHidden/>
              </w:rPr>
              <w:t>26</w:t>
            </w:r>
            <w:r w:rsidRPr="001A2D42">
              <w:rPr>
                <w:noProof/>
                <w:webHidden/>
              </w:rPr>
              <w:fldChar w:fldCharType="end"/>
            </w:r>
          </w:hyperlink>
        </w:p>
        <w:p w14:paraId="00FE63DB" w14:textId="5EB7B081" w:rsidR="001A2D42" w:rsidRPr="001A2D42" w:rsidRDefault="001A2D42" w:rsidP="003B32F9">
          <w:pPr>
            <w:pStyle w:val="TOC2"/>
            <w:spacing w:line="240" w:lineRule="auto"/>
            <w:rPr>
              <w:rFonts w:eastAsiaTheme="minorEastAsia"/>
              <w:bCs w:val="0"/>
              <w:szCs w:val="24"/>
              <w:lang w:val="es-AR" w:eastAsia="es-MX"/>
            </w:rPr>
          </w:pPr>
          <w:hyperlink w:anchor="_Toc241770410" w:history="1">
            <w:r w:rsidRPr="001A2D42">
              <w:rPr>
                <w:rStyle w:val="Hyperlink"/>
                <w:lang w:bidi="es-419"/>
              </w:rPr>
              <w:t>Acerca de los puntos de referencia y los objetivos de mejora</w:t>
            </w:r>
            <w:r w:rsidRPr="001A2D42">
              <w:rPr>
                <w:webHidden/>
              </w:rPr>
              <w:tab/>
            </w:r>
            <w:r w:rsidRPr="001A2D42">
              <w:rPr>
                <w:webHidden/>
              </w:rPr>
              <w:fldChar w:fldCharType="begin"/>
            </w:r>
            <w:r w:rsidRPr="001A2D42">
              <w:rPr>
                <w:webHidden/>
              </w:rPr>
              <w:instrText xml:space="preserve"> PAGEREF _Toc241770410 \h </w:instrText>
            </w:r>
            <w:r w:rsidRPr="001A2D42">
              <w:rPr>
                <w:webHidden/>
              </w:rPr>
            </w:r>
            <w:r w:rsidRPr="001A2D42">
              <w:rPr>
                <w:webHidden/>
              </w:rPr>
              <w:fldChar w:fldCharType="separate"/>
            </w:r>
            <w:r w:rsidR="00C83A5C">
              <w:rPr>
                <w:webHidden/>
              </w:rPr>
              <w:t>26</w:t>
            </w:r>
            <w:r w:rsidRPr="001A2D42">
              <w:rPr>
                <w:webHidden/>
              </w:rPr>
              <w:fldChar w:fldCharType="end"/>
            </w:r>
          </w:hyperlink>
        </w:p>
        <w:p w14:paraId="3A498879" w14:textId="7184D0B5" w:rsidR="001A2D42" w:rsidRPr="001A2D42" w:rsidRDefault="001A2D42" w:rsidP="003B32F9">
          <w:pPr>
            <w:pStyle w:val="TOC2"/>
            <w:spacing w:line="240" w:lineRule="auto"/>
            <w:rPr>
              <w:rFonts w:eastAsiaTheme="minorEastAsia"/>
              <w:bCs w:val="0"/>
              <w:szCs w:val="24"/>
              <w:lang w:val="es-AR" w:eastAsia="es-MX"/>
            </w:rPr>
          </w:pPr>
          <w:hyperlink w:anchor="_Toc241770411" w:history="1">
            <w:r w:rsidRPr="001A2D42">
              <w:rPr>
                <w:rStyle w:val="Hyperlink"/>
                <w:lang w:bidi="es-419"/>
              </w:rPr>
              <w:t>Resumen de cumplimiento de medidas de 2025 (tabla de rendimiento)</w:t>
            </w:r>
            <w:r w:rsidRPr="001A2D42">
              <w:rPr>
                <w:webHidden/>
              </w:rPr>
              <w:tab/>
            </w:r>
            <w:r w:rsidRPr="001A2D42">
              <w:rPr>
                <w:webHidden/>
              </w:rPr>
              <w:fldChar w:fldCharType="begin"/>
            </w:r>
            <w:r w:rsidRPr="001A2D42">
              <w:rPr>
                <w:webHidden/>
              </w:rPr>
              <w:instrText xml:space="preserve"> PAGEREF _Toc241770411 \h </w:instrText>
            </w:r>
            <w:r w:rsidRPr="001A2D42">
              <w:rPr>
                <w:webHidden/>
              </w:rPr>
            </w:r>
            <w:r w:rsidRPr="001A2D42">
              <w:rPr>
                <w:webHidden/>
              </w:rPr>
              <w:fldChar w:fldCharType="separate"/>
            </w:r>
            <w:r w:rsidR="00C83A5C">
              <w:rPr>
                <w:webHidden/>
              </w:rPr>
              <w:t>27</w:t>
            </w:r>
            <w:r w:rsidRPr="001A2D42">
              <w:rPr>
                <w:webHidden/>
              </w:rPr>
              <w:fldChar w:fldCharType="end"/>
            </w:r>
          </w:hyperlink>
        </w:p>
        <w:p w14:paraId="3205617A" w14:textId="54BA4C6B" w:rsidR="001A2D42" w:rsidRPr="001A2D42" w:rsidRDefault="001A2D42" w:rsidP="003B32F9">
          <w:pPr>
            <w:pStyle w:val="TOC2"/>
            <w:spacing w:line="240" w:lineRule="auto"/>
            <w:rPr>
              <w:rFonts w:eastAsiaTheme="minorEastAsia"/>
              <w:bCs w:val="0"/>
              <w:szCs w:val="24"/>
              <w:lang w:val="es-AR" w:eastAsia="es-MX"/>
            </w:rPr>
          </w:pPr>
          <w:hyperlink w:anchor="_Toc241770412" w:history="1">
            <w:r w:rsidRPr="001A2D42">
              <w:rPr>
                <w:rStyle w:val="Hyperlink"/>
                <w:lang w:bidi="es-419"/>
              </w:rPr>
              <w:t>Acerca de los fondos de bonos</w:t>
            </w:r>
            <w:r w:rsidRPr="001A2D42">
              <w:rPr>
                <w:webHidden/>
              </w:rPr>
              <w:tab/>
            </w:r>
            <w:r w:rsidRPr="001A2D42">
              <w:rPr>
                <w:webHidden/>
              </w:rPr>
              <w:fldChar w:fldCharType="begin"/>
            </w:r>
            <w:r w:rsidRPr="001A2D42">
              <w:rPr>
                <w:webHidden/>
              </w:rPr>
              <w:instrText xml:space="preserve"> PAGEREF _Toc241770412 \h </w:instrText>
            </w:r>
            <w:r w:rsidRPr="001A2D42">
              <w:rPr>
                <w:webHidden/>
              </w:rPr>
            </w:r>
            <w:r w:rsidRPr="001A2D42">
              <w:rPr>
                <w:webHidden/>
              </w:rPr>
              <w:fldChar w:fldCharType="separate"/>
            </w:r>
            <w:r w:rsidR="00C83A5C">
              <w:rPr>
                <w:webHidden/>
              </w:rPr>
              <w:t>28</w:t>
            </w:r>
            <w:r w:rsidRPr="001A2D42">
              <w:rPr>
                <w:webHidden/>
              </w:rPr>
              <w:fldChar w:fldCharType="end"/>
            </w:r>
          </w:hyperlink>
        </w:p>
        <w:p w14:paraId="13794A42" w14:textId="60D53B17" w:rsidR="001A2D42" w:rsidRPr="001A2D42" w:rsidRDefault="001A2D42" w:rsidP="003B32F9">
          <w:pPr>
            <w:pStyle w:val="TOC2"/>
            <w:spacing w:line="240" w:lineRule="auto"/>
            <w:rPr>
              <w:rFonts w:eastAsiaTheme="minorEastAsia"/>
              <w:bCs w:val="0"/>
              <w:szCs w:val="24"/>
              <w:lang w:val="es-AR" w:eastAsia="es-MX"/>
            </w:rPr>
          </w:pPr>
          <w:hyperlink w:anchor="_Toc241770413" w:history="1">
            <w:r w:rsidRPr="001A2D42">
              <w:rPr>
                <w:rStyle w:val="Hyperlink"/>
                <w:lang w:bidi="es-419"/>
              </w:rPr>
              <w:t>Tablas de distribución del fondo de incentivos por calidad de 2025</w:t>
            </w:r>
            <w:r w:rsidRPr="001A2D42">
              <w:rPr>
                <w:webHidden/>
              </w:rPr>
              <w:tab/>
            </w:r>
            <w:r w:rsidRPr="001A2D42">
              <w:rPr>
                <w:webHidden/>
              </w:rPr>
              <w:fldChar w:fldCharType="begin"/>
            </w:r>
            <w:r w:rsidRPr="001A2D42">
              <w:rPr>
                <w:webHidden/>
              </w:rPr>
              <w:instrText xml:space="preserve"> PAGEREF _Toc241770413 \h </w:instrText>
            </w:r>
            <w:r w:rsidRPr="001A2D42">
              <w:rPr>
                <w:webHidden/>
              </w:rPr>
            </w:r>
            <w:r w:rsidRPr="001A2D42">
              <w:rPr>
                <w:webHidden/>
              </w:rPr>
              <w:fldChar w:fldCharType="separate"/>
            </w:r>
            <w:r w:rsidR="00C83A5C">
              <w:rPr>
                <w:webHidden/>
              </w:rPr>
              <w:t>34</w:t>
            </w:r>
            <w:r w:rsidRPr="001A2D42">
              <w:rPr>
                <w:webHidden/>
              </w:rPr>
              <w:fldChar w:fldCharType="end"/>
            </w:r>
          </w:hyperlink>
        </w:p>
        <w:p w14:paraId="2F227DA6" w14:textId="61D869E1" w:rsidR="001A2D42" w:rsidRPr="001A2D42" w:rsidRDefault="001A2D42" w:rsidP="003B32F9">
          <w:pPr>
            <w:pStyle w:val="TOC1"/>
            <w:tabs>
              <w:tab w:val="right" w:leader="dot" w:pos="9350"/>
            </w:tabs>
            <w:spacing w:line="240" w:lineRule="auto"/>
            <w:rPr>
              <w:rFonts w:eastAsiaTheme="minorEastAsia"/>
              <w:noProof/>
              <w:szCs w:val="24"/>
              <w:lang w:val="es-AR" w:eastAsia="es-MX"/>
            </w:rPr>
          </w:pPr>
          <w:hyperlink w:anchor="_Toc241770414" w:history="1">
            <w:r w:rsidRPr="001A2D42">
              <w:rPr>
                <w:rStyle w:val="Hyperlink"/>
                <w:noProof/>
                <w:lang w:bidi="es-419"/>
              </w:rPr>
              <w:t>Apéndices</w:t>
            </w:r>
            <w:r w:rsidRPr="001A2D42">
              <w:rPr>
                <w:noProof/>
                <w:webHidden/>
              </w:rPr>
              <w:tab/>
            </w:r>
            <w:r w:rsidRPr="001A2D42">
              <w:rPr>
                <w:noProof/>
                <w:webHidden/>
              </w:rPr>
              <w:fldChar w:fldCharType="begin"/>
            </w:r>
            <w:r w:rsidRPr="001A2D42">
              <w:rPr>
                <w:noProof/>
                <w:webHidden/>
              </w:rPr>
              <w:instrText xml:space="preserve"> PAGEREF _Toc241770414 \h </w:instrText>
            </w:r>
            <w:r w:rsidRPr="001A2D42">
              <w:rPr>
                <w:noProof/>
                <w:webHidden/>
              </w:rPr>
            </w:r>
            <w:r w:rsidRPr="001A2D42">
              <w:rPr>
                <w:noProof/>
                <w:webHidden/>
              </w:rPr>
              <w:fldChar w:fldCharType="separate"/>
            </w:r>
            <w:r w:rsidR="00C83A5C">
              <w:rPr>
                <w:noProof/>
                <w:webHidden/>
              </w:rPr>
              <w:t>37</w:t>
            </w:r>
            <w:r w:rsidRPr="001A2D42">
              <w:rPr>
                <w:noProof/>
                <w:webHidden/>
              </w:rPr>
              <w:fldChar w:fldCharType="end"/>
            </w:r>
          </w:hyperlink>
        </w:p>
        <w:p w14:paraId="593B2192" w14:textId="4F00E474" w:rsidR="001A2D42" w:rsidRPr="001A2D42" w:rsidRDefault="001A2D42" w:rsidP="003B32F9">
          <w:pPr>
            <w:pStyle w:val="TOC2"/>
            <w:spacing w:line="240" w:lineRule="auto"/>
            <w:rPr>
              <w:rFonts w:eastAsiaTheme="minorEastAsia"/>
              <w:bCs w:val="0"/>
              <w:szCs w:val="24"/>
              <w:lang w:val="es-AR" w:eastAsia="es-MX"/>
            </w:rPr>
          </w:pPr>
          <w:hyperlink w:anchor="_Toc241770415" w:history="1">
            <w:r w:rsidRPr="001A2D42">
              <w:rPr>
                <w:rStyle w:val="Hyperlink"/>
                <w:lang w:bidi="es-419"/>
              </w:rPr>
              <w:t>Apéndice A: antecedentes</w:t>
            </w:r>
            <w:r w:rsidRPr="001A2D42">
              <w:rPr>
                <w:webHidden/>
              </w:rPr>
              <w:tab/>
            </w:r>
            <w:r w:rsidRPr="001A2D42">
              <w:rPr>
                <w:webHidden/>
              </w:rPr>
              <w:fldChar w:fldCharType="begin"/>
            </w:r>
            <w:r w:rsidRPr="001A2D42">
              <w:rPr>
                <w:webHidden/>
              </w:rPr>
              <w:instrText xml:space="preserve"> PAGEREF _Toc241770415 \h </w:instrText>
            </w:r>
            <w:r w:rsidRPr="001A2D42">
              <w:rPr>
                <w:webHidden/>
              </w:rPr>
            </w:r>
            <w:r w:rsidRPr="001A2D42">
              <w:rPr>
                <w:webHidden/>
              </w:rPr>
              <w:fldChar w:fldCharType="separate"/>
            </w:r>
            <w:r w:rsidR="00C83A5C">
              <w:rPr>
                <w:webHidden/>
              </w:rPr>
              <w:t>37</w:t>
            </w:r>
            <w:r w:rsidRPr="001A2D42">
              <w:rPr>
                <w:webHidden/>
              </w:rPr>
              <w:fldChar w:fldCharType="end"/>
            </w:r>
          </w:hyperlink>
        </w:p>
        <w:p w14:paraId="4C83B6D4" w14:textId="014D0212" w:rsidR="001A2D42" w:rsidRPr="001A2D42" w:rsidRDefault="001A2D42" w:rsidP="003B32F9">
          <w:pPr>
            <w:pStyle w:val="TOC2"/>
            <w:spacing w:line="240" w:lineRule="auto"/>
            <w:rPr>
              <w:rFonts w:eastAsiaTheme="minorEastAsia"/>
              <w:bCs w:val="0"/>
              <w:szCs w:val="24"/>
              <w:lang w:val="es-AR" w:eastAsia="es-MX"/>
            </w:rPr>
          </w:pPr>
          <w:hyperlink w:anchor="_Toc241770416" w:history="1">
            <w:r w:rsidRPr="001A2D42">
              <w:rPr>
                <w:rStyle w:val="Hyperlink"/>
                <w:lang w:bidi="es-419"/>
              </w:rPr>
              <w:t>Apéndice B: cómo se calculan los objetivos de mejora</w:t>
            </w:r>
            <w:r w:rsidRPr="001A2D42">
              <w:rPr>
                <w:webHidden/>
              </w:rPr>
              <w:tab/>
            </w:r>
            <w:r w:rsidRPr="001A2D42">
              <w:rPr>
                <w:webHidden/>
              </w:rPr>
              <w:fldChar w:fldCharType="begin"/>
            </w:r>
            <w:r w:rsidRPr="001A2D42">
              <w:rPr>
                <w:webHidden/>
              </w:rPr>
              <w:instrText xml:space="preserve"> PAGEREF _Toc241770416 \h </w:instrText>
            </w:r>
            <w:r w:rsidRPr="001A2D42">
              <w:rPr>
                <w:webHidden/>
              </w:rPr>
            </w:r>
            <w:r w:rsidRPr="001A2D42">
              <w:rPr>
                <w:webHidden/>
              </w:rPr>
              <w:fldChar w:fldCharType="separate"/>
            </w:r>
            <w:r w:rsidR="00C83A5C">
              <w:rPr>
                <w:webHidden/>
              </w:rPr>
              <w:t>39</w:t>
            </w:r>
            <w:r w:rsidRPr="001A2D42">
              <w:rPr>
                <w:webHidden/>
              </w:rPr>
              <w:fldChar w:fldCharType="end"/>
            </w:r>
          </w:hyperlink>
        </w:p>
        <w:p w14:paraId="7409C638" w14:textId="70314943" w:rsidR="001A2D42" w:rsidRPr="001A2D42" w:rsidRDefault="001A2D42" w:rsidP="003B32F9">
          <w:pPr>
            <w:pStyle w:val="TOC2"/>
            <w:spacing w:line="240" w:lineRule="auto"/>
            <w:rPr>
              <w:rFonts w:eastAsiaTheme="minorEastAsia"/>
              <w:bCs w:val="0"/>
              <w:szCs w:val="24"/>
              <w:lang w:val="es-AR" w:eastAsia="es-MX"/>
            </w:rPr>
          </w:pPr>
          <w:hyperlink w:anchor="_Toc241770417" w:history="1">
            <w:r w:rsidRPr="001A2D42">
              <w:rPr>
                <w:rStyle w:val="Hyperlink"/>
                <w:lang w:bidi="es-419"/>
              </w:rPr>
              <w:t>Apéndice C: cómo describimos el cambio a lo largo del tiempo</w:t>
            </w:r>
            <w:r w:rsidRPr="001A2D42">
              <w:rPr>
                <w:webHidden/>
              </w:rPr>
              <w:tab/>
            </w:r>
            <w:r w:rsidRPr="001A2D42">
              <w:rPr>
                <w:webHidden/>
              </w:rPr>
              <w:fldChar w:fldCharType="begin"/>
            </w:r>
            <w:r w:rsidRPr="001A2D42">
              <w:rPr>
                <w:webHidden/>
              </w:rPr>
              <w:instrText xml:space="preserve"> PAGEREF _Toc241770417 \h </w:instrText>
            </w:r>
            <w:r w:rsidRPr="001A2D42">
              <w:rPr>
                <w:webHidden/>
              </w:rPr>
            </w:r>
            <w:r w:rsidRPr="001A2D42">
              <w:rPr>
                <w:webHidden/>
              </w:rPr>
              <w:fldChar w:fldCharType="separate"/>
            </w:r>
            <w:r w:rsidR="00C83A5C">
              <w:rPr>
                <w:webHidden/>
              </w:rPr>
              <w:t>41</w:t>
            </w:r>
            <w:r w:rsidRPr="001A2D42">
              <w:rPr>
                <w:webHidden/>
              </w:rPr>
              <w:fldChar w:fldCharType="end"/>
            </w:r>
          </w:hyperlink>
        </w:p>
        <w:p w14:paraId="36063F11" w14:textId="48ADAEDB" w:rsidR="001A2D42" w:rsidRPr="001A2D42" w:rsidRDefault="001A2D42" w:rsidP="003B32F9">
          <w:pPr>
            <w:pStyle w:val="TOC2"/>
            <w:spacing w:line="240" w:lineRule="auto"/>
            <w:rPr>
              <w:rFonts w:eastAsiaTheme="minorEastAsia"/>
              <w:bCs w:val="0"/>
              <w:szCs w:val="24"/>
              <w:lang w:val="es-AR" w:eastAsia="es-MX"/>
            </w:rPr>
          </w:pPr>
          <w:hyperlink w:anchor="_Toc241770418" w:history="1">
            <w:r w:rsidRPr="001A2D42">
              <w:rPr>
                <w:rStyle w:val="Hyperlink"/>
                <w:lang w:bidi="es-419"/>
              </w:rPr>
              <w:t>Apéndice D: tasas de servicio de las CCO en 2025</w:t>
            </w:r>
            <w:r w:rsidRPr="001A2D42">
              <w:rPr>
                <w:webHidden/>
              </w:rPr>
              <w:tab/>
            </w:r>
            <w:r w:rsidRPr="001A2D42">
              <w:rPr>
                <w:webHidden/>
              </w:rPr>
              <w:fldChar w:fldCharType="begin"/>
            </w:r>
            <w:r w:rsidRPr="001A2D42">
              <w:rPr>
                <w:webHidden/>
              </w:rPr>
              <w:instrText xml:space="preserve"> PAGEREF _Toc241770418 \h </w:instrText>
            </w:r>
            <w:r w:rsidRPr="001A2D42">
              <w:rPr>
                <w:webHidden/>
              </w:rPr>
            </w:r>
            <w:r w:rsidRPr="001A2D42">
              <w:rPr>
                <w:webHidden/>
              </w:rPr>
              <w:fldChar w:fldCharType="separate"/>
            </w:r>
            <w:r w:rsidR="00C83A5C">
              <w:rPr>
                <w:webHidden/>
              </w:rPr>
              <w:t>42</w:t>
            </w:r>
            <w:r w:rsidRPr="001A2D42">
              <w:rPr>
                <w:webHidden/>
              </w:rPr>
              <w:fldChar w:fldCharType="end"/>
            </w:r>
          </w:hyperlink>
        </w:p>
        <w:p w14:paraId="28AE383C" w14:textId="7F5AC193" w:rsidR="001A2D42" w:rsidRPr="001A2D42" w:rsidRDefault="001A2D42" w:rsidP="003B32F9">
          <w:pPr>
            <w:pStyle w:val="TOC2"/>
            <w:spacing w:line="240" w:lineRule="auto"/>
            <w:rPr>
              <w:rFonts w:eastAsiaTheme="minorEastAsia"/>
              <w:bCs w:val="0"/>
              <w:szCs w:val="24"/>
              <w:lang w:val="es-AR" w:eastAsia="es-MX"/>
            </w:rPr>
          </w:pPr>
          <w:hyperlink w:anchor="_Toc241770419" w:history="1">
            <w:r w:rsidRPr="001A2D42">
              <w:rPr>
                <w:rStyle w:val="Hyperlink"/>
                <w:lang w:bidi="es-419"/>
              </w:rPr>
              <w:t>Apéndice E: citas [en inglés]</w:t>
            </w:r>
            <w:r w:rsidRPr="001A2D42">
              <w:rPr>
                <w:webHidden/>
              </w:rPr>
              <w:tab/>
            </w:r>
            <w:r w:rsidRPr="001A2D42">
              <w:rPr>
                <w:webHidden/>
              </w:rPr>
              <w:fldChar w:fldCharType="begin"/>
            </w:r>
            <w:r w:rsidRPr="001A2D42">
              <w:rPr>
                <w:webHidden/>
              </w:rPr>
              <w:instrText xml:space="preserve"> PAGEREF _Toc241770419 \h </w:instrText>
            </w:r>
            <w:r w:rsidRPr="001A2D42">
              <w:rPr>
                <w:webHidden/>
              </w:rPr>
            </w:r>
            <w:r w:rsidRPr="001A2D42">
              <w:rPr>
                <w:webHidden/>
              </w:rPr>
              <w:fldChar w:fldCharType="separate"/>
            </w:r>
            <w:r w:rsidR="00C83A5C">
              <w:rPr>
                <w:webHidden/>
              </w:rPr>
              <w:t>44</w:t>
            </w:r>
            <w:r w:rsidRPr="001A2D42">
              <w:rPr>
                <w:webHidden/>
              </w:rPr>
              <w:fldChar w:fldCharType="end"/>
            </w:r>
          </w:hyperlink>
        </w:p>
        <w:p w14:paraId="2E4CE296" w14:textId="3EB00D18" w:rsidR="00ED698D" w:rsidRPr="001A2D42" w:rsidRDefault="00ED698D" w:rsidP="003B32F9">
          <w:pPr>
            <w:spacing w:line="240" w:lineRule="auto"/>
          </w:pPr>
          <w:r w:rsidRPr="001A2D42">
            <w:rPr>
              <w:lang w:bidi="es-419"/>
            </w:rPr>
            <w:fldChar w:fldCharType="end"/>
          </w:r>
        </w:p>
      </w:sdtContent>
    </w:sdt>
    <w:p w14:paraId="569D736D" w14:textId="1E89F505" w:rsidR="00ED698D" w:rsidRPr="001A2D42" w:rsidRDefault="00ED698D" w:rsidP="003B32F9">
      <w:pPr>
        <w:spacing w:line="240" w:lineRule="auto"/>
        <w:rPr>
          <w:i/>
          <w:iCs/>
        </w:rPr>
        <w:sectPr w:rsidR="00ED698D" w:rsidRPr="001A2D42" w:rsidSect="00ED698D">
          <w:footnotePr>
            <w:numFmt w:val="lowerLetter"/>
          </w:footnotePr>
          <w:pgSz w:w="12240" w:h="15840"/>
          <w:pgMar w:top="1440" w:right="1440" w:bottom="1440" w:left="1440" w:header="720" w:footer="720" w:gutter="0"/>
          <w:pgNumType w:start="0"/>
          <w:cols w:space="720"/>
          <w:titlePg/>
          <w:docGrid w:linePitch="360"/>
        </w:sectPr>
      </w:pPr>
      <w:r w:rsidRPr="001A2D42">
        <w:rPr>
          <w:lang w:bidi="es-419"/>
        </w:rPr>
        <w:br/>
        <w:t xml:space="preserve">Publicado el </w:t>
      </w:r>
      <w:r w:rsidR="00DD766F">
        <w:rPr>
          <w:lang w:bidi="es-419"/>
        </w:rPr>
        <w:t>19</w:t>
      </w:r>
      <w:r w:rsidRPr="001A2D42">
        <w:rPr>
          <w:lang w:bidi="es-419"/>
        </w:rPr>
        <w:t xml:space="preserve"> de </w:t>
      </w:r>
      <w:r w:rsidR="00DD766F">
        <w:rPr>
          <w:lang w:bidi="es-419"/>
        </w:rPr>
        <w:t>octubre</w:t>
      </w:r>
      <w:r w:rsidRPr="001A2D42">
        <w:rPr>
          <w:lang w:bidi="es-419"/>
        </w:rPr>
        <w:t xml:space="preserve"> de 2026</w:t>
      </w:r>
    </w:p>
    <w:p w14:paraId="7161FBC1" w14:textId="77777777" w:rsidR="00ED698D" w:rsidRPr="001A2D42" w:rsidRDefault="00ED698D" w:rsidP="003B32F9">
      <w:pPr>
        <w:pStyle w:val="Heading1"/>
        <w:spacing w:line="240" w:lineRule="auto"/>
      </w:pPr>
      <w:bookmarkStart w:id="1" w:name="_Toc241770398"/>
      <w:r w:rsidRPr="001A2D42">
        <w:rPr>
          <w:lang w:bidi="es-419"/>
        </w:rPr>
        <w:lastRenderedPageBreak/>
        <w:t>Acerca de este informe</w:t>
      </w:r>
      <w:bookmarkEnd w:id="1"/>
    </w:p>
    <w:p w14:paraId="57040F2D" w14:textId="7ED8779A" w:rsidR="00ED698D" w:rsidRPr="001A2D42" w:rsidRDefault="00ED698D" w:rsidP="003B32F9">
      <w:pPr>
        <w:spacing w:line="240" w:lineRule="auto"/>
      </w:pPr>
      <w:r w:rsidRPr="001A2D42">
        <w:rPr>
          <w:lang w:bidi="es-419"/>
        </w:rPr>
        <w:t xml:space="preserve">Medir la calidad y el acceso a la atención, y hacer que las CCO se responsabilicen sobre los indicadores clave, es una piedra angular de la transformación del sistema de salud de Oregon. El Programa de Incentivos de Calidad de las CCO recompensa la atención excepcional y la mejora continua de la calidad por parte de las CCO, que atienden a más de un millón de personas en el Plan de Salud de Oregon (Medicaid). </w:t>
      </w:r>
    </w:p>
    <w:p w14:paraId="51C7191F" w14:textId="41529F3D" w:rsidR="00ED698D" w:rsidRPr="001A2D42" w:rsidRDefault="00ED698D" w:rsidP="003B32F9">
      <w:pPr>
        <w:spacing w:line="240" w:lineRule="auto"/>
      </w:pPr>
      <w:r w:rsidRPr="001A2D42">
        <w:rPr>
          <w:lang w:bidi="es-419"/>
        </w:rPr>
        <w:t>Este informe es un resumen del rendimiento de las organizaciones de atención coordinada (CCO) de Oregon en 2025. Incluye los puntos destacados del rendimiento a nivel estatal y resúmenes del rendimiento y los pagos de las CCO para las medidas de incentivos. También destaca los cambios y eventos del programa en 2025.</w:t>
      </w:r>
    </w:p>
    <w:p w14:paraId="5E1BAA0E" w14:textId="19B3BC0E" w:rsidR="00ED698D" w:rsidRPr="001A2D42" w:rsidRDefault="00ED698D" w:rsidP="003B32F9">
      <w:pPr>
        <w:spacing w:line="240" w:lineRule="auto"/>
      </w:pPr>
      <w:r w:rsidRPr="001A2D42">
        <w:rPr>
          <w:lang w:bidi="es-419"/>
        </w:rPr>
        <w:t xml:space="preserve">A medida que la OHA continúa administrando los recursos públicos frente a la evolución de la política federal y las presiones presupuestarias estatales, la agencia mantiene su compromiso de preservar los valores fundamentales del programa de calidad, es decir: recompensar los resultados significativos, promover la equidad en salud y garantizar la flexibilidad local. </w:t>
      </w:r>
    </w:p>
    <w:p w14:paraId="6657B539" w14:textId="77777777" w:rsidR="00ED698D" w:rsidRPr="001A2D42" w:rsidRDefault="00ED698D" w:rsidP="003B32F9">
      <w:pPr>
        <w:pStyle w:val="Heading3"/>
        <w:spacing w:line="240" w:lineRule="auto"/>
      </w:pPr>
      <w:r w:rsidRPr="001A2D42">
        <w:rPr>
          <w:lang w:bidi="es-419"/>
        </w:rPr>
        <w:t>Explore el tablero de indicadores de rendimiento de las CCO</w:t>
      </w:r>
    </w:p>
    <w:p w14:paraId="4DD03940" w14:textId="33FD8E34" w:rsidR="00ED698D" w:rsidRPr="001A2D42" w:rsidRDefault="00ED698D" w:rsidP="003B32F9">
      <w:pPr>
        <w:spacing w:after="240" w:line="240" w:lineRule="auto"/>
        <w:rPr>
          <w:b/>
          <w:bCs/>
        </w:rPr>
      </w:pPr>
      <w:r w:rsidRPr="001A2D42">
        <w:rPr>
          <w:lang w:bidi="es-419"/>
        </w:rPr>
        <w:t xml:space="preserve">Los </w:t>
      </w:r>
      <w:hyperlink r:id="rId14">
        <w:r w:rsidRPr="001A2D42">
          <w:rPr>
            <w:rStyle w:val="Hyperlink"/>
            <w:lang w:bidi="es-419"/>
          </w:rPr>
          <w:t>Tableros anuales de indicadores de las CCO</w:t>
        </w:r>
      </w:hyperlink>
      <w:r w:rsidRPr="001A2D42">
        <w:rPr>
          <w:lang w:bidi="es-419"/>
        </w:rPr>
        <w:t xml:space="preserve"> complementan este informe, describiendo con más detalle el progreso de las CCO de Oregon en las medidas de calidad. Los lectores pueden encontrar rápidamente la medida de su interés y ver las tendencias individuales de las CCO a lo largo del tiempo. Los lectores también pueden ver las brechas de servicio en cuanto a demografía y geografía que han mejorado.</w:t>
      </w:r>
    </w:p>
    <w:p w14:paraId="4AD4C70D" w14:textId="6CFA3855" w:rsidR="00ED698D" w:rsidRPr="001A2D42" w:rsidRDefault="00607002" w:rsidP="003B32F9">
      <w:pPr>
        <w:spacing w:after="240" w:line="240" w:lineRule="auto"/>
        <w:jc w:val="center"/>
      </w:pPr>
      <w:r w:rsidRPr="001A2D42">
        <w:rPr>
          <w:noProof/>
          <w:lang w:bidi="es-419"/>
        </w:rPr>
        <mc:AlternateContent>
          <mc:Choice Requires="wpg">
            <w:drawing>
              <wp:inline distT="0" distB="0" distL="0" distR="0" wp14:anchorId="2C6EE56F" wp14:editId="4F8E4CB1">
                <wp:extent cx="4205039" cy="914400"/>
                <wp:effectExtent l="0" t="0" r="0" b="0"/>
                <wp:docPr id="300120083" name="Group 7">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205039" cy="914400"/>
                          <a:chOff x="0" y="0"/>
                          <a:chExt cx="4205039" cy="914400"/>
                        </a:xfrm>
                      </wpg:grpSpPr>
                      <wpg:grpSp>
                        <wpg:cNvPr id="1877410780" name="Group 1877410780"/>
                        <wpg:cNvGrpSpPr/>
                        <wpg:grpSpPr>
                          <a:xfrm>
                            <a:off x="0" y="0"/>
                            <a:ext cx="914400" cy="914400"/>
                            <a:chOff x="0" y="0"/>
                            <a:chExt cx="457200" cy="457200"/>
                          </a:xfrm>
                        </wpg:grpSpPr>
                        <wps:wsp>
                          <wps:cNvPr id="22044773" name="Rectangle: Rounded Corners 22044773"/>
                          <wps:cNvSpPr>
                            <a:spLocks noChangeAspect="1"/>
                          </wps:cNvSpPr>
                          <wps:spPr>
                            <a:xfrm>
                              <a:off x="0" y="0"/>
                              <a:ext cx="457200" cy="457200"/>
                            </a:xfrm>
                            <a:prstGeom prst="roundRect">
                              <a:avLst/>
                            </a:prstGeom>
                            <a:solidFill>
                              <a:schemeClr val="tx2">
                                <a:lumMod val="90000"/>
                                <a:lumOff val="10000"/>
                              </a:schemeClr>
                            </a:solidFill>
                            <a:ln w="2857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025871555" name="Graphic 2"/>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45720" y="45720"/>
                              <a:ext cx="365760" cy="365760"/>
                            </a:xfrm>
                            <a:prstGeom prst="rect">
                              <a:avLst/>
                            </a:prstGeom>
                          </pic:spPr>
                        </pic:pic>
                      </wpg:grpSp>
                      <wps:wsp>
                        <wps:cNvPr id="652569998" name="TextBox 6"/>
                        <wps:cNvSpPr txBox="1"/>
                        <wps:spPr>
                          <a:xfrm>
                            <a:off x="913834" y="257145"/>
                            <a:ext cx="3291205" cy="435610"/>
                          </a:xfrm>
                          <a:prstGeom prst="rect">
                            <a:avLst/>
                          </a:prstGeom>
                          <a:noFill/>
                        </wps:spPr>
                        <wps:txbx>
                          <w:txbxContent>
                            <w:p w14:paraId="6FC5F6E1" w14:textId="77777777" w:rsidR="00607002" w:rsidRPr="00152407" w:rsidRDefault="00607002" w:rsidP="00607002">
                              <w:pPr>
                                <w:spacing w:before="120" w:after="0"/>
                                <w:rPr>
                                  <w:rFonts w:hAnsi="Aptos"/>
                                  <w:color w:val="153D63" w:themeColor="text2" w:themeTint="E6"/>
                                  <w:kern w:val="24"/>
                                  <w:sz w:val="32"/>
                                  <w:szCs w:val="32"/>
                                  <w14:ligatures w14:val="none"/>
                                </w:rPr>
                              </w:pPr>
                              <w:r w:rsidRPr="00152407">
                                <w:rPr>
                                  <w:rFonts w:eastAsia="Aptos" w:hAnsi="Aptos" w:cs="Aptos"/>
                                  <w:color w:val="153D63" w:themeColor="text2" w:themeTint="E6"/>
                                  <w:kern w:val="24"/>
                                  <w:sz w:val="32"/>
                                  <w:szCs w:val="32"/>
                                  <w:lang w:bidi="es-419"/>
                                </w:rPr>
                                <w:t>Tableros de indicadores de las CCO</w:t>
                              </w:r>
                            </w:p>
                          </w:txbxContent>
                        </wps:txbx>
                        <wps:bodyPr wrap="none" rtlCol="0">
                          <a:spAutoFit/>
                        </wps:bodyPr>
                      </wps:wsp>
                    </wpg:wgp>
                  </a:graphicData>
                </a:graphic>
              </wp:inline>
            </w:drawing>
          </mc:Choice>
          <mc:Fallback>
            <w:pict>
              <v:group w14:anchorId="2C6EE56F" id="Group 7" o:spid="_x0000_s1026" alt="&quot;&quot;" href="https://www.oregon.gov/oha/hpa/analytics/pages/metrics-reporting.aspx" style="width:331.1pt;height:1in;mso-position-horizontal-relative:char;mso-position-vertical-relative:line" coordsize="42050,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" o:button="t">
                <v:group id="Group 1877410780" o:spid="_x0000_s1027" style="position:absolute;width:9144;height:9144"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">
                  <v:roundrect id="Rectangle: Rounded Corners 22044773" o:spid="_x0000_s1028" style="position:absolute;width:457200;height:4572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" fillcolor="#153e64 [2911]" stroked="f" strokeweight="2.25pt">
                    <v:stroke joinstyle="miter"/>
                    <o:lock v:ext="edit" aspectratio="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9" type="#_x0000_t75" style="position:absolute;left:45720;top:45720;width:365760;height:36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">
                    <v:imagedata r:id="rId17" o:title=""/>
                  </v:shape>
                </v:group>
                <v:shapetype id="_x0000_t202" coordsize="21600,21600" o:spt="202" path="m,l,21600r21600,l21600,xe">
                  <v:stroke joinstyle="miter"/>
                  <v:path gradientshapeok="t" o:connecttype="rect"/>
                </v:shapetype>
                <v:shape id="TextBox 6" o:spid="_x0000_s1030" type="#_x0000_t202" style="position:absolute;left:9138;top:2571;width:32912;height:4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" filled="f" stroked="f">
                  <v:textbox style="mso-fit-shape-to-text:t">
                    <w:txbxContent>
                      <w:p w14:paraId="6FC5F6E1" w14:textId="77777777" w:rsidR="00607002" w:rsidRPr="00152407" w:rsidRDefault="00607002" w:rsidP="00607002">
                        <w:pPr>
                          <w:spacing w:before="120" w:after="0"/>
                          <w:rPr>
                            <w:rFonts w:hAnsi="Aptos"/>
                            <w:color w:val="153D63" w:themeColor="text2" w:themeTint="E6"/>
                            <w:kern w:val="24"/>
                            <w:sz w:val="32"/>
                            <w:szCs w:val="32"/>
                            <w14:ligatures w14:val="none"/>
                          </w:rPr>
                        </w:pPr>
                        <w:r w:rsidRPr="00152407">
                          <w:rPr>
                            <w:rFonts w:eastAsia="Aptos" w:hAnsi="Aptos" w:cs="Aptos"/>
                            <w:color w:val="153D63" w:themeColor="text2" w:themeTint="E6"/>
                            <w:kern w:val="24"/>
                            <w:sz w:val="32"/>
                            <w:szCs w:val="32"/>
                            <w:lang w:bidi="es-419"/>
                          </w:rPr>
                          <w:t>Tableros de indicadores de las CCO</w:t>
                        </w:r>
                      </w:p>
                    </w:txbxContent>
                  </v:textbox>
                </v:shape>
                <w10:anchorlock/>
              </v:group>
            </w:pict>
          </mc:Fallback>
        </mc:AlternateContent>
      </w:r>
    </w:p>
    <w:p w14:paraId="23C52D0B" w14:textId="77777777" w:rsidR="00ED698D" w:rsidRPr="001A2D42" w:rsidRDefault="00ED698D" w:rsidP="003B32F9">
      <w:pPr>
        <w:pStyle w:val="Heading3"/>
        <w:spacing w:before="120" w:line="240" w:lineRule="auto"/>
      </w:pPr>
      <w:r w:rsidRPr="001A2D42">
        <w:rPr>
          <w:lang w:bidi="es-419"/>
        </w:rPr>
        <w:t>Reconocimientos</w:t>
      </w:r>
    </w:p>
    <w:p w14:paraId="5E5DBCA9" w14:textId="77698F6C" w:rsidR="00ED698D" w:rsidRPr="001A2D42" w:rsidRDefault="00ED698D" w:rsidP="003B32F9">
      <w:pPr>
        <w:spacing w:after="0" w:line="240" w:lineRule="auto"/>
      </w:pPr>
      <w:r w:rsidRPr="001A2D42">
        <w:rPr>
          <w:lang w:bidi="es-419"/>
        </w:rPr>
        <w:t xml:space="preserve">Esta publicación fue preparada por la Oficina de Análisis de Salud de la Oregon Health Authority. Si tiene preguntas sobre este informe, comuníquese al correo electrónico </w:t>
      </w:r>
      <w:hyperlink r:id="rId18" w:history="1">
        <w:r w:rsidRPr="001A2D42">
          <w:rPr>
            <w:rStyle w:val="Hyperlink"/>
            <w:lang w:bidi="es-419"/>
          </w:rPr>
          <w:t>metrics.questions@odhsoha.oregon.gov</w:t>
        </w:r>
      </w:hyperlink>
      <w:r w:rsidRPr="001A2D42">
        <w:rPr>
          <w:lang w:bidi="es-419"/>
        </w:rPr>
        <w:t xml:space="preserve"> o por teléfono al 503-201-1949. </w:t>
      </w:r>
    </w:p>
    <w:p w14:paraId="4D1B8C0A" w14:textId="77777777" w:rsidR="00ED698D" w:rsidRPr="00262EEF" w:rsidRDefault="00ED698D" w:rsidP="003B32F9">
      <w:pPr>
        <w:pStyle w:val="Heading3"/>
        <w:spacing w:line="240" w:lineRule="auto"/>
        <w:rPr>
          <w:lang w:val="en-US"/>
        </w:rPr>
      </w:pPr>
      <w:r w:rsidRPr="00262EEF">
        <w:rPr>
          <w:lang w:val="en-US" w:bidi="es-419"/>
        </w:rPr>
        <w:t>Cita sugerida</w:t>
      </w:r>
    </w:p>
    <w:p w14:paraId="34D84402" w14:textId="2A206021" w:rsidR="00ED698D" w:rsidRPr="00262EEF" w:rsidRDefault="00ED698D" w:rsidP="003B32F9">
      <w:pPr>
        <w:spacing w:line="240" w:lineRule="auto"/>
        <w:rPr>
          <w:lang w:val="en-US"/>
        </w:rPr>
      </w:pPr>
      <w:r w:rsidRPr="00262EEF">
        <w:rPr>
          <w:lang w:val="en-US" w:bidi="es-419"/>
        </w:rPr>
        <w:t xml:space="preserve">Oregon Health Authority. </w:t>
      </w:r>
      <w:r w:rsidRPr="001A2D42">
        <w:rPr>
          <w:lang w:bidi="es-419"/>
        </w:rPr>
        <w:t xml:space="preserve">Programa de Incentivos de Calidad de las CCO de Oregon: Informe Final de Indicadores de las CCO de 2025. </w:t>
      </w:r>
      <w:r w:rsidRPr="00262EEF">
        <w:rPr>
          <w:lang w:val="en-US" w:bidi="es-419"/>
        </w:rPr>
        <w:t xml:space="preserve">Portland, Oregon. Agosto de 2026. </w:t>
      </w:r>
      <w:hyperlink r:id="rId19" w:history="1">
        <w:r w:rsidR="007F461A" w:rsidRPr="00262EEF">
          <w:rPr>
            <w:rStyle w:val="Hyperlink"/>
            <w:lang w:val="en-US" w:bidi="es-419"/>
          </w:rPr>
          <w:t>https://www.oregon.gov/oha/HPA/ANALYTICS/CCOMetrics/CCO-Metrics-2025-Final-Report.docx</w:t>
        </w:r>
      </w:hyperlink>
      <w:r w:rsidRPr="00262EEF">
        <w:rPr>
          <w:lang w:val="en-US" w:bidi="es-419"/>
        </w:rPr>
        <w:t xml:space="preserve"> </w:t>
      </w:r>
    </w:p>
    <w:p w14:paraId="67B5DB8A" w14:textId="77777777" w:rsidR="00ED698D" w:rsidRPr="00262EEF" w:rsidRDefault="00ED698D" w:rsidP="003B32F9">
      <w:pPr>
        <w:pStyle w:val="Heading2"/>
        <w:spacing w:line="240" w:lineRule="auto"/>
        <w:rPr>
          <w:rStyle w:val="Heading2Char"/>
          <w:lang w:val="en-US"/>
        </w:rPr>
        <w:sectPr w:rsidR="00ED698D" w:rsidRPr="00262EEF" w:rsidSect="00ED698D">
          <w:headerReference w:type="default" r:id="rId20"/>
          <w:footnotePr>
            <w:numFmt w:val="lowerLetter"/>
          </w:footnotePr>
          <w:pgSz w:w="12240" w:h="15840"/>
          <w:pgMar w:top="1440" w:right="1440" w:bottom="1440" w:left="1440" w:header="86" w:footer="720" w:gutter="0"/>
          <w:cols w:space="720"/>
          <w:docGrid w:linePitch="360"/>
        </w:sectPr>
      </w:pPr>
    </w:p>
    <w:p w14:paraId="46B41CAB" w14:textId="77777777" w:rsidR="00ED698D" w:rsidRPr="001A2D42" w:rsidRDefault="00ED698D" w:rsidP="003B32F9">
      <w:pPr>
        <w:pStyle w:val="Heading1"/>
        <w:spacing w:line="240" w:lineRule="auto"/>
      </w:pPr>
      <w:bookmarkStart w:id="2" w:name="_Toc241770399"/>
      <w:r w:rsidRPr="001A2D42">
        <w:rPr>
          <w:lang w:bidi="es-419"/>
        </w:rPr>
        <w:lastRenderedPageBreak/>
        <w:t>Puntos destacados del programa</w:t>
      </w:r>
      <w:bookmarkEnd w:id="2"/>
    </w:p>
    <w:p w14:paraId="06BC964E" w14:textId="7123BD7E" w:rsidR="00ED698D" w:rsidRPr="001A2D42" w:rsidRDefault="00ED698D" w:rsidP="003B32F9">
      <w:pPr>
        <w:pStyle w:val="Heading3"/>
        <w:spacing w:line="240" w:lineRule="auto"/>
      </w:pPr>
      <w:bookmarkStart w:id="3" w:name="_Quality_Pool_decreased,"/>
      <w:bookmarkEnd w:id="3"/>
      <w:r w:rsidRPr="001A2D42">
        <w:rPr>
          <w:lang w:bidi="es-419"/>
        </w:rPr>
        <w:t>El fondo de incentivos por calidad se redujo, los pagos mensuales a las CCO aumentaron.</w:t>
      </w:r>
    </w:p>
    <w:p w14:paraId="75CD9F32" w14:textId="232A5094" w:rsidR="004B0A34" w:rsidRPr="001A2D42" w:rsidRDefault="004B0A34" w:rsidP="003B32F9">
      <w:pPr>
        <w:spacing w:line="240" w:lineRule="auto"/>
      </w:pPr>
      <w:r w:rsidRPr="001A2D42">
        <w:rPr>
          <w:lang w:bidi="es-419"/>
        </w:rPr>
        <w:t xml:space="preserve">Los bonos pagadas a través del Programa de Incentivos de Calidad de las CCO provienen del fondo de incentivos por calidad. Estos bonos se suman a los pagos mensuales de las CCO que cubren el costo de la atención, llamados pagos por miembro por mes (PMPM) </w:t>
      </w:r>
      <w:r w:rsidR="00D737CE">
        <w:rPr>
          <w:lang w:bidi="es-419"/>
        </w:rPr>
        <w:br/>
      </w:r>
      <w:r w:rsidRPr="001A2D42">
        <w:rPr>
          <w:lang w:bidi="es-419"/>
        </w:rPr>
        <w:t xml:space="preserve">o tasas de capitación. Cada otoño, a través del proceso de reequilibrio presupuestario de otoño, la Legislatura del estado de Oregon decide la capacidad del fondo de incentivos por calidad del año de medida actual considerando factores presupuestarios y de otro tipo. </w:t>
      </w:r>
    </w:p>
    <w:p w14:paraId="6C613B72" w14:textId="29621403" w:rsidR="004B0A34" w:rsidRPr="001A2D42" w:rsidRDefault="004B0A34" w:rsidP="003B32F9">
      <w:pPr>
        <w:spacing w:line="240" w:lineRule="auto"/>
      </w:pPr>
      <w:r w:rsidRPr="001A2D42">
        <w:rPr>
          <w:lang w:bidi="es-419"/>
        </w:rPr>
        <w:t xml:space="preserve">Para 2025, la Legislatura del estado de Oregon fijó el fondo de incentivos por calidad en el 3% del total de las tasas de capitación, o $238 millones en el total de bonos. Aunque este porcentaje fue una reducción con respecto a años anteriores, representó un total de dinero en dólares mayor que algunos años anteriores del programa. De 2015 a 2024, </w:t>
      </w:r>
      <w:r w:rsidR="00D737CE">
        <w:rPr>
          <w:lang w:bidi="es-419"/>
        </w:rPr>
        <w:br/>
      </w:r>
      <w:r w:rsidRPr="001A2D42">
        <w:rPr>
          <w:lang w:bidi="es-419"/>
        </w:rPr>
        <w:t>la Legislatura fijó el fondo de incentivos por calidad entre el 3.5% y el 4.25% del total de las tasas de capitación, con un total de bonos que van desde $167 millones y $327 millones (con una interrupción en 2020 debido a la pandemia del COVID-19).</w:t>
      </w:r>
    </w:p>
    <w:p w14:paraId="69326F09" w14:textId="2DB4E556" w:rsidR="004B0A34" w:rsidRPr="001A2D42" w:rsidRDefault="096C5B14" w:rsidP="003B32F9">
      <w:pPr>
        <w:spacing w:line="240" w:lineRule="auto"/>
      </w:pPr>
      <w:r w:rsidRPr="001A2D42">
        <w:rPr>
          <w:lang w:bidi="es-419"/>
        </w:rPr>
        <w:t xml:space="preserve">La reducción en el porcentaje del fondo de incentivos por calidad para 2025 (pagado en 2026) se realizó parcialmente para compensar los aumentos en las tasas de capitación, que fueron mucho más altos de lo presupuestado para 2026. Para enfrentar estos desafíos, la </w:t>
      </w:r>
      <w:hyperlink r:id="rId21">
        <w:r w:rsidRPr="001A2D42">
          <w:rPr>
            <w:rStyle w:val="Hyperlink"/>
            <w:lang w:bidi="es-419"/>
          </w:rPr>
          <w:t>OHA aumentó las tasas de capitación promedio en un 10.6% para 2026</w:t>
        </w:r>
      </w:hyperlink>
      <w:r w:rsidRPr="001A2D42">
        <w:rPr>
          <w:lang w:bidi="es-419"/>
        </w:rPr>
        <w:t xml:space="preserve">. </w:t>
      </w:r>
    </w:p>
    <w:p w14:paraId="4EDA9864" w14:textId="373CD26D" w:rsidR="004B0A34" w:rsidRPr="001A2D42" w:rsidRDefault="096C5B14" w:rsidP="003B32F9">
      <w:pPr>
        <w:spacing w:after="480" w:line="240" w:lineRule="auto"/>
      </w:pPr>
      <w:r w:rsidRPr="001A2D42">
        <w:rPr>
          <w:lang w:bidi="es-419"/>
        </w:rPr>
        <w:t xml:space="preserve">Los aumentos anuales en las tasas de capitación se basan en análisis actuariales e incluyen consultas con las CCO. En general, las tasas de capitación durante la última década han aumentado en promedio aproximadamente un 3.4% cada año, de acuerdo con los presupuestos aprobados por la legislatura. </w:t>
      </w:r>
    </w:p>
    <w:p w14:paraId="4B9C823F" w14:textId="3DFB347A" w:rsidR="00ED698D" w:rsidRPr="001A2D42" w:rsidRDefault="00ED698D" w:rsidP="003B32F9">
      <w:pPr>
        <w:pStyle w:val="Heading3"/>
        <w:spacing w:line="240" w:lineRule="auto"/>
      </w:pPr>
      <w:r w:rsidRPr="001A2D42">
        <w:rPr>
          <w:lang w:bidi="es-419"/>
        </w:rPr>
        <w:t>El Proyecto de Ley 966 presentado por el Senado entró en vigencia, realizando cambios en qué medidas son elegibles para el Programa de Incentivos de Calidad de las CCO.</w:t>
      </w:r>
    </w:p>
    <w:p w14:paraId="4E3D86C0" w14:textId="32A66D30" w:rsidR="00ED698D" w:rsidRPr="001A2D42" w:rsidRDefault="00ED698D" w:rsidP="003B32F9">
      <w:pPr>
        <w:spacing w:after="480" w:line="240" w:lineRule="auto"/>
      </w:pPr>
      <w:r w:rsidRPr="001A2D42">
        <w:rPr>
          <w:lang w:bidi="es-419"/>
        </w:rPr>
        <w:t xml:space="preserve">En 2023, la Legislatura de Oregon aprobó el </w:t>
      </w:r>
      <w:hyperlink r:id="rId22">
        <w:r w:rsidRPr="001A2D42">
          <w:rPr>
            <w:rStyle w:val="Hyperlink"/>
            <w:lang w:bidi="es-419"/>
          </w:rPr>
          <w:t>Proyecto de Ley 966 presentado por el Senado</w:t>
        </w:r>
      </w:hyperlink>
      <w:r w:rsidRPr="001A2D42">
        <w:rPr>
          <w:lang w:bidi="es-419"/>
        </w:rPr>
        <w:t xml:space="preserve">. A partir de 2025, el Programa de Incentivos de Calidad de las CCO tiene dos tipos de medidas: Medidas preventivas y de medidas de respuesta. Las medidas preventivas se centran en mejorar los factores determinantes sociales de la salud (por ejemplo, el acceso significativo al idioma). Estas son principalmente medidas “locales” administradas por entidades de Oregon. Las medidas de respuesta se centran más en la atención médica tradicional (por ejemplo, la vacunación para adolescentes). Como se describe en el Proyecto de Ley 966 presentado por el Senado, las medidas de respuesta deben provenir de los </w:t>
      </w:r>
      <w:hyperlink r:id="rId23">
        <w:r w:rsidRPr="001A2D42">
          <w:rPr>
            <w:rStyle w:val="Hyperlink"/>
            <w:lang w:bidi="es-419"/>
          </w:rPr>
          <w:t>Conjunto de medidas clave de calidad médica para niños y adultos</w:t>
        </w:r>
      </w:hyperlink>
      <w:r w:rsidRPr="001A2D42">
        <w:rPr>
          <w:lang w:bidi="es-419"/>
        </w:rPr>
        <w:t xml:space="preserve"> de los Centros de Servicios de Medicare y Medicaid (Centers for Medicare &amp; Medicaid Services, CMS, </w:t>
      </w:r>
      <w:r w:rsidR="00D737CE">
        <w:rPr>
          <w:lang w:bidi="es-419"/>
        </w:rPr>
        <w:br/>
      </w:r>
      <w:r w:rsidRPr="001A2D42">
        <w:rPr>
          <w:lang w:bidi="es-419"/>
        </w:rPr>
        <w:t>por sus siglas en inglés) y ajustarse a los requisitos de informes nacionales.</w:t>
      </w:r>
    </w:p>
    <w:p w14:paraId="296741C1" w14:textId="160AEA31" w:rsidR="00ED698D" w:rsidRPr="001A2D42" w:rsidRDefault="00ED698D" w:rsidP="003B32F9">
      <w:pPr>
        <w:pStyle w:val="Heading3"/>
        <w:spacing w:line="240" w:lineRule="auto"/>
      </w:pPr>
      <w:r w:rsidRPr="001A2D42">
        <w:rPr>
          <w:lang w:bidi="es-419"/>
        </w:rPr>
        <w:lastRenderedPageBreak/>
        <w:t>Primer año incentivando la medida de servicios de intervención o tratamiento centrados en problemas socioemocionales para niños pequeños.</w:t>
      </w:r>
    </w:p>
    <w:p w14:paraId="79523FF5" w14:textId="1632A939" w:rsidR="00ED698D" w:rsidRPr="001A2D42" w:rsidRDefault="00ED698D" w:rsidP="003B32F9">
      <w:pPr>
        <w:spacing w:line="240" w:lineRule="auto"/>
      </w:pPr>
      <w:r w:rsidRPr="001A2D42">
        <w:rPr>
          <w:lang w:bidi="es-419"/>
        </w:rPr>
        <w:t xml:space="preserve">Esta medida preventiva es parte de la estrategia más amplia de los </w:t>
      </w:r>
      <w:hyperlink r:id="rId24">
        <w:r w:rsidR="57D038DA" w:rsidRPr="001A2D42">
          <w:rPr>
            <w:rStyle w:val="Hyperlink"/>
            <w:lang w:bidi="es-419"/>
          </w:rPr>
          <w:t>Aspectos de salud de la preparación para el kínder</w:t>
        </w:r>
      </w:hyperlink>
      <w:r w:rsidRPr="001A2D42">
        <w:rPr>
          <w:lang w:bidi="es-419"/>
        </w:rPr>
        <w:t>. Realiza un seguimiento del porcentaje de niños (de 1 año a menos de 6 años de edad) que recibieron una intervención centrada en servicios de intervención o tratamiento centrados en problemas socioemocionales. La medida fue desarrollada por la Asociación para la Mejora Pediátrica de Oregon (Oregon Pediatric Improvement Partnership, OPIP, por su</w:t>
      </w:r>
      <w:r w:rsidR="00262EEF">
        <w:rPr>
          <w:lang w:bidi="es-419"/>
        </w:rPr>
        <w:t>s</w:t>
      </w:r>
      <w:r w:rsidRPr="001A2D42">
        <w:rPr>
          <w:lang w:bidi="es-419"/>
        </w:rPr>
        <w:t xml:space="preserve"> siglas en inglés) y el Instituto Infantil (Children’s Institute, CI, por sus siglas en inglés) con el apoyo de la OHA.</w:t>
      </w:r>
    </w:p>
    <w:p w14:paraId="636C98B5" w14:textId="47EC1602" w:rsidR="00ED698D" w:rsidRPr="001A2D42" w:rsidRDefault="00ED698D" w:rsidP="003B32F9">
      <w:pPr>
        <w:spacing w:after="480" w:line="240" w:lineRule="auto"/>
      </w:pPr>
      <w:r w:rsidRPr="001A2D42">
        <w:rPr>
          <w:lang w:bidi="es-419"/>
        </w:rPr>
        <w:t>Este es el siguiente paso después del trabajo de desarrollo de capacidades realizado por la medida de salud socioemocional a nivel de sistema para niños pequeños. De 2022 a 2024, la medida a nivel de sistema apoyó a las CCO en el desarrollo de recursos y redes de proveedores para identificar y tratar mejor a los niños con necesidades de salud socioemocional.</w:t>
      </w:r>
    </w:p>
    <w:p w14:paraId="582B3796" w14:textId="03D24D35" w:rsidR="00ED698D" w:rsidRPr="001A2D42" w:rsidRDefault="00ED698D" w:rsidP="003B32F9">
      <w:pPr>
        <w:pStyle w:val="Heading3"/>
        <w:spacing w:line="240" w:lineRule="auto"/>
      </w:pPr>
      <w:r w:rsidRPr="001A2D42">
        <w:rPr>
          <w:lang w:bidi="es-419"/>
        </w:rPr>
        <w:t>Primer año del informe de muestra para los SDOH: La prueba de detección de necesidades sociales y remisión.</w:t>
      </w:r>
    </w:p>
    <w:p w14:paraId="0D005B8C" w14:textId="35B7A9D2" w:rsidR="00ED698D" w:rsidRPr="001A2D42" w:rsidRDefault="00ED698D" w:rsidP="003B32F9">
      <w:pPr>
        <w:spacing w:line="240" w:lineRule="auto"/>
      </w:pPr>
      <w:r w:rsidRPr="001A2D42">
        <w:rPr>
          <w:lang w:bidi="es-419"/>
        </w:rPr>
        <w:t>2025 fue el tercer año para la medida preventiva de los</w:t>
      </w:r>
      <w:r w:rsidR="00D737CE">
        <w:rPr>
          <w:lang w:bidi="es-419"/>
        </w:rPr>
        <w:t xml:space="preserve"> </w:t>
      </w:r>
      <w:hyperlink r:id="rId25" w:history="1">
        <w:r w:rsidRPr="001A2D42">
          <w:rPr>
            <w:rStyle w:val="Hyperlink"/>
            <w:lang w:bidi="es-419"/>
          </w:rPr>
          <w:t>Factores determinantes sociales de la salud (SDOH):</w:t>
        </w:r>
        <w:r w:rsidRPr="00D737CE">
          <w:rPr>
            <w:rStyle w:val="Hyperlink"/>
            <w:u w:val="none"/>
            <w:lang w:bidi="es-419"/>
          </w:rPr>
          <w:t xml:space="preserve"> </w:t>
        </w:r>
      </w:hyperlink>
      <w:r w:rsidRPr="001A2D42">
        <w:rPr>
          <w:lang w:bidi="es-419"/>
        </w:rPr>
        <w:t xml:space="preserve">medida de </w:t>
      </w:r>
      <w:hyperlink r:id="rId26" w:history="1">
        <w:r w:rsidRPr="001A2D42">
          <w:rPr>
            <w:rStyle w:val="Hyperlink"/>
            <w:lang w:bidi="es-419"/>
          </w:rPr>
          <w:t>la prueba de detección de necesidades sociales y remisión</w:t>
        </w:r>
      </w:hyperlink>
      <w:r w:rsidRPr="001A2D42">
        <w:rPr>
          <w:lang w:bidi="es-419"/>
        </w:rPr>
        <w:t>. Esta medida está en una trayectoria de inversión, con nuevos requisitos añadidos cada año. En los primeros tres años de la medida (2023 a 2025), se requirió que las CCO establecieran la infraestructura y los sistemas necesarios para las pruebas de detección y las remisiones. Estos incluyen cumplir con los requisitos sobre:</w:t>
      </w:r>
    </w:p>
    <w:p w14:paraId="61C4CC78" w14:textId="4F1015A2" w:rsidR="00ED698D" w:rsidRPr="001A2D42" w:rsidRDefault="00ED698D" w:rsidP="003B32F9">
      <w:pPr>
        <w:pStyle w:val="ListParagraph"/>
        <w:numPr>
          <w:ilvl w:val="0"/>
          <w:numId w:val="2"/>
        </w:numPr>
        <w:spacing w:line="240" w:lineRule="auto"/>
        <w:contextualSpacing w:val="0"/>
      </w:pPr>
      <w:r w:rsidRPr="001A2D42">
        <w:rPr>
          <w:b/>
          <w:lang w:bidi="es-419"/>
        </w:rPr>
        <w:t xml:space="preserve">Prácticas de detección: </w:t>
      </w:r>
      <w:r w:rsidRPr="001A2D42">
        <w:rPr>
          <w:lang w:bidi="es-419"/>
        </w:rPr>
        <w:t>preparar prácticas de detección equitativas, informadas sobre el trauma y adecuadas según la cultura.</w:t>
      </w:r>
    </w:p>
    <w:p w14:paraId="55E503CA" w14:textId="01B6C63E" w:rsidR="00ED698D" w:rsidRPr="001A2D42" w:rsidRDefault="00ED698D" w:rsidP="003B32F9">
      <w:pPr>
        <w:pStyle w:val="ListParagraph"/>
        <w:numPr>
          <w:ilvl w:val="0"/>
          <w:numId w:val="2"/>
        </w:numPr>
        <w:spacing w:line="240" w:lineRule="auto"/>
        <w:contextualSpacing w:val="0"/>
      </w:pPr>
      <w:r w:rsidRPr="001A2D42">
        <w:rPr>
          <w:b/>
          <w:lang w:bidi="es-419"/>
        </w:rPr>
        <w:t xml:space="preserve">Prácticas y recursos de remisión: </w:t>
      </w:r>
      <w:r w:rsidRPr="001A2D42">
        <w:rPr>
          <w:lang w:bidi="es-419"/>
        </w:rPr>
        <w:t>trabajar con organizaciones comunitarias para desarrollar la capacidad de realizar remisiones y satisfacer las necesidades sociales.</w:t>
      </w:r>
    </w:p>
    <w:p w14:paraId="4DCF4150" w14:textId="5F34485C" w:rsidR="00ED698D" w:rsidRPr="001A2D42" w:rsidRDefault="00ED698D" w:rsidP="003B32F9">
      <w:pPr>
        <w:pStyle w:val="ListParagraph"/>
        <w:numPr>
          <w:ilvl w:val="0"/>
          <w:numId w:val="2"/>
        </w:numPr>
        <w:spacing w:line="240" w:lineRule="auto"/>
        <w:contextualSpacing w:val="0"/>
      </w:pPr>
      <w:r w:rsidRPr="001A2D42">
        <w:rPr>
          <w:b/>
          <w:lang w:bidi="es-419"/>
        </w:rPr>
        <w:t xml:space="preserve">Recopilación e intercambio de datos: </w:t>
      </w:r>
      <w:r w:rsidRPr="001A2D42">
        <w:rPr>
          <w:lang w:bidi="es-419"/>
        </w:rPr>
        <w:t>apoyar el intercambio de datos entre las CCO, los proveedores y las organizaciones comunitarias.</w:t>
      </w:r>
    </w:p>
    <w:p w14:paraId="2309673E" w14:textId="1EC36C2E" w:rsidR="00ED698D" w:rsidRPr="001A2D42" w:rsidRDefault="00ED698D" w:rsidP="003B32F9">
      <w:pPr>
        <w:spacing w:line="240" w:lineRule="auto"/>
      </w:pPr>
      <w:r w:rsidRPr="001A2D42">
        <w:rPr>
          <w:lang w:bidi="es-419"/>
        </w:rPr>
        <w:t>En 2025, las CCO tuvieron que certificar que completaron todos los elementos obligatorios, sin opción a crédito parcial. Este fue el último año en que se requirió que las CCO completaran esta certificación.</w:t>
      </w:r>
    </w:p>
    <w:p w14:paraId="3ACA6C72" w14:textId="00C51D66" w:rsidR="00ED698D" w:rsidRPr="001A2D42" w:rsidRDefault="00ED698D" w:rsidP="003B32F9">
      <w:pPr>
        <w:spacing w:line="240" w:lineRule="auto"/>
        <w:rPr>
          <w:b/>
          <w:bCs/>
        </w:rPr>
      </w:pPr>
      <w:r w:rsidRPr="001A2D42">
        <w:rPr>
          <w:lang w:bidi="es-419"/>
        </w:rPr>
        <w:t xml:space="preserve">A partir de 2025, las CCO ahora presentan informes de los datos de pruebas de detección y remisión para la inseguridad de vivienda, la inseguridad alimentaria y las necesidades de transporte entre una muestra aleatoria de 1,067 miembros. En 2025 y 2026, las CCO solo deben presentar informes de los datos completos sobre el 90% de los miembros de la </w:t>
      </w:r>
      <w:r w:rsidRPr="001A2D42">
        <w:rPr>
          <w:lang w:bidi="es-419"/>
        </w:rPr>
        <w:lastRenderedPageBreak/>
        <w:t>muestra para aprobar la medida. La OHA recomendó que los puntos de referencia y los objetivos de mejora específicos de las CCO para esta medida comiencen en 2027.</w:t>
      </w:r>
    </w:p>
    <w:p w14:paraId="02AF30BA" w14:textId="7BAB649F" w:rsidR="00ED698D" w:rsidRPr="001A2D42" w:rsidRDefault="00ED698D" w:rsidP="003B32F9">
      <w:pPr>
        <w:spacing w:after="480" w:line="240" w:lineRule="auto"/>
      </w:pPr>
      <w:r w:rsidRPr="001A2D42">
        <w:rPr>
          <w:lang w:bidi="es-419"/>
        </w:rPr>
        <w:t xml:space="preserve">De 2023 a 2025, el Centro de Transformación de la OHA y la Red de Investigación Basada en la Práctica Rural de Oregon (Oregon Rural Practice-Based Research Network, ORPRN, por sus siglas en inglés) proporcionaron </w:t>
      </w:r>
      <w:hyperlink r:id="rId27">
        <w:r w:rsidRPr="001A2D42">
          <w:rPr>
            <w:rStyle w:val="Hyperlink"/>
            <w:lang w:bidi="es-419"/>
          </w:rPr>
          <w:t>asistencia técnica</w:t>
        </w:r>
      </w:hyperlink>
      <w:r w:rsidRPr="001A2D42">
        <w:rPr>
          <w:lang w:bidi="es-419"/>
        </w:rPr>
        <w:t xml:space="preserve"> a las CCO sobre los SDOH: medida de la prueba de detección de necesidades sociales y remisión. La asistencia técnica incluyó recursos de capacitación, colaboraciones de aprendizaje y orientación que se ajustan a los beneficios de las </w:t>
      </w:r>
      <w:hyperlink r:id="rId28">
        <w:r w:rsidRPr="001A2D42">
          <w:rPr>
            <w:rStyle w:val="Hyperlink"/>
            <w:lang w:bidi="es-419"/>
          </w:rPr>
          <w:t>Necesidades sociales relacionadas con la salud (Health-Related Social Needs, HRSN, por sus siglas en inglés)</w:t>
        </w:r>
      </w:hyperlink>
      <w:r w:rsidRPr="001A2D42">
        <w:rPr>
          <w:lang w:bidi="es-419"/>
        </w:rPr>
        <w:t>.</w:t>
      </w:r>
    </w:p>
    <w:p w14:paraId="15ED04D9" w14:textId="3B3F27D7" w:rsidR="00ED698D" w:rsidRPr="001A2D42" w:rsidRDefault="00ED698D" w:rsidP="003B32F9">
      <w:pPr>
        <w:pStyle w:val="Heading3"/>
        <w:spacing w:line="240" w:lineRule="auto"/>
      </w:pPr>
      <w:r w:rsidRPr="001A2D42">
        <w:rPr>
          <w:lang w:bidi="es-419"/>
        </w:rPr>
        <w:t>La OHA trabajó con las CCO en cambios a la medida de acceso significativo al idioma (equidad en salud).</w:t>
      </w:r>
    </w:p>
    <w:p w14:paraId="40DFB1EE" w14:textId="20A509AA" w:rsidR="00ED698D" w:rsidRPr="001A2D42" w:rsidRDefault="43EDA797" w:rsidP="003B32F9">
      <w:pPr>
        <w:spacing w:line="240" w:lineRule="auto"/>
      </w:pPr>
      <w:r w:rsidRPr="001A2D42">
        <w:rPr>
          <w:lang w:bidi="es-419"/>
        </w:rPr>
        <w:t xml:space="preserve">La medida de </w:t>
      </w:r>
      <w:hyperlink r:id="rId29">
        <w:r w:rsidRPr="001A2D42">
          <w:rPr>
            <w:rStyle w:val="Hyperlink"/>
            <w:lang w:bidi="es-419"/>
          </w:rPr>
          <w:t>Acceso significativo al idioma (equidad en salud)</w:t>
        </w:r>
      </w:hyperlink>
      <w:r w:rsidRPr="001A2D42">
        <w:rPr>
          <w:lang w:bidi="es-419"/>
        </w:rPr>
        <w:t xml:space="preserve"> promueve servicios lingüísticos de alta calidad para los miembros de las CCO con necesidades de acceso al idioma autoidentificadas. El acceso al idioma es un determinante social principal de la salud. Las personas que se comunican en idiomas distintos al inglés o que tienen dificultades auditivas enfrentan barreras para acceder a los servicios de salud. Reciben una atención de menor calidad en relación con los pacientes cuyo idioma preferido es el inglés (</w:t>
      </w:r>
      <w:hyperlink w:anchor="_Appendix_E:_Citations" w:history="1">
        <w:r w:rsidR="50610BCD" w:rsidRPr="001A2D42">
          <w:rPr>
            <w:rStyle w:val="Hyperlink"/>
            <w:lang w:bidi="es-419"/>
          </w:rPr>
          <w:t>1</w:t>
        </w:r>
      </w:hyperlink>
      <w:r w:rsidRPr="001A2D42">
        <w:rPr>
          <w:lang w:bidi="es-419"/>
        </w:rPr>
        <w:t>) y tienen un mayor riesgo de sufrir errores médicos. (</w:t>
      </w:r>
      <w:hyperlink w:anchor="_Appendix_E:_Citations" w:history="1">
        <w:r w:rsidR="50610BCD" w:rsidRPr="001A2D42">
          <w:rPr>
            <w:rStyle w:val="Hyperlink"/>
            <w:lang w:bidi="es-419"/>
          </w:rPr>
          <w:t>2</w:t>
        </w:r>
      </w:hyperlink>
      <w:r w:rsidRPr="001A2D42">
        <w:rPr>
          <w:lang w:bidi="es-419"/>
        </w:rPr>
        <w:t>)</w:t>
      </w:r>
    </w:p>
    <w:p w14:paraId="60B9D1AC" w14:textId="509DAD99" w:rsidR="00ED698D" w:rsidRPr="001A2D42" w:rsidRDefault="00ED698D" w:rsidP="003B32F9">
      <w:pPr>
        <w:spacing w:line="240" w:lineRule="auto"/>
      </w:pPr>
      <w:r w:rsidRPr="001A2D42">
        <w:rPr>
          <w:lang w:bidi="es-419"/>
        </w:rPr>
        <w:t xml:space="preserve">Esta medida preventiva comenzó en 2021 y tiene dos componentes: </w:t>
      </w:r>
    </w:p>
    <w:p w14:paraId="53ADA7FF" w14:textId="77777777" w:rsidR="00ED698D" w:rsidRPr="001A2D42" w:rsidRDefault="00ED698D" w:rsidP="003B32F9">
      <w:pPr>
        <w:pStyle w:val="ListParagraph"/>
        <w:numPr>
          <w:ilvl w:val="0"/>
          <w:numId w:val="3"/>
        </w:numPr>
        <w:spacing w:line="240" w:lineRule="auto"/>
        <w:contextualSpacing w:val="0"/>
      </w:pPr>
      <w:r w:rsidRPr="001A2D42">
        <w:rPr>
          <w:b/>
          <w:lang w:bidi="es-419"/>
        </w:rPr>
        <w:t xml:space="preserve">Componente 1: </w:t>
      </w:r>
      <w:r w:rsidRPr="001A2D42">
        <w:rPr>
          <w:lang w:bidi="es-419"/>
        </w:rPr>
        <w:t>las CCO deben certificar que están creando una infraestructura de servicios lingüísticos de mayor calidad y más sólida con el paso del tiempo.</w:t>
      </w:r>
    </w:p>
    <w:p w14:paraId="4812CCC9" w14:textId="78B790C9" w:rsidR="00ED698D" w:rsidRPr="001A2D42" w:rsidRDefault="00ED698D" w:rsidP="003B32F9">
      <w:pPr>
        <w:pStyle w:val="ListParagraph"/>
        <w:numPr>
          <w:ilvl w:val="0"/>
          <w:numId w:val="3"/>
        </w:numPr>
        <w:spacing w:line="240" w:lineRule="auto"/>
        <w:contextualSpacing w:val="0"/>
      </w:pPr>
      <w:r w:rsidRPr="001A2D42">
        <w:rPr>
          <w:b/>
          <w:lang w:bidi="es-419"/>
        </w:rPr>
        <w:t>Componente 2:</w:t>
      </w:r>
      <w:r w:rsidRPr="001A2D42">
        <w:rPr>
          <w:lang w:bidi="es-419"/>
        </w:rPr>
        <w:t xml:space="preserve"> el porcentaje de visitas con a) un intérprete de atención médica certificado o calificado de Oregon, o b) un proveedor</w:t>
      </w:r>
      <w:r w:rsidRPr="001A2D42">
        <w:rPr>
          <w:rStyle w:val="FootnoteReference"/>
          <w:lang w:bidi="es-419"/>
        </w:rPr>
        <w:footnoteReference w:id="1"/>
      </w:r>
      <w:r w:rsidRPr="001A2D42">
        <w:rPr>
          <w:lang w:bidi="es-419"/>
        </w:rPr>
        <w:t xml:space="preserve"> con dominio documentado </w:t>
      </w:r>
      <w:r w:rsidR="00402969">
        <w:rPr>
          <w:lang w:bidi="es-419"/>
        </w:rPr>
        <w:br/>
      </w:r>
      <w:r w:rsidRPr="001A2D42">
        <w:rPr>
          <w:lang w:bidi="es-419"/>
        </w:rPr>
        <w:t>en el idioma preferido del miembro.</w:t>
      </w:r>
    </w:p>
    <w:p w14:paraId="6BAC5C38" w14:textId="73AF4EC1" w:rsidR="003A5A30" w:rsidRPr="001A2D42" w:rsidRDefault="00ED698D" w:rsidP="003B32F9">
      <w:pPr>
        <w:spacing w:line="240" w:lineRule="auto"/>
      </w:pPr>
      <w:r w:rsidRPr="001A2D42">
        <w:rPr>
          <w:lang w:bidi="es-419"/>
        </w:rPr>
        <w:t>Las CCO, las empresas de servicios lingüísticos y los proveedores de atención médica deben utilizar intérpretes de atención médica certificados y calificados por la OHA.</w:t>
      </w:r>
      <w:r w:rsidRPr="001A2D42">
        <w:rPr>
          <w:rStyle w:val="FootnoteReference"/>
          <w:lang w:bidi="es-419"/>
        </w:rPr>
        <w:footnoteReference w:id="2"/>
      </w:r>
      <w:r w:rsidRPr="001A2D42">
        <w:rPr>
          <w:lang w:bidi="es-419"/>
        </w:rPr>
        <w:t xml:space="preserve"> </w:t>
      </w:r>
      <w:r w:rsidR="005A51E2">
        <w:rPr>
          <w:lang w:bidi="es-419"/>
        </w:rPr>
        <w:br/>
      </w:r>
      <w:r w:rsidRPr="001A2D42">
        <w:rPr>
          <w:lang w:bidi="es-419"/>
        </w:rPr>
        <w:t xml:space="preserve">En 2025, la OHA amplió la definición de quién califica como proveedor que habla el mismo idioma. Los proveedores que hablan el mismo idioma pueden ser hablantes nativos que cumplan con los requisitos a nivel educativo, o aquellos que hayan aprobado una prueba </w:t>
      </w:r>
      <w:r w:rsidRPr="001A2D42">
        <w:rPr>
          <w:lang w:bidi="es-419"/>
        </w:rPr>
        <w:lastRenderedPageBreak/>
        <w:t>de dominio aprobada</w:t>
      </w:r>
      <w:r w:rsidRPr="001A2D42">
        <w:rPr>
          <w:rStyle w:val="FootnoteReference"/>
          <w:lang w:bidi="es-419"/>
        </w:rPr>
        <w:footnoteReference w:id="3"/>
      </w:r>
      <w:r w:rsidRPr="001A2D42">
        <w:rPr>
          <w:lang w:bidi="es-419"/>
        </w:rPr>
        <w:t xml:space="preserve"> dentro de los últimos cuatro años. Además, la OHA eliminó el requisito de volver a realizar pruebas de dominio del idioma. Por último, la OHA permitió que las CCO excluyeran las visitas en las que un miembro rechazó los servicios de un intérprete. Sin embargo, esto no excluye otras visitas del mismo miembro. </w:t>
      </w:r>
    </w:p>
    <w:p w14:paraId="14470B1F" w14:textId="11F5E256" w:rsidR="00ED698D" w:rsidRPr="001A2D42" w:rsidRDefault="003A5A30" w:rsidP="003B32F9">
      <w:pPr>
        <w:spacing w:after="480" w:line="240" w:lineRule="auto"/>
      </w:pPr>
      <w:r w:rsidRPr="001A2D42">
        <w:rPr>
          <w:lang w:bidi="es-419"/>
        </w:rPr>
        <w:t xml:space="preserve">2026 será el último año en que las CCO deban completar el componente 1. </w:t>
      </w:r>
      <w:r w:rsidR="00402969">
        <w:rPr>
          <w:lang w:bidi="es-419"/>
        </w:rPr>
        <w:br/>
      </w:r>
      <w:r w:rsidRPr="001A2D42">
        <w:rPr>
          <w:lang w:bidi="es-419"/>
        </w:rPr>
        <w:t>Las expectativas y los requisitos esenciales del componente 1 están integrados en los contratos de las CCO y en las Reglas Administrativas de Oregon (Oregon Administrative Rules, OAR, por sus siglas en inglés). Eliminar el componente 1 de la medida de incentivos reducirá la carga administrativa para las CCO. La OHA está comprometida en garantizar que los recursos se dirijan a donde tengan el mayor impacto y a asegurar que los miembros del OHP reciban una interpretación de idiomas de alta calidad.</w:t>
      </w:r>
    </w:p>
    <w:p w14:paraId="04825E69" w14:textId="0F7946B3" w:rsidR="00ED698D" w:rsidRPr="001A2D42" w:rsidRDefault="007C6158" w:rsidP="003B32F9">
      <w:pPr>
        <w:pStyle w:val="Heading3"/>
        <w:spacing w:line="240" w:lineRule="auto"/>
      </w:pPr>
      <w:r w:rsidRPr="001A2D42">
        <w:rPr>
          <w:lang w:bidi="es-419"/>
        </w:rPr>
        <w:t>Los datos del año pasado de los registros médicos electrónicos utilizados para la diabetes: control deficiente de la HbA1c.</w:t>
      </w:r>
    </w:p>
    <w:p w14:paraId="0B324100" w14:textId="3DFE981F" w:rsidR="009A1608" w:rsidRDefault="008E4078" w:rsidP="003B32F9">
      <w:pPr>
        <w:spacing w:after="480" w:line="240" w:lineRule="auto"/>
        <w:rPr>
          <w:lang w:bidi="es-419"/>
        </w:rPr>
        <w:sectPr w:rsidR="009A1608" w:rsidSect="00764EDB">
          <w:headerReference w:type="default" r:id="rId30"/>
          <w:footnotePr>
            <w:numFmt w:val="lowerLetter"/>
          </w:footnotePr>
          <w:type w:val="continuous"/>
          <w:pgSz w:w="12240" w:h="15840"/>
          <w:pgMar w:top="1440" w:right="1440" w:bottom="1440" w:left="1440" w:header="86" w:footer="720" w:gutter="0"/>
          <w:cols w:space="0"/>
          <w:docGrid w:linePitch="360"/>
        </w:sectPr>
      </w:pPr>
      <w:r w:rsidRPr="001A2D42">
        <w:rPr>
          <w:lang w:bidi="es-419"/>
        </w:rPr>
        <w:t>Diabetes: la medida de control deficiente de la HbA1c ha sido incentivada durante todos los años del Programa de Incentivos de Calidad de las CCO y ha utilizado datos de registros médicos electrónicos (Electronic Health Records, EHR, por sus siglas en inglés). A partir de 2026, esta medida pasó a llamarse Evaluación del estado glucémico para pacientes con diabetes y tendrá nuevos requisitos para el informe de datos. Los datos provendrán de reclamaciones administrativas (facturación) y de la revisión de registros médicos para la muestra de miembros proporcionada por la OHA (llamado informe híbrido). El informe híbrido tiene menos carga administrativa para los proveedores y las CCO que el informe de EHR, el cual requiere que las CCO implementen una recopilación de datos compleja entre muchos proveedores e informen sobre más miembros.</w:t>
      </w:r>
    </w:p>
    <w:p w14:paraId="1C15DAD7" w14:textId="0662CE7B" w:rsidR="00ED698D" w:rsidRPr="001A2D42" w:rsidRDefault="00ED698D" w:rsidP="003B32F9">
      <w:pPr>
        <w:pStyle w:val="Heading3"/>
        <w:spacing w:line="240" w:lineRule="auto"/>
      </w:pPr>
      <w:r w:rsidRPr="001A2D42">
        <w:rPr>
          <w:lang w:bidi="es-419"/>
        </w:rPr>
        <w:lastRenderedPageBreak/>
        <w:t>PacificSource retiró el contrato de las CCO para el condado de Lane a partir de 2026.</w:t>
      </w:r>
    </w:p>
    <w:p w14:paraId="0D793DA7" w14:textId="563F5269" w:rsidR="00ED698D" w:rsidRPr="001A2D42" w:rsidRDefault="00ED698D" w:rsidP="003B32F9">
      <w:pPr>
        <w:spacing w:line="240" w:lineRule="auto"/>
      </w:pPr>
      <w:r w:rsidRPr="001A2D42">
        <w:rPr>
          <w:lang w:bidi="es-419"/>
        </w:rPr>
        <w:t xml:space="preserve">En septiembre de 2025, PacificSource notificó a la OHA que </w:t>
      </w:r>
      <w:hyperlink r:id="rId31">
        <w:r w:rsidRPr="001A2D42">
          <w:rPr>
            <w:rStyle w:val="Hyperlink"/>
            <w:lang w:bidi="es-419"/>
          </w:rPr>
          <w:t>no renovaría su contrato de las CCO que presta servicios en el condado de Lane</w:t>
        </w:r>
      </w:hyperlink>
      <w:r w:rsidRPr="001A2D42">
        <w:rPr>
          <w:lang w:bidi="es-419"/>
        </w:rPr>
        <w:t>. Trillium Community Health Plan (llamado Trillium South en este informe) también presta servicios en el condado de Lane como CCO. Trillium South acordó extender la cobertura a los aproximadamente 92,000 miembros de PacificSource Lane. Para ayudar con esta transición, PacificSource Lane acordó continuar su contrato hasta finales de enero de 2026. Durante este periodo de transición, se requirió que Trillium South garantizara que los miembros tuvieran acceso ininterrumpido y apropiado a los servicios previamente autorizados por PacificSource Lane. PacificSource continúa sirviendo como CCO en las regiones de Oregon central, Columbia Gorge y Marion Polk. Dado que PacificSource Lane prestó servicios durante todo el 2025, fueron elegibles para su fondo de incentivos por calidad asignado de 2025 y están incluidos en este informe.</w:t>
      </w:r>
    </w:p>
    <w:p w14:paraId="6621DAC6" w14:textId="69E464DE" w:rsidR="002F1E0F" w:rsidRPr="001A2D42" w:rsidRDefault="002F1E0F" w:rsidP="003B32F9">
      <w:pPr>
        <w:pStyle w:val="Heading2"/>
        <w:spacing w:line="240" w:lineRule="auto"/>
        <w:sectPr w:rsidR="002F1E0F" w:rsidRPr="001A2D42" w:rsidSect="009A1608">
          <w:footnotePr>
            <w:numFmt w:val="lowerLetter"/>
          </w:footnotePr>
          <w:pgSz w:w="12240" w:h="15840"/>
          <w:pgMar w:top="1440" w:right="1440" w:bottom="1440" w:left="1440" w:header="86" w:footer="720" w:gutter="0"/>
          <w:cols w:space="0"/>
          <w:docGrid w:linePitch="360"/>
        </w:sectPr>
      </w:pPr>
    </w:p>
    <w:p w14:paraId="1A0C4E5F" w14:textId="41258C74" w:rsidR="00ED698D" w:rsidRPr="001A2D42" w:rsidRDefault="00ED698D" w:rsidP="003B32F9">
      <w:pPr>
        <w:pStyle w:val="Heading2"/>
        <w:spacing w:line="240" w:lineRule="auto"/>
      </w:pPr>
      <w:bookmarkStart w:id="4" w:name="_Toc241770400"/>
      <w:r w:rsidRPr="001A2D42">
        <w:rPr>
          <w:lang w:bidi="es-419"/>
        </w:rPr>
        <w:lastRenderedPageBreak/>
        <w:t>Resumen: Cambio en el rendimiento a nivel estatal de las CCO respecto a los datos de 2024 a 2025</w:t>
      </w:r>
      <w:bookmarkEnd w:id="4"/>
      <w:r w:rsidRPr="001A2D42">
        <w:rPr>
          <w:lang w:bidi="es-419"/>
        </w:rPr>
        <w:t xml:space="preserve"> </w:t>
      </w:r>
    </w:p>
    <w:p w14:paraId="65275A24" w14:textId="03B65B00" w:rsidR="00ED698D" w:rsidRDefault="00ED698D" w:rsidP="003B32F9">
      <w:pPr>
        <w:spacing w:line="240" w:lineRule="auto"/>
        <w:rPr>
          <w:rFonts w:cstheme="minorHAnsi"/>
          <w:lang w:bidi="es-419"/>
        </w:rPr>
      </w:pPr>
      <w:r w:rsidRPr="001A2D42">
        <w:rPr>
          <w:rFonts w:cstheme="minorHAnsi"/>
          <w:lang w:bidi="es-419"/>
        </w:rPr>
        <w:t xml:space="preserve">Esta gráfica muestra el cambio porcentual, o la tasa relativa de cambio. Por ejemplo, </w:t>
      </w:r>
      <w:r w:rsidR="00510D02">
        <w:rPr>
          <w:rFonts w:cstheme="minorHAnsi"/>
          <w:lang w:bidi="es-419"/>
        </w:rPr>
        <w:br/>
      </w:r>
      <w:r w:rsidRPr="001A2D42">
        <w:rPr>
          <w:rFonts w:cstheme="minorHAnsi"/>
          <w:b/>
          <w:lang w:bidi="es-419"/>
        </w:rPr>
        <w:t>100% significa que la tasa se duplicó</w:t>
      </w:r>
      <w:r w:rsidRPr="001A2D42">
        <w:rPr>
          <w:rFonts w:cstheme="minorHAnsi"/>
          <w:lang w:bidi="es-419"/>
        </w:rPr>
        <w:t xml:space="preserve"> respecto a los datos de 2024 a 2025.</w:t>
      </w:r>
      <w:r w:rsidRPr="001A2D42">
        <w:rPr>
          <w:rStyle w:val="FootnoteReference"/>
          <w:rFonts w:cstheme="minorHAnsi"/>
          <w:lang w:bidi="es-419"/>
        </w:rPr>
        <w:footnoteReference w:id="4"/>
      </w:r>
    </w:p>
    <w:p w14:paraId="31BA09CB" w14:textId="7829BA26" w:rsidR="00ED698D" w:rsidRPr="00683559" w:rsidRDefault="004A21AA" w:rsidP="00683559">
      <w:pPr>
        <w:spacing w:line="240" w:lineRule="auto"/>
        <w:rPr>
          <w:rFonts w:cstheme="minorHAnsi"/>
        </w:rPr>
      </w:pPr>
      <w:r>
        <w:rPr>
          <w:noProof/>
        </w:rPr>
        <mc:AlternateContent>
          <mc:Choice Requires="wpg">
            <w:drawing>
              <wp:inline distT="0" distB="0" distL="0" distR="0" wp14:anchorId="73D7359E" wp14:editId="3E34785F">
                <wp:extent cx="5976055" cy="6217920"/>
                <wp:effectExtent l="0" t="0" r="5715" b="0"/>
                <wp:docPr id="3" name="Group 2">
                  <a:extLst xmlns:a="http://schemas.openxmlformats.org/drawingml/2006/main">
                    <a:ext uri="{FF2B5EF4-FFF2-40B4-BE49-F238E27FC236}">
                      <a16:creationId xmlns:a16="http://schemas.microsoft.com/office/drawing/2014/main" id="{CC538BD8-0697-4283-8862-5399A07AB3B4}"/>
                    </a:ext>
                  </a:extLst>
                </wp:docPr>
                <wp:cNvGraphicFramePr/>
                <a:graphic xmlns:a="http://schemas.openxmlformats.org/drawingml/2006/main">
                  <a:graphicData uri="http://schemas.microsoft.com/office/word/2010/wordprocessingGroup">
                    <wpg:wgp>
                      <wpg:cNvGrpSpPr/>
                      <wpg:grpSpPr>
                        <a:xfrm>
                          <a:off x="0" y="0"/>
                          <a:ext cx="5976055" cy="6217920"/>
                          <a:chOff x="0" y="0"/>
                          <a:chExt cx="6229845" cy="6217920"/>
                        </a:xfrm>
                      </wpg:grpSpPr>
                      <wpg:grpSp>
                        <wpg:cNvPr id="736416118" name="Group 736416118">
                          <a:extLst>
                            <a:ext uri="{FF2B5EF4-FFF2-40B4-BE49-F238E27FC236}">
                              <a16:creationId xmlns:a16="http://schemas.microsoft.com/office/drawing/2014/main" id="{B0825A70-E0A2-ECE1-6F06-211FB01CF5C9}"/>
                            </a:ext>
                          </a:extLst>
                        </wpg:cNvPr>
                        <wpg:cNvGrpSpPr/>
                        <wpg:grpSpPr>
                          <a:xfrm>
                            <a:off x="33833" y="0"/>
                            <a:ext cx="6196012" cy="6217920"/>
                            <a:chOff x="33833" y="0"/>
                            <a:chExt cx="6196012" cy="6400800"/>
                          </a:xfrm>
                        </wpg:grpSpPr>
                        <wpg:graphicFrame>
                          <wpg:cNvPr id="1385325777" name="Chart 1385325777">
                            <a:extLst>
                              <a:ext uri="{FF2B5EF4-FFF2-40B4-BE49-F238E27FC236}">
                                <a16:creationId xmlns:a16="http://schemas.microsoft.com/office/drawing/2014/main" id="{E507651B-B544-51CD-487A-5806FED4B208}"/>
                              </a:ext>
                            </a:extLst>
                          </wpg:cNvPr>
                          <wpg:cNvFrPr/>
                          <wpg:xfrm>
                            <a:off x="57645" y="0"/>
                            <a:ext cx="6172200" cy="6400800"/>
                          </wpg:xfrm>
                          <a:graphic>
                            <a:graphicData uri="http://schemas.openxmlformats.org/drawingml/2006/chart">
                              <c:chart xmlns:c="http://schemas.openxmlformats.org/drawingml/2006/chart" xmlns:r="http://schemas.openxmlformats.org/officeDocument/2006/relationships" r:id="rId32"/>
                            </a:graphicData>
                          </a:graphic>
                        </wpg:graphicFrame>
                        <wps:wsp>
                          <wps:cNvPr id="1055590310" name="Rectangle 1055590310">
                            <a:extLst>
                              <a:ext uri="{FF2B5EF4-FFF2-40B4-BE49-F238E27FC236}">
                                <a16:creationId xmlns:a16="http://schemas.microsoft.com/office/drawing/2014/main" id="{97F8C74B-BB70-FD5E-159D-BA9D97DB6CC7}"/>
                              </a:ext>
                              <a:ext uri="{C183D7F6-B498-43B3-948B-1728B52AA6E4}">
                                <adec:decorative xmlns:adec="http://schemas.microsoft.com/office/drawing/2017/decorative" val="1"/>
                              </a:ext>
                            </a:extLst>
                          </wps:cNvPr>
                          <wps:cNvSpPr/>
                          <wps:spPr>
                            <a:xfrm>
                              <a:off x="33833" y="362789"/>
                              <a:ext cx="2819400" cy="2753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15041263" name="TextBox 4">
                          <a:extLst>
                            <a:ext uri="{FF2B5EF4-FFF2-40B4-BE49-F238E27FC236}">
                              <a16:creationId xmlns:a16="http://schemas.microsoft.com/office/drawing/2014/main" id="{E21A1316-A60C-3624-77D0-B3E696FCF3E1}"/>
                            </a:ext>
                          </a:extLst>
                        </wps:cNvPr>
                        <wps:cNvSpPr txBox="1"/>
                        <wps:spPr>
                          <a:xfrm>
                            <a:off x="0" y="5905500"/>
                            <a:ext cx="5819775" cy="257175"/>
                          </a:xfrm>
                          <a:prstGeom prst="rect">
                            <a:avLst/>
                          </a:prstGeom>
                          <a:noFill/>
                        </wps:spPr>
                        <wps:txbx>
                          <w:txbxContent>
                            <w:p w14:paraId="73AABD36" w14:textId="77777777" w:rsidR="004A21AA" w:rsidRDefault="004A21AA" w:rsidP="004A21AA">
                              <w:pPr>
                                <w:textAlignment w:val="baseline"/>
                                <w:rPr>
                                  <w:rFonts w:hAnsi="Aptos"/>
                                  <w:color w:val="000000"/>
                                  <w:kern w:val="0"/>
                                  <w:sz w:val="22"/>
                                  <w14:ligatures w14:val="none"/>
                                </w:rPr>
                              </w:pPr>
                              <w:r>
                                <w:rPr>
                                  <w:rFonts w:hAnsi="Aptos"/>
                                  <w:color w:val="000000"/>
                                  <w:sz w:val="22"/>
                                </w:rPr>
                                <w:t xml:space="preserve"> ^ Medida del fondo de incentivo por desafíos</w:t>
                              </w:r>
                            </w:p>
                          </w:txbxContent>
                        </wps:txbx>
                        <wps:bodyPr wrap="square" rtlCol="0" anchor="t">
                          <a:noAutofit/>
                        </wps:bodyPr>
                      </wps:wsp>
                    </wpg:wgp>
                  </a:graphicData>
                </a:graphic>
              </wp:inline>
            </w:drawing>
          </mc:Choice>
          <mc:Fallback>
            <w:pict>
              <v:group w14:anchorId="73D7359E" id="Group 2" o:spid="_x0000_s1031" style="width:470.55pt;height:489.6pt;mso-position-horizontal-relative:char;mso-position-vertical-relative:line" coordsize="62298,62179"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">
                <v:group id="Group 736416118" o:spid="_x0000_s1032" style="position:absolute;left:338;width:61960;height:62179" coordorigin="338" coordsize="61960,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">
                  <v:shape id="Chart 1385325777" o:spid="_x0000_s1033" type="#_x0000_t75" style="position:absolute;left:571;width:61706;height:640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">
                    <v:imagedata r:id="rId33" o:title=""/>
                    <o:lock v:ext="edit" aspectratio="f"/>
                  </v:shape>
                  <v:rect id="Rectangle 1055590310" o:spid="_x0000_s1034" alt="&quot;&quot;" style="position:absolute;left:338;top:3627;width:28194;height:2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" fillcolor="white [3212]" stroked="f" strokeweight="1.5pt"/>
                </v:group>
                <v:shape id="TextBox 4" o:spid="_x0000_s1035" type="#_x0000_t202" style="position:absolute;top:59055;width:5819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" filled="f" stroked="f">
                  <v:textbox>
                    <w:txbxContent>
                      <w:p w14:paraId="73AABD36" w14:textId="77777777" w:rsidR="004A21AA" w:rsidRDefault="004A21AA" w:rsidP="004A21AA">
                        <w:pPr>
                          <w:textAlignment w:val="baseline"/>
                          <w:rPr>
                            <w:rFonts w:hAnsi="Aptos"/>
                            <w:color w:val="000000"/>
                            <w:kern w:val="0"/>
                            <w:sz w:val="22"/>
                            <w14:ligatures w14:val="none"/>
                          </w:rPr>
                        </w:pPr>
                        <w:r>
                          <w:rPr>
                            <w:rFonts w:hAnsi="Aptos"/>
                            <w:color w:val="000000"/>
                            <w:sz w:val="22"/>
                          </w:rPr>
                          <w:t xml:space="preserve"> ^ Medida del fondo de incentivo por desafíos</w:t>
                        </w:r>
                      </w:p>
                    </w:txbxContent>
                  </v:textbox>
                </v:shape>
                <w10:anchorlock/>
              </v:group>
            </w:pict>
          </mc:Fallback>
        </mc:AlternateContent>
      </w:r>
    </w:p>
    <w:p w14:paraId="01568817" w14:textId="77777777" w:rsidR="00ED698D" w:rsidRPr="001A2D42" w:rsidRDefault="00ED698D" w:rsidP="003B32F9">
      <w:pPr>
        <w:pStyle w:val="Heading1"/>
        <w:spacing w:line="240" w:lineRule="auto"/>
      </w:pPr>
      <w:bookmarkStart w:id="5" w:name="_Toc241770401"/>
      <w:r w:rsidRPr="001A2D42">
        <w:rPr>
          <w:lang w:bidi="es-419"/>
        </w:rPr>
        <w:lastRenderedPageBreak/>
        <w:t>Puntos destacados de las medidas</w:t>
      </w:r>
      <w:bookmarkEnd w:id="5"/>
    </w:p>
    <w:p w14:paraId="6FAF8B81" w14:textId="3A7C8B87" w:rsidR="00ED698D" w:rsidRPr="001A2D42" w:rsidRDefault="00ED698D" w:rsidP="003B32F9">
      <w:pPr>
        <w:spacing w:line="240" w:lineRule="auto"/>
      </w:pPr>
      <w:r w:rsidRPr="001A2D42">
        <w:rPr>
          <w:lang w:bidi="es-419"/>
        </w:rPr>
        <w:t>A continuación, describimos el rendimiento de las CCO en medidas individuales y el cambio en el rendimiento a lo largo del tiempo. También describimos el rango en el rendimiento de las CCO, que es la brecha entre las CCO con mejor y peor rendimiento.</w:t>
      </w:r>
    </w:p>
    <w:p w14:paraId="3C87DA10" w14:textId="5B18F402" w:rsidR="00ED698D" w:rsidRPr="001A2D42" w:rsidRDefault="00ED698D" w:rsidP="003B32F9">
      <w:pPr>
        <w:spacing w:line="240" w:lineRule="auto"/>
      </w:pPr>
      <w:r w:rsidRPr="001A2D42">
        <w:rPr>
          <w:lang w:bidi="es-419"/>
        </w:rPr>
        <w:t xml:space="preserve">Las medidas se agrupan por área temática del conjunto de medidas preventivas o de medidas de respuesta principales de los CMS. Las áreas temáticas incluyen medidas preventivas, acceso a atención primaria y atención preventiva, salud materna y perinatal, atención de afecciones agudas y crónicas, atención médica conductual, y servicios de salud dental y bucal. También incluimos un resumen de las medidas que forman parte de la estrategia más amplia de la </w:t>
      </w:r>
      <w:hyperlink w:anchor="_Kindergarten_Readiness" w:history="1">
        <w:r w:rsidRPr="001A2D42">
          <w:rPr>
            <w:rStyle w:val="Hyperlink"/>
            <w:lang w:bidi="es-419"/>
          </w:rPr>
          <w:t>Preparación para el kínder</w:t>
        </w:r>
      </w:hyperlink>
      <w:r w:rsidRPr="001A2D42">
        <w:rPr>
          <w:lang w:bidi="es-419"/>
        </w:rPr>
        <w:t>.</w:t>
      </w:r>
    </w:p>
    <w:p w14:paraId="42C5631E" w14:textId="77777777" w:rsidR="00ED698D" w:rsidRPr="001A2D42" w:rsidRDefault="00ED698D" w:rsidP="003B32F9">
      <w:pPr>
        <w:pStyle w:val="Heading2"/>
        <w:spacing w:line="240" w:lineRule="auto"/>
      </w:pPr>
      <w:bookmarkStart w:id="6" w:name="_Toc241770402"/>
      <w:r w:rsidRPr="001A2D42">
        <w:rPr>
          <w:lang w:bidi="es-419"/>
        </w:rPr>
        <w:t>Medidas preventivas</w:t>
      </w:r>
      <w:bookmarkEnd w:id="6"/>
    </w:p>
    <w:p w14:paraId="29783E6E" w14:textId="05CDB8F7" w:rsidR="00ED698D" w:rsidRPr="001A2D42" w:rsidRDefault="00ED698D" w:rsidP="003B32F9">
      <w:pPr>
        <w:spacing w:line="240" w:lineRule="auto"/>
      </w:pPr>
      <w:r w:rsidRPr="001A2D42">
        <w:rPr>
          <w:lang w:bidi="es-419"/>
        </w:rPr>
        <w:t xml:space="preserve">Las medidas preventivas se centran en mejorar los factores determinantes sociales </w:t>
      </w:r>
      <w:r w:rsidR="00510D02">
        <w:rPr>
          <w:lang w:bidi="es-419"/>
        </w:rPr>
        <w:br/>
      </w:r>
      <w:r w:rsidRPr="001A2D42">
        <w:rPr>
          <w:lang w:bidi="es-419"/>
        </w:rPr>
        <w:t>de la salud. Estas son principalmente medidas administradas por entidades de Oregon. Más allá de los servicios médicos, tienen como objetivo mejorar la coordinación entre los sectores que afectan las necesidades sociales.</w:t>
      </w:r>
    </w:p>
    <w:p w14:paraId="79557873" w14:textId="5EFADA0C" w:rsidR="00B92208" w:rsidRPr="001A2D42" w:rsidRDefault="00B92208" w:rsidP="003B32F9">
      <w:pPr>
        <w:pStyle w:val="Heading3"/>
        <w:spacing w:line="240" w:lineRule="auto"/>
      </w:pPr>
      <w:r w:rsidRPr="001A2D42">
        <w:rPr>
          <w:rStyle w:val="Heading5Char"/>
          <w:szCs w:val="28"/>
          <w:lang w:bidi="es-419"/>
        </w:rPr>
        <w:t>Evaluaciones para niños bajo custodia del ODHS</w:t>
      </w:r>
    </w:p>
    <w:p w14:paraId="3FDB67C3" w14:textId="0A3518C6" w:rsidR="00B92208" w:rsidRPr="001A2D42" w:rsidRDefault="0055071D" w:rsidP="003B32F9">
      <w:pPr>
        <w:spacing w:after="240" w:line="240" w:lineRule="auto"/>
        <w:jc w:val="center"/>
        <w:rPr>
          <w:rStyle w:val="Heading5Char"/>
        </w:rPr>
      </w:pPr>
      <w:r w:rsidRPr="001A2D42">
        <w:rPr>
          <w:noProof/>
          <w:lang w:bidi="es-419"/>
        </w:rPr>
        <mc:AlternateContent>
          <mc:Choice Requires="wpg">
            <w:drawing>
              <wp:inline distT="0" distB="0" distL="0" distR="0" wp14:anchorId="325DA973" wp14:editId="04DCDB3A">
                <wp:extent cx="4572000" cy="3044190"/>
                <wp:effectExtent l="0" t="0" r="0" b="3810"/>
                <wp:docPr id="1671637652" name="Group 6" descr="Chart showing CCO service rates over time for Assessment for Children in ODHS Custody. A dark blue line shows the CCO statewide service rate. Dots show individual CCO service rates in each year. Orange dash marks show each year's benchmark. A dashed vertical line shows a measure change in 2014."/>
                <wp:cNvGraphicFramePr/>
                <a:graphic xmlns:a="http://schemas.openxmlformats.org/drawingml/2006/main">
                  <a:graphicData uri="http://schemas.microsoft.com/office/word/2010/wordprocessingGroup">
                    <wpg:wgp>
                      <wpg:cNvGrpSpPr/>
                      <wpg:grpSpPr>
                        <a:xfrm>
                          <a:off x="0" y="0"/>
                          <a:ext cx="4572000" cy="3044190"/>
                          <a:chOff x="0" y="0"/>
                          <a:chExt cx="4572000" cy="3044190"/>
                        </a:xfrm>
                      </wpg:grpSpPr>
                      <wpg:graphicFrame>
                        <wpg:cNvPr id="1110165460" name="Chart 1110165460"/>
                        <wpg:cNvFrPr>
                          <a:graphicFrameLocks/>
                        </wpg:cNvFrPr>
                        <wpg:xfrm>
                          <a:off x="0" y="0"/>
                          <a:ext cx="4572000" cy="3017520"/>
                        </wpg:xfrm>
                        <a:graphic>
                          <a:graphicData uri="http://schemas.openxmlformats.org/drawingml/2006/chart">
                            <c:chart xmlns:c="http://schemas.openxmlformats.org/drawingml/2006/chart" xmlns:r="http://schemas.openxmlformats.org/officeDocument/2006/relationships" r:id="rId34"/>
                          </a:graphicData>
                        </a:graphic>
                      </wpg:graphicFrame>
                      <wps:wsp>
                        <wps:cNvPr id="2099371055" name="TextBox 5"/>
                        <wps:cNvSpPr txBox="1"/>
                        <wps:spPr>
                          <a:xfrm>
                            <a:off x="200026" y="2686050"/>
                            <a:ext cx="4203065" cy="35814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2403560" w14:textId="2777CC53" w:rsidR="0055071D" w:rsidRDefault="001E22C1" w:rsidP="0055071D">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r w:rsidRPr="001E22C1">
                                <w:rPr>
                                  <w:rFonts w:eastAsia="Aptos" w:hAnsi="Aptos" w:cs="Aptos"/>
                                  <w:b/>
                                  <w:sz w:val="22"/>
                                </w:rPr>
                                <w:t xml:space="preserve">  </w:t>
                              </w:r>
                              <w:r>
                                <w:rPr>
                                  <w:rFonts w:eastAsia="Aptos" w:hAnsi="Aptos" w:cs="Aptos"/>
                                  <w:b/>
                                  <w:sz w:val="22"/>
                                </w:rPr>
                                <w:t xml:space="preserve">  </w:t>
                              </w:r>
                              <w:r w:rsidRPr="001E22C1">
                                <w:rPr>
                                  <w:rFonts w:eastAsia="Aptos" w:hAnsi="Aptos" w:cs="Aptos"/>
                                  <w:b/>
                                  <w:sz w:val="22"/>
                                </w:rPr>
                                <w:t xml:space="preserve">  </w:t>
                              </w:r>
                              <w:r w:rsidR="0055071D">
                                <w:rPr>
                                  <w:rFonts w:eastAsia="Aptos" w:hAnsi="Aptos" w:cs="Aptos"/>
                                  <w:b/>
                                  <w:color w:val="606060"/>
                                  <w:sz w:val="22"/>
                                </w:rPr>
                                <w:t xml:space="preserve">¦ </w:t>
                              </w:r>
                              <w:r w:rsidR="0055071D" w:rsidRPr="0055071D">
                                <w:rPr>
                                  <w:rFonts w:eastAsia="Aptos" w:hAnsi="Aptos" w:cs="Aptos"/>
                                  <w:color w:val="000000" w:themeColor="text1"/>
                                  <w:sz w:val="22"/>
                                </w:rPr>
                                <w:t>Cambio de medida</w:t>
                              </w:r>
                            </w:p>
                          </w:txbxContent>
                        </wps:txbx>
                        <wps:bodyPr wrap="none" rtlCol="0" anchor="t">
                          <a:noAutofit/>
                        </wps:bodyPr>
                      </wps:wsp>
                    </wpg:wgp>
                  </a:graphicData>
                </a:graphic>
              </wp:inline>
            </w:drawing>
          </mc:Choice>
          <mc:Fallback>
            <w:pict>
              <v:group w14:anchorId="325DA973" id="Group 6" o:spid="_x0000_s1036" alt="Chart showing CCO service rates over time for Assessment for Children in ODHS Custody. A dark blue line shows the CCO statewide service rate. Dots show individual CCO service rates in each year. Orange dash marks show each year's benchmark. A dashed vertical line shows a measure change in 2014." style="width:5in;height:239.7pt;mso-position-horizontal-relative:char;mso-position-vertical-relative:line" coordsize="45720,3044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oYv/QdwAAAAFAQAADwAAAGRy&#10;cy9kb3ducmV2LnhtbEyPQUvDQBCF74L/YRnBm91Eq60xm1KKeioFW6F4mybTJDQ7G7LbJP33jl70&#10;8mB4w3vfSxejbVRPna8dG4gnESji3BU1lwY+d293c1A+IBfYOCYDF/KwyK6vUkwKN/AH9dtQKglh&#10;n6CBKoQ20drnFVn0E9cSi3d0ncUgZ1fqosNBwm2j76PoSVusWRoqbGlVUX7anq2B9wGH5UP82q9P&#10;x9Xla/e42a9jMub2Zly+gAo0hr9n+MEXdMiE6eDOXHjVGJAh4VfFm0kVqIOB6ex5CjpL9X/67Bs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">
                <v:shape id="Chart 1110165460" o:spid="_x0000_s1037" type="#_x0000_t75" style="position:absolute;width:45720;height:301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">
                  <v:imagedata r:id="rId35" o:title=""/>
                  <o:lock v:ext="edit" aspectratio="f"/>
                </v:shape>
                <v:shape id="TextBox 5" o:spid="_x0000_s1038" type="#_x0000_t202" style="position:absolute;left:2000;top:26860;width:42030;height:35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" filled="f" stroked="f">
                  <v:textbox>
                    <w:txbxContent>
                      <w:p w14:paraId="12403560" w14:textId="2777CC53" w:rsidR="0055071D" w:rsidRDefault="001E22C1" w:rsidP="0055071D">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r w:rsidRPr="001E22C1">
                          <w:rPr>
                            <w:rFonts w:eastAsia="Aptos" w:hAnsi="Aptos" w:cs="Aptos"/>
                            <w:b/>
                            <w:sz w:val="22"/>
                          </w:rPr>
                          <w:t xml:space="preserve">  </w:t>
                        </w:r>
                        <w:r>
                          <w:rPr>
                            <w:rFonts w:eastAsia="Aptos" w:hAnsi="Aptos" w:cs="Aptos"/>
                            <w:b/>
                            <w:sz w:val="22"/>
                          </w:rPr>
                          <w:t xml:space="preserve">  </w:t>
                        </w:r>
                        <w:r w:rsidRPr="001E22C1">
                          <w:rPr>
                            <w:rFonts w:eastAsia="Aptos" w:hAnsi="Aptos" w:cs="Aptos"/>
                            <w:b/>
                            <w:sz w:val="22"/>
                          </w:rPr>
                          <w:t xml:space="preserve">  </w:t>
                        </w:r>
                        <w:r w:rsidR="0055071D">
                          <w:rPr>
                            <w:rFonts w:eastAsia="Aptos" w:hAnsi="Aptos" w:cs="Aptos"/>
                            <w:b/>
                            <w:color w:val="606060"/>
                            <w:sz w:val="22"/>
                          </w:rPr>
                          <w:t xml:space="preserve">¦ </w:t>
                        </w:r>
                        <w:r w:rsidR="0055071D" w:rsidRPr="0055071D">
                          <w:rPr>
                            <w:rFonts w:eastAsia="Aptos" w:hAnsi="Aptos" w:cs="Aptos"/>
                            <w:color w:val="000000" w:themeColor="text1"/>
                            <w:sz w:val="22"/>
                          </w:rPr>
                          <w:t>Cambio de medida</w:t>
                        </w:r>
                      </w:p>
                    </w:txbxContent>
                  </v:textbox>
                </v:shape>
                <w10:anchorlock/>
              </v:group>
            </w:pict>
          </mc:Fallback>
        </mc:AlternateContent>
      </w:r>
    </w:p>
    <w:p w14:paraId="07A7C0B6" w14:textId="403D9B6A" w:rsidR="00760E3E" w:rsidRPr="001A2D42" w:rsidRDefault="006E1B0B" w:rsidP="003B32F9">
      <w:pPr>
        <w:spacing w:after="240" w:line="240" w:lineRule="auto"/>
      </w:pPr>
      <w:r w:rsidRPr="001A2D42">
        <w:rPr>
          <w:b/>
          <w:lang w:bidi="es-419"/>
        </w:rPr>
        <w:t>Las evaluaciones para niños bajo custodia del Departamento de Servicios Humanos de Oregon (Oregon Department of Human Services, ODHS, por sus siglas en inglés)</w:t>
      </w:r>
      <w:r w:rsidRPr="001A2D42">
        <w:rPr>
          <w:lang w:bidi="es-419"/>
        </w:rPr>
        <w:t xml:space="preserve"> ayudan a garantizar que los niños que ingresan al cuidado de crianza reciban la atención médica física, mental y dental adecuada para su edad que necesitan. </w:t>
      </w:r>
      <w:r w:rsidR="00082D22" w:rsidRPr="001A2D42">
        <w:rPr>
          <w:rStyle w:val="FootnoteReference"/>
          <w:lang w:bidi="es-419"/>
        </w:rPr>
        <w:footnoteReference w:id="5"/>
      </w:r>
      <w:r w:rsidRPr="001A2D42">
        <w:rPr>
          <w:lang w:bidi="es-419"/>
        </w:rPr>
        <w:t xml:space="preserve"> De 2014 a 2019, </w:t>
      </w:r>
      <w:r w:rsidR="00510D02">
        <w:rPr>
          <w:lang w:bidi="es-419"/>
        </w:rPr>
        <w:br/>
      </w:r>
      <w:r w:rsidRPr="001A2D42">
        <w:rPr>
          <w:lang w:bidi="es-419"/>
        </w:rPr>
        <w:lastRenderedPageBreak/>
        <w:t xml:space="preserve">el rendimiento a nivel estatal de las CCO se triplicó con creces. Tras disminuir un poco en 2020, el rendimiento a nivel estatal de las CCO se recuperó rápidamente y reflejó el rendimiento previo a la pandemia. Respecto a los datos de 2024 a 2025, el rendimiento a nivel estatal de las CCO se mantuvo estable y continuó aumentando por encima de la tasa previa a la pandemia de 2019. 14 de las 16 CCO cumplieron con la medida, y 11 alcanzaron el punto de referencia. </w:t>
      </w:r>
    </w:p>
    <w:p w14:paraId="5B9EC842" w14:textId="4A602404" w:rsidR="009A386F" w:rsidRPr="001A2D42" w:rsidRDefault="001229CC" w:rsidP="003B32F9">
      <w:pPr>
        <w:spacing w:line="240" w:lineRule="auto"/>
      </w:pPr>
      <w:r w:rsidRPr="001A2D42">
        <w:rPr>
          <w:lang w:bidi="es-419"/>
        </w:rPr>
        <w:t xml:space="preserve">El rango en el rendimiento de las CCO se amplió respecto a los datos de 2024 a 2025. </w:t>
      </w:r>
      <w:r w:rsidR="00510D02">
        <w:rPr>
          <w:lang w:bidi="es-419"/>
        </w:rPr>
        <w:br/>
      </w:r>
      <w:r w:rsidRPr="001A2D42">
        <w:rPr>
          <w:lang w:bidi="es-419"/>
        </w:rPr>
        <w:t xml:space="preserve">Esto se debió a una tasa notablemente más baja por parte de una CCO. Sin embargo, todas las demás CCO estuvieron más cerca en rendimiento que en años anteriores. </w:t>
      </w:r>
      <w:r w:rsidR="00510D02">
        <w:rPr>
          <w:lang w:bidi="es-419"/>
        </w:rPr>
        <w:br/>
      </w:r>
      <w:r w:rsidRPr="001A2D42">
        <w:rPr>
          <w:lang w:bidi="es-419"/>
        </w:rPr>
        <w:t>Esto se debió a mejoras importantes por parte de tres de las CCO con menor rendimiento en 2024, las cuales mejoraron un 16% o más respecto a los datos de 2024 a 2025.</w:t>
      </w:r>
    </w:p>
    <w:p w14:paraId="34298081" w14:textId="3733B3CC" w:rsidR="00B92208" w:rsidRPr="001A2D42" w:rsidRDefault="00B92208" w:rsidP="003B32F9">
      <w:pPr>
        <w:pStyle w:val="Heading3"/>
        <w:spacing w:line="240" w:lineRule="auto"/>
      </w:pPr>
      <w:r w:rsidRPr="001A2D42">
        <w:rPr>
          <w:lang w:bidi="es-419"/>
        </w:rPr>
        <w:t>Acceso significativo al idioma (equidad en salud)</w:t>
      </w:r>
    </w:p>
    <w:p w14:paraId="29FE86AE" w14:textId="3005DCF0" w:rsidR="00B92208" w:rsidRPr="001A2D42" w:rsidRDefault="00203CB3" w:rsidP="003B32F9">
      <w:pPr>
        <w:spacing w:line="240" w:lineRule="auto"/>
        <w:jc w:val="center"/>
      </w:pPr>
      <w:r>
        <w:rPr>
          <w:noProof/>
        </w:rPr>
        <mc:AlternateContent>
          <mc:Choice Requires="wps">
            <w:drawing>
              <wp:anchor distT="45720" distB="45720" distL="114300" distR="114300" simplePos="0" relativeHeight="251661315" behindDoc="0" locked="0" layoutInCell="1" allowOverlap="1" wp14:anchorId="6BF9A19A" wp14:editId="44ACA3FD">
                <wp:simplePos x="0" y="0"/>
                <wp:positionH relativeFrom="margin">
                  <wp:align>center</wp:align>
                </wp:positionH>
                <wp:positionV relativeFrom="paragraph">
                  <wp:posOffset>2724785</wp:posOffset>
                </wp:positionV>
                <wp:extent cx="4333875" cy="2667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266700"/>
                        </a:xfrm>
                        <a:prstGeom prst="rect">
                          <a:avLst/>
                        </a:prstGeom>
                        <a:solidFill>
                          <a:srgbClr val="FFFFFF"/>
                        </a:solidFill>
                        <a:ln w="9525">
                          <a:noFill/>
                          <a:miter lim="800000"/>
                          <a:headEnd/>
                          <a:tailEnd/>
                        </a:ln>
                      </wps:spPr>
                      <wps:txbx>
                        <w:txbxContent>
                          <w:p w14:paraId="10DAAC04" w14:textId="34706A63" w:rsidR="00203CB3" w:rsidRPr="00203CB3" w:rsidRDefault="00203CB3">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9A19A" id="Text Box 2" o:spid="_x0000_s1039" type="#_x0000_t202" style="position:absolute;left:0;text-align:left;margin-left:0;margin-top:214.55pt;width:341.25pt;height:21pt;z-index:25166131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" stroked="f">
                <v:textbox>
                  <w:txbxContent>
                    <w:p w14:paraId="10DAAC04" w14:textId="34706A63" w:rsidR="00203CB3" w:rsidRPr="00203CB3" w:rsidRDefault="00203CB3">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p>
                  </w:txbxContent>
                </v:textbox>
                <w10:wrap anchorx="margin"/>
              </v:shape>
            </w:pict>
          </mc:Fallback>
        </mc:AlternateContent>
      </w:r>
      <w:r w:rsidR="00F32435" w:rsidRPr="001A2D42">
        <w:rPr>
          <w:noProof/>
          <w:lang w:bidi="es-419"/>
        </w:rPr>
        <w:drawing>
          <wp:inline distT="0" distB="0" distL="0" distR="0" wp14:anchorId="06C037BB" wp14:editId="5F7A6F08">
            <wp:extent cx="4572000" cy="3017520"/>
            <wp:effectExtent l="0" t="0" r="0" b="0"/>
            <wp:docPr id="376206343" name="Chart 1" descr="Chart showing CCO service rates over time for Meaningful Language Access (Health Equity). A dark blue line shows the CCO statewide service rate. Dots show individual CCO service rates in each year. Orange dash marks show each year's benchmark. ">
              <a:extLst xmlns:a="http://schemas.openxmlformats.org/drawingml/2006/main">
                <a:ext uri="{FF2B5EF4-FFF2-40B4-BE49-F238E27FC236}">
                  <a16:creationId xmlns:a16="http://schemas.microsoft.com/office/drawing/2014/main" id="{96302121-4C69-4522-B556-D322BB1E0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F32435" w:rsidRPr="001A2D42" w:rsidDel="00F32435">
        <w:rPr>
          <w:noProof/>
        </w:rPr>
        <w:t xml:space="preserve"> </w:t>
      </w:r>
    </w:p>
    <w:p w14:paraId="142750D4" w14:textId="655279BA" w:rsidR="00ED698D" w:rsidRPr="001A2D42" w:rsidRDefault="00ED698D" w:rsidP="003B32F9">
      <w:pPr>
        <w:spacing w:after="240" w:line="240" w:lineRule="auto"/>
      </w:pPr>
      <w:r w:rsidRPr="001A2D42">
        <w:rPr>
          <w:b/>
          <w:lang w:bidi="es-419"/>
        </w:rPr>
        <w:t xml:space="preserve">Acceso significativo al idioma (equidad en salud) </w:t>
      </w:r>
      <w:r w:rsidRPr="001A2D42">
        <w:rPr>
          <w:lang w:bidi="es-419"/>
        </w:rPr>
        <w:t xml:space="preserve">tiene como objetivo aumentar el uso de servicios lingüísticos de alta calidad para los miembros que necesitan un intérprete. </w:t>
      </w:r>
      <w:r w:rsidR="00510D02">
        <w:rPr>
          <w:lang w:bidi="es-419"/>
        </w:rPr>
        <w:br/>
      </w:r>
      <w:r w:rsidRPr="001A2D42">
        <w:rPr>
          <w:lang w:bidi="es-419"/>
        </w:rPr>
        <w:t>En 2025, las CCO tuvieron que cumplir dos componentes para aprobar esta medida:</w:t>
      </w:r>
    </w:p>
    <w:p w14:paraId="4354941B" w14:textId="77777777" w:rsidR="00ED698D" w:rsidRPr="001A2D42" w:rsidRDefault="00ED698D" w:rsidP="003B32F9">
      <w:pPr>
        <w:pStyle w:val="ListParagraph"/>
        <w:numPr>
          <w:ilvl w:val="0"/>
          <w:numId w:val="4"/>
        </w:numPr>
        <w:spacing w:line="240" w:lineRule="auto"/>
        <w:contextualSpacing w:val="0"/>
      </w:pPr>
      <w:r w:rsidRPr="001A2D42">
        <w:rPr>
          <w:b/>
          <w:lang w:bidi="es-419"/>
        </w:rPr>
        <w:t xml:space="preserve">Componente 1: </w:t>
      </w:r>
      <w:r w:rsidRPr="001A2D42">
        <w:rPr>
          <w:lang w:bidi="es-419"/>
        </w:rPr>
        <w:t xml:space="preserve">certificar actividades que crean una infraestructura de servicios lingüísticos de mayor calidad y más sólida a lo largo del tiempo. </w:t>
      </w:r>
    </w:p>
    <w:p w14:paraId="1EC2A767" w14:textId="15FC29E3" w:rsidR="00ED698D" w:rsidRPr="001A2D42" w:rsidRDefault="00ED698D" w:rsidP="003B32F9">
      <w:pPr>
        <w:pStyle w:val="ListParagraph"/>
        <w:numPr>
          <w:ilvl w:val="0"/>
          <w:numId w:val="4"/>
        </w:numPr>
        <w:spacing w:line="240" w:lineRule="auto"/>
        <w:contextualSpacing w:val="0"/>
      </w:pPr>
      <w:r w:rsidRPr="001A2D42">
        <w:rPr>
          <w:b/>
          <w:lang w:bidi="es-419"/>
        </w:rPr>
        <w:lastRenderedPageBreak/>
        <w:t xml:space="preserve">Componente 2: </w:t>
      </w:r>
      <w:r w:rsidRPr="001A2D42">
        <w:rPr>
          <w:lang w:bidi="es-419"/>
        </w:rPr>
        <w:t>el porcentaje de visitas con a) un intérprete de atención médica certificado o calificado de Oregon, o b) un proveedor</w:t>
      </w:r>
      <w:r w:rsidRPr="001A2D42">
        <w:rPr>
          <w:rStyle w:val="FootnoteReference"/>
          <w:lang w:bidi="es-419"/>
        </w:rPr>
        <w:footnoteReference w:id="6"/>
      </w:r>
      <w:r w:rsidRPr="001A2D42">
        <w:rPr>
          <w:lang w:bidi="es-419"/>
        </w:rPr>
        <w:t xml:space="preserve"> con dominio documentado en el idioma preferido del miembro.</w:t>
      </w:r>
      <w:r w:rsidRPr="001A2D42">
        <w:rPr>
          <w:rStyle w:val="FootnoteReference"/>
          <w:lang w:bidi="es-419"/>
        </w:rPr>
        <w:footnoteReference w:id="7"/>
      </w:r>
    </w:p>
    <w:p w14:paraId="00856B62" w14:textId="43EC0CB9" w:rsidR="00760E3E" w:rsidRPr="001A2D42" w:rsidRDefault="003525B6" w:rsidP="003B32F9">
      <w:pPr>
        <w:spacing w:line="240" w:lineRule="auto"/>
      </w:pPr>
      <w:r w:rsidRPr="001A2D42">
        <w:rPr>
          <w:lang w:bidi="es-419"/>
        </w:rPr>
        <w:t xml:space="preserve">Todas las CCO cumplieron con el componente 1, pero solo 5 CCO cumplieron con su objetivo de mejora para el componente 2. Respecto a los datos de 2024 a 2025, </w:t>
      </w:r>
      <w:r w:rsidR="00510D02">
        <w:rPr>
          <w:lang w:bidi="es-419"/>
        </w:rPr>
        <w:br/>
      </w:r>
      <w:r w:rsidRPr="001A2D42">
        <w:rPr>
          <w:lang w:bidi="es-419"/>
        </w:rPr>
        <w:t>el rendimiento a nivel estatal de las CCO aumentó los servicios lingüísticos calificados del 14.4% al 1</w:t>
      </w:r>
      <w:r w:rsidR="00050CC4">
        <w:rPr>
          <w:lang w:bidi="es-419"/>
        </w:rPr>
        <w:t>7.7</w:t>
      </w:r>
      <w:r w:rsidRPr="001A2D42">
        <w:rPr>
          <w:lang w:bidi="es-419"/>
        </w:rPr>
        <w:t xml:space="preserve">% de las visitas. Todas las CCO permanecieron muy por debajo del punto de referencia del 50%. </w:t>
      </w:r>
    </w:p>
    <w:p w14:paraId="5720F3AA" w14:textId="48BF606E" w:rsidR="003525B6" w:rsidRPr="001A2D42" w:rsidRDefault="002015BC" w:rsidP="003B32F9">
      <w:pPr>
        <w:spacing w:line="240" w:lineRule="auto"/>
      </w:pPr>
      <w:r w:rsidRPr="001A2D42">
        <w:rPr>
          <w:lang w:bidi="es-419"/>
        </w:rPr>
        <w:t>Para el componente 2, el rango en el rendimiento de las CCO se redujo ligeramente respecto a los datos de 2024 a 2025. La CCO con mejor rendimiento prestó servicios lingüísticos calificados en el 23.2% de las visitas, mientras que la CCO con el rendimiento más bajo informó haberlos prestado en el 2.7% de las visitas. Las CCO todavía tienen mucho trabajo por hacer en esta medida. El acceso significativo al idioma (equidad en salud) tuvo uno de los rendimientos más bajos de las CCO en comparación con otras medidas de incentivos.</w:t>
      </w:r>
    </w:p>
    <w:p w14:paraId="0F8A7C70" w14:textId="2D6291C4" w:rsidR="00ED698D" w:rsidRPr="001A2D42" w:rsidRDefault="00ED698D" w:rsidP="003B32F9">
      <w:pPr>
        <w:spacing w:line="240" w:lineRule="auto"/>
      </w:pPr>
      <w:r w:rsidRPr="001A2D42">
        <w:rPr>
          <w:lang w:bidi="es-419"/>
        </w:rPr>
        <w:t xml:space="preserve">Las CCO, las empresas de servicios lingüísticos y los proveedores de atención médica deben utilizar intérpretes de atención médica certificados y calificados por la OHA </w:t>
      </w:r>
      <w:r w:rsidR="003B32F9">
        <w:rPr>
          <w:lang w:bidi="es-419"/>
        </w:rPr>
        <w:br/>
      </w:r>
      <w:r w:rsidRPr="001A2D42">
        <w:rPr>
          <w:lang w:bidi="es-419"/>
        </w:rPr>
        <w:t>(</w:t>
      </w:r>
      <w:hyperlink r:id="rId37">
        <w:r w:rsidRPr="001A2D42">
          <w:rPr>
            <w:rStyle w:val="Hyperlink"/>
            <w:lang w:bidi="es-419"/>
          </w:rPr>
          <w:t>OAR 950-505-0000</w:t>
        </w:r>
      </w:hyperlink>
      <w:r w:rsidRPr="001A2D42">
        <w:rPr>
          <w:lang w:bidi="es-419"/>
        </w:rPr>
        <w:t>). La OHA continuará brindando asistencia técnica a las CCO y a los proveedores para aumentar el acceso y el cumplimiento.</w:t>
      </w:r>
    </w:p>
    <w:p w14:paraId="61B6A763" w14:textId="33F19683" w:rsidR="00B92208" w:rsidRPr="001A2D42" w:rsidRDefault="00B92208" w:rsidP="003B32F9">
      <w:pPr>
        <w:pStyle w:val="Heading3"/>
        <w:spacing w:line="240" w:lineRule="auto"/>
        <w:rPr>
          <w:rStyle w:val="Heading5Char"/>
          <w:szCs w:val="28"/>
        </w:rPr>
      </w:pPr>
      <w:r w:rsidRPr="001A2D42">
        <w:rPr>
          <w:rStyle w:val="Heading5Char"/>
          <w:szCs w:val="28"/>
          <w:lang w:bidi="es-419"/>
        </w:rPr>
        <w:t xml:space="preserve">Servicios de salud dental o bucal preventivos </w:t>
      </w:r>
    </w:p>
    <w:p w14:paraId="18DD5217" w14:textId="43341FD0" w:rsidR="009D2CC1" w:rsidRPr="001A2D42" w:rsidRDefault="00DF0596" w:rsidP="003B32F9">
      <w:pPr>
        <w:spacing w:line="240" w:lineRule="auto"/>
      </w:pPr>
      <w:r w:rsidRPr="001A2D42">
        <w:rPr>
          <w:b/>
          <w:lang w:bidi="es-419"/>
        </w:rPr>
        <w:t>Los servicios de salud dental o bucal</w:t>
      </w:r>
      <w:r w:rsidRPr="001A2D42">
        <w:rPr>
          <w:lang w:bidi="es-419"/>
        </w:rPr>
        <w:t xml:space="preserve"> </w:t>
      </w:r>
      <w:r w:rsidRPr="001A2D42">
        <w:rPr>
          <w:b/>
          <w:lang w:bidi="es-419"/>
        </w:rPr>
        <w:t xml:space="preserve">preventivos </w:t>
      </w:r>
      <w:r w:rsidRPr="001A2D42">
        <w:rPr>
          <w:lang w:bidi="es-419"/>
        </w:rPr>
        <w:t>ayudan a los niños a evitar problemas de salud bucal que pueden afectar su salud y educación. La OHA desarrolló esta medida y sigue los criterios de servicio de la Alianza para la Calidad Dental (Dental Quality Alliance, DQA, por sus siglas en inglés). Esta medida no se encuentra en el conjunto de medidas principales de los CMS. A partir de 2025, el Comité de Indicadores y Puntuaciones adoptó esto como una medida preventiva para que pueda permanecer en el Programa de Incentivos de Calidad de las CCO.</w:t>
      </w:r>
    </w:p>
    <w:p w14:paraId="19C30D03" w14:textId="397ED8C8" w:rsidR="00170D69" w:rsidRPr="001A2D42" w:rsidRDefault="00170D69" w:rsidP="003B32F9">
      <w:pPr>
        <w:spacing w:line="240" w:lineRule="auto"/>
      </w:pPr>
      <w:r w:rsidRPr="001A2D42">
        <w:rPr>
          <w:lang w:bidi="es-419"/>
        </w:rPr>
        <w:t xml:space="preserve">En 2025, las CCO tuvieron que cumplir dos componentes, según el grupo de edad, </w:t>
      </w:r>
      <w:r w:rsidR="003B32F9">
        <w:rPr>
          <w:lang w:bidi="es-419"/>
        </w:rPr>
        <w:br/>
      </w:r>
      <w:r w:rsidRPr="001A2D42">
        <w:rPr>
          <w:lang w:bidi="es-419"/>
        </w:rPr>
        <w:t>para aprobar esta medida:</w:t>
      </w:r>
    </w:p>
    <w:p w14:paraId="63EC2D68" w14:textId="524F3C8F" w:rsidR="00DF0596" w:rsidRPr="001A2D42" w:rsidRDefault="00DF0596" w:rsidP="003B32F9">
      <w:pPr>
        <w:pStyle w:val="ListParagraph"/>
        <w:numPr>
          <w:ilvl w:val="0"/>
          <w:numId w:val="5"/>
        </w:numPr>
        <w:spacing w:line="240" w:lineRule="auto"/>
        <w:contextualSpacing w:val="0"/>
      </w:pPr>
      <w:r w:rsidRPr="001A2D42">
        <w:rPr>
          <w:b/>
          <w:lang w:bidi="es-419"/>
        </w:rPr>
        <w:t>Niños de 1 a 5 años de edad</w:t>
      </w:r>
      <w:r w:rsidRPr="001A2D42">
        <w:rPr>
          <w:lang w:bidi="es-419"/>
        </w:rPr>
        <w:t xml:space="preserve">: Parte de la estrategia más amplia de la </w:t>
      </w:r>
      <w:r w:rsidR="003B32F9">
        <w:rPr>
          <w:lang w:bidi="es-419"/>
        </w:rPr>
        <w:br/>
      </w:r>
      <w:hyperlink w:anchor="_Kindergarten_Readiness" w:history="1">
        <w:r w:rsidRPr="001A2D42">
          <w:rPr>
            <w:rStyle w:val="Hyperlink"/>
            <w:lang w:bidi="es-419"/>
          </w:rPr>
          <w:t>Preparación para el kínder</w:t>
        </w:r>
      </w:hyperlink>
      <w:r w:rsidRPr="001A2D42">
        <w:rPr>
          <w:lang w:bidi="es-419"/>
        </w:rPr>
        <w:t>.</w:t>
      </w:r>
    </w:p>
    <w:p w14:paraId="7696C911" w14:textId="7C90E0C0" w:rsidR="00DF0596" w:rsidRPr="001A2D42" w:rsidRDefault="00DF0596" w:rsidP="003B32F9">
      <w:pPr>
        <w:pStyle w:val="ListParagraph"/>
        <w:spacing w:line="240" w:lineRule="auto"/>
        <w:sectPr w:rsidR="00DF0596" w:rsidRPr="001A2D42" w:rsidSect="00D50249">
          <w:footnotePr>
            <w:numFmt w:val="lowerLetter"/>
          </w:footnotePr>
          <w:pgSz w:w="12240" w:h="15840"/>
          <w:pgMar w:top="1440" w:right="1440" w:bottom="1440" w:left="1440" w:header="86" w:footer="720" w:gutter="0"/>
          <w:cols w:space="288"/>
          <w:docGrid w:linePitch="360"/>
        </w:sectPr>
      </w:pPr>
    </w:p>
    <w:p w14:paraId="7A7EBDD6" w14:textId="77777777" w:rsidR="00DF0596" w:rsidRPr="001A2D42" w:rsidRDefault="00DF0596" w:rsidP="003B32F9">
      <w:pPr>
        <w:pStyle w:val="ListParagraph"/>
        <w:numPr>
          <w:ilvl w:val="0"/>
          <w:numId w:val="5"/>
        </w:numPr>
        <w:spacing w:line="240" w:lineRule="auto"/>
      </w:pPr>
      <w:r w:rsidRPr="001A2D42">
        <w:rPr>
          <w:b/>
          <w:lang w:bidi="es-419"/>
        </w:rPr>
        <w:t>Niños de 6 a 14 años de edad.</w:t>
      </w:r>
      <w:r w:rsidRPr="001A2D42">
        <w:rPr>
          <w:lang w:bidi="es-419"/>
        </w:rPr>
        <w:t xml:space="preserve"> </w:t>
      </w:r>
      <w:bookmarkStart w:id="7" w:name="_Primary_Care_Access"/>
      <w:bookmarkEnd w:id="7"/>
    </w:p>
    <w:p w14:paraId="7EB2AFFD" w14:textId="16397949" w:rsidR="006A5FB0" w:rsidRPr="001A2D42" w:rsidRDefault="006A5FB0" w:rsidP="003B32F9">
      <w:pPr>
        <w:spacing w:line="240" w:lineRule="auto"/>
      </w:pPr>
      <w:r w:rsidRPr="001A2D42">
        <w:rPr>
          <w:lang w:bidi="es-419"/>
        </w:rPr>
        <w:t>9 de cada 16 CCO cumplieron ambos componentes.</w:t>
      </w:r>
    </w:p>
    <w:p w14:paraId="13F7E5CD" w14:textId="568B124D" w:rsidR="00A83D0A" w:rsidRPr="001A2D42" w:rsidRDefault="0069070C" w:rsidP="003B32F9">
      <w:pPr>
        <w:spacing w:line="240" w:lineRule="auto"/>
        <w:jc w:val="center"/>
      </w:pPr>
      <w:r w:rsidRPr="001A2D42">
        <w:rPr>
          <w:noProof/>
          <w:lang w:bidi="es-419"/>
        </w:rPr>
        <w:lastRenderedPageBreak/>
        <w:drawing>
          <wp:inline distT="0" distB="0" distL="0" distR="0" wp14:anchorId="6E15DF70" wp14:editId="4E4ADBC8">
            <wp:extent cx="4572000" cy="3200400"/>
            <wp:effectExtent l="0" t="0" r="0" b="0"/>
            <wp:docPr id="1173225776" name="Chart 1" descr="Chart showing CCO service rates over time for Preventive Dental or Oral Health Services (Ages 1-5). A dark blue line shows the CCO statewide service rate. Dots show individual CCO service rates in each year. Orange dash marks show each year's benchmark. ">
              <a:extLst xmlns:a="http://schemas.openxmlformats.org/drawingml/2006/main">
                <a:ext uri="{FF2B5EF4-FFF2-40B4-BE49-F238E27FC236}">
                  <a16:creationId xmlns:a16="http://schemas.microsoft.com/office/drawing/2014/main" id="{47969C6C-1F42-4015-8902-E1FAB4D119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3A0A691" w14:textId="324D6DD0" w:rsidR="006A5FB0" w:rsidRPr="001A2D42" w:rsidRDefault="006A5FB0" w:rsidP="003B32F9">
      <w:pPr>
        <w:spacing w:line="240" w:lineRule="auto"/>
      </w:pPr>
      <w:r w:rsidRPr="001A2D42">
        <w:rPr>
          <w:lang w:bidi="es-419"/>
        </w:rPr>
        <w:t xml:space="preserve">Para </w:t>
      </w:r>
      <w:r w:rsidRPr="001A2D42">
        <w:rPr>
          <w:b/>
          <w:lang w:bidi="es-419"/>
        </w:rPr>
        <w:t>los niños de 1 a 5 años de edad</w:t>
      </w:r>
      <w:r w:rsidRPr="001A2D42">
        <w:rPr>
          <w:lang w:bidi="es-419"/>
        </w:rPr>
        <w:t>, el rendimiento a nivel estatal de las CCO se mantuvo estable respecto a los datos de 2024 a 2025, continuando su aumento por encima de la tasa previa a la pandemia de 2019. 11 de cada 16 CCO cumplieron este componente, y 9 alcanzaron el punto de referencia. El rango en el rendimiento de las CCO se redujo con respecto a años anteriores. Esto se debió principalmente a la mejora de la CCO con el rendimiento más bajo.</w:t>
      </w:r>
    </w:p>
    <w:p w14:paraId="4B388975" w14:textId="50F586B8" w:rsidR="00A83D0A" w:rsidRPr="001A2D42" w:rsidRDefault="00C265B3" w:rsidP="003B32F9">
      <w:pPr>
        <w:spacing w:line="240" w:lineRule="auto"/>
        <w:jc w:val="center"/>
      </w:pPr>
      <w:r w:rsidRPr="001A2D42">
        <w:rPr>
          <w:noProof/>
          <w:lang w:bidi="es-419"/>
        </w:rPr>
        <w:drawing>
          <wp:inline distT="0" distB="0" distL="0" distR="0" wp14:anchorId="67EC9DDB" wp14:editId="49C7B843">
            <wp:extent cx="4572000" cy="3200400"/>
            <wp:effectExtent l="0" t="0" r="0" b="0"/>
            <wp:docPr id="35779309" name="Chart 1" descr="Chart showing CCO service rates over time for Preventive Dental or Oral Health Services (Ages 6-14).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055ED417-8E1D-451F-96D9-D1751546F7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27BC1F1" w14:textId="5C87ADB1" w:rsidR="006A5FB0" w:rsidRPr="001A2D42" w:rsidRDefault="006A5FB0" w:rsidP="003B32F9">
      <w:pPr>
        <w:spacing w:line="240" w:lineRule="auto"/>
      </w:pPr>
      <w:r w:rsidRPr="001A2D42">
        <w:rPr>
          <w:lang w:bidi="es-419"/>
        </w:rPr>
        <w:t xml:space="preserve">Para </w:t>
      </w:r>
      <w:r w:rsidRPr="001A2D42">
        <w:rPr>
          <w:b/>
          <w:lang w:bidi="es-419"/>
        </w:rPr>
        <w:t>los niños de 6 a 14 años de edad</w:t>
      </w:r>
      <w:r w:rsidRPr="001A2D42">
        <w:rPr>
          <w:lang w:bidi="es-419"/>
        </w:rPr>
        <w:t xml:space="preserve">, el rendimiento a nivel estatal de las CCO se mantuvo estable respecto a los datos de 2024 a 2025, permaneciendo ligeramente por </w:t>
      </w:r>
      <w:r w:rsidRPr="001A2D42">
        <w:rPr>
          <w:lang w:bidi="es-419"/>
        </w:rPr>
        <w:lastRenderedPageBreak/>
        <w:t>debajo de la tasa previa a la pandemia de 2019. 11 de cada 16 CCO cumplieron este componente, y 7 alcanzaron el punto de referencia. El rango en el rendimiento de las CCO se redujo con respecto a años anteriores. Esto se debió principalmente a la mejora de la CCO con el rendimiento más bajo.</w:t>
      </w:r>
    </w:p>
    <w:p w14:paraId="3086C64F" w14:textId="2F00CE45" w:rsidR="00036CEF" w:rsidRPr="001A2D42" w:rsidRDefault="00036CEF" w:rsidP="003B32F9">
      <w:pPr>
        <w:pStyle w:val="Heading3"/>
        <w:spacing w:line="240" w:lineRule="auto"/>
      </w:pPr>
      <w:r w:rsidRPr="001A2D42">
        <w:rPr>
          <w:rStyle w:val="Heading5Char"/>
          <w:szCs w:val="28"/>
          <w:lang w:bidi="es-419"/>
        </w:rPr>
        <w:t>Factores determinantes sociales de la salud (SDOH): la prueba de detección de necesidades sociales y remisión</w:t>
      </w:r>
    </w:p>
    <w:p w14:paraId="6B45B21A" w14:textId="242B3CE3" w:rsidR="00DF0596" w:rsidRPr="001A2D42" w:rsidRDefault="00173D3A" w:rsidP="00082C49">
      <w:pPr>
        <w:spacing w:line="240" w:lineRule="auto"/>
        <w:ind w:right="-138"/>
      </w:pPr>
      <w:r w:rsidRPr="001A2D42">
        <w:rPr>
          <w:lang w:bidi="es-419"/>
        </w:rPr>
        <w:t xml:space="preserve">2025 fue el primer año del informe cuantitativo para los </w:t>
      </w:r>
      <w:r w:rsidRPr="001A2D42">
        <w:rPr>
          <w:b/>
          <w:lang w:bidi="es-419"/>
        </w:rPr>
        <w:t>factores determinantes sociales de la salud (SDOH): la prueba de detección de necesidades sociales y remisión.</w:t>
      </w:r>
      <w:r w:rsidRPr="001A2D42">
        <w:rPr>
          <w:lang w:bidi="es-419"/>
        </w:rPr>
        <w:t xml:space="preserve"> </w:t>
      </w:r>
      <w:r w:rsidR="00082C49">
        <w:rPr>
          <w:lang w:bidi="es-419"/>
        </w:rPr>
        <w:br/>
      </w:r>
      <w:r w:rsidRPr="001A2D42">
        <w:rPr>
          <w:lang w:bidi="es-419"/>
        </w:rPr>
        <w:t xml:space="preserve">El objetivo de esta medida es que todos los miembros de las CCO tengan sus necesidades sociales reconocidas y abordadas. Los factores sociales como los ingresos, las </w:t>
      </w:r>
      <w:r w:rsidR="00082C49">
        <w:rPr>
          <w:lang w:bidi="es-419"/>
        </w:rPr>
        <w:br/>
      </w:r>
      <w:r w:rsidRPr="001A2D42">
        <w:rPr>
          <w:lang w:bidi="es-419"/>
        </w:rPr>
        <w:t>condiciones del entorno y el racismo tienen un impacto profundo en la salud de una persona. Esta medida se centra específicamente en la inseguridad de vivienda, la inseguridad alimentaria y las necesidades de transporte.</w:t>
      </w:r>
    </w:p>
    <w:p w14:paraId="766407E3" w14:textId="65709443" w:rsidR="00954E5A" w:rsidRPr="001A2D42" w:rsidRDefault="00954E5A" w:rsidP="003B32F9">
      <w:pPr>
        <w:spacing w:line="240" w:lineRule="auto"/>
      </w:pPr>
      <w:r w:rsidRPr="001A2D42">
        <w:rPr>
          <w:lang w:bidi="es-419"/>
        </w:rPr>
        <w:t>En 2025, las CCO debían cumplir dos componentes para aprobar esta medida:</w:t>
      </w:r>
    </w:p>
    <w:p w14:paraId="2D90460D" w14:textId="318C28E2" w:rsidR="00954E5A" w:rsidRPr="001A2D42" w:rsidRDefault="00954E5A" w:rsidP="003B32F9">
      <w:pPr>
        <w:pStyle w:val="ListParagraph"/>
        <w:numPr>
          <w:ilvl w:val="0"/>
          <w:numId w:val="4"/>
        </w:numPr>
        <w:spacing w:line="240" w:lineRule="auto"/>
        <w:contextualSpacing w:val="0"/>
      </w:pPr>
      <w:r w:rsidRPr="001A2D42">
        <w:rPr>
          <w:b/>
          <w:lang w:bidi="es-419"/>
        </w:rPr>
        <w:t xml:space="preserve">Componente 1: </w:t>
      </w:r>
      <w:r w:rsidRPr="001A2D42">
        <w:rPr>
          <w:lang w:bidi="es-419"/>
        </w:rPr>
        <w:t>certificar las actividades que establecen la infraestructura y los sistemas necesarios para las pruebas de detección y remisiones.</w:t>
      </w:r>
    </w:p>
    <w:p w14:paraId="12DC35FE" w14:textId="5FE57ABD" w:rsidR="00954E5A" w:rsidRPr="001A2D42" w:rsidRDefault="00954E5A" w:rsidP="003B32F9">
      <w:pPr>
        <w:pStyle w:val="ListParagraph"/>
        <w:numPr>
          <w:ilvl w:val="0"/>
          <w:numId w:val="4"/>
        </w:numPr>
        <w:spacing w:line="240" w:lineRule="auto"/>
        <w:contextualSpacing w:val="0"/>
      </w:pPr>
      <w:r w:rsidRPr="001A2D42">
        <w:rPr>
          <w:b/>
          <w:lang w:bidi="es-419"/>
        </w:rPr>
        <w:t xml:space="preserve">Componente 2: </w:t>
      </w:r>
      <w:r w:rsidRPr="001A2D42">
        <w:rPr>
          <w:lang w:bidi="es-419"/>
        </w:rPr>
        <w:t>el porcentaje de miembros de las CCO detectados y, según corresponda, remitidos a servicios por inseguridad de vivienda, inseguridad alimentaria y necesidades de transporte.</w:t>
      </w:r>
    </w:p>
    <w:p w14:paraId="2E7238F4" w14:textId="7D9A4D86" w:rsidR="00954E5A" w:rsidRPr="001A2D42" w:rsidRDefault="00461BFD" w:rsidP="003B32F9">
      <w:pPr>
        <w:spacing w:line="240" w:lineRule="auto"/>
      </w:pPr>
      <w:r w:rsidRPr="001A2D42">
        <w:rPr>
          <w:lang w:bidi="es-419"/>
        </w:rPr>
        <w:t xml:space="preserve">2025 fue el primer año en que se requirió que las CCO informaran el componente 2 para el 90% de los miembros en una muestra. Las muestras incluyen no más de 1,067 miembros por CCO. Todas las CCO cumplieron con ambos componentes. </w:t>
      </w:r>
    </w:p>
    <w:p w14:paraId="334E2B05" w14:textId="771C54FC" w:rsidR="00F64FAC" w:rsidRPr="001A2D42" w:rsidRDefault="1AA384DB" w:rsidP="003B32F9">
      <w:pPr>
        <w:spacing w:line="240" w:lineRule="auto"/>
      </w:pPr>
      <w:r w:rsidRPr="001A2D42">
        <w:rPr>
          <w:lang w:bidi="es-419"/>
        </w:rPr>
        <w:t>El componente 2 tiene dos tasas reportadas:</w:t>
      </w:r>
    </w:p>
    <w:p w14:paraId="52684F7B" w14:textId="0C536015" w:rsidR="00BC1FE7" w:rsidRPr="001A2D42" w:rsidRDefault="6E214E62" w:rsidP="003B32F9">
      <w:pPr>
        <w:pStyle w:val="ListParagraph"/>
        <w:numPr>
          <w:ilvl w:val="0"/>
          <w:numId w:val="9"/>
        </w:numPr>
        <w:spacing w:line="240" w:lineRule="auto"/>
        <w:contextualSpacing w:val="0"/>
      </w:pPr>
      <w:r w:rsidRPr="001A2D42">
        <w:rPr>
          <w:b/>
          <w:lang w:bidi="es-419"/>
        </w:rPr>
        <w:t xml:space="preserve">Prueba de detección: </w:t>
      </w:r>
      <w:r w:rsidRPr="001A2D42">
        <w:rPr>
          <w:lang w:bidi="es-419"/>
        </w:rPr>
        <w:t>el porcentaje de miembros de las CCO detectados por inseguridad de vivienda, inseguridad alimentaria y necesidades de transporte utilizando herramientas aprobadas o exentas por la OHA.</w:t>
      </w:r>
    </w:p>
    <w:p w14:paraId="4DA6BC0E" w14:textId="3C70192E" w:rsidR="00134D2B" w:rsidRPr="001A2D42" w:rsidRDefault="6E214E62" w:rsidP="003B32F9">
      <w:pPr>
        <w:numPr>
          <w:ilvl w:val="0"/>
          <w:numId w:val="9"/>
        </w:numPr>
        <w:spacing w:line="240" w:lineRule="auto"/>
      </w:pPr>
      <w:r w:rsidRPr="001A2D42">
        <w:rPr>
          <w:b/>
          <w:lang w:bidi="es-419"/>
        </w:rPr>
        <w:t>Remisión:</w:t>
      </w:r>
      <w:r w:rsidRPr="001A2D42">
        <w:rPr>
          <w:lang w:bidi="es-419"/>
        </w:rPr>
        <w:t xml:space="preserve"> de los miembros con una necesidad identificada, el porcentaje que recibió al menos una remisión para cada necesidad identificada.</w:t>
      </w:r>
    </w:p>
    <w:p w14:paraId="3D4F3E57" w14:textId="29CBA01E" w:rsidR="00081290" w:rsidRPr="001A2D42" w:rsidRDefault="45E2414E" w:rsidP="003B32F9">
      <w:pPr>
        <w:spacing w:line="240" w:lineRule="auto"/>
      </w:pPr>
      <w:r w:rsidRPr="001A2D42">
        <w:rPr>
          <w:lang w:bidi="es-419"/>
        </w:rPr>
        <w:t xml:space="preserve">Informamos estas tasas por transparencia. Dado que a las CCO solo se les requirió informar las tasas, no se establecieron puntos de referencia ni objetivos de mejora </w:t>
      </w:r>
      <w:r w:rsidR="00082C49">
        <w:rPr>
          <w:lang w:bidi="es-419"/>
        </w:rPr>
        <w:br/>
      </w:r>
      <w:r w:rsidRPr="001A2D42">
        <w:rPr>
          <w:lang w:bidi="es-419"/>
        </w:rPr>
        <w:t>para 2025.</w:t>
      </w:r>
    </w:p>
    <w:p w14:paraId="7D6A0EA5" w14:textId="7AE3D79E" w:rsidR="00326C93" w:rsidRPr="001A2D42" w:rsidRDefault="00A24375" w:rsidP="003B32F9">
      <w:pPr>
        <w:spacing w:line="240" w:lineRule="auto"/>
        <w:jc w:val="center"/>
      </w:pPr>
      <w:r w:rsidRPr="001A2D42">
        <w:rPr>
          <w:noProof/>
          <w:lang w:bidi="es-419"/>
        </w:rPr>
        <w:lastRenderedPageBreak/>
        <w:drawing>
          <wp:inline distT="0" distB="0" distL="0" distR="0" wp14:anchorId="03FA1205" wp14:editId="21724EBF">
            <wp:extent cx="5486400" cy="4572000"/>
            <wp:effectExtent l="0" t="0" r="0" b="0"/>
            <wp:docPr id="1086231253" name="Chart 1" descr="A dot chart showing 2025 CCO service rates for the SDOH: Screening measure.">
              <a:extLst xmlns:a="http://schemas.openxmlformats.org/drawingml/2006/main">
                <a:ext uri="{FF2B5EF4-FFF2-40B4-BE49-F238E27FC236}">
                  <a16:creationId xmlns:a16="http://schemas.microsoft.com/office/drawing/2014/main" id="{872741EE-4040-4724-B530-64CD7E21B2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4482782" w14:textId="44E6AE09" w:rsidR="00046A4F" w:rsidRPr="001A2D42" w:rsidRDefault="274E934C" w:rsidP="003B32F9">
      <w:pPr>
        <w:spacing w:line="240" w:lineRule="auto"/>
      </w:pPr>
      <w:r w:rsidRPr="001A2D42">
        <w:rPr>
          <w:lang w:bidi="es-419"/>
        </w:rPr>
        <w:t xml:space="preserve">Para la </w:t>
      </w:r>
      <w:r w:rsidRPr="001A2D42">
        <w:rPr>
          <w:b/>
          <w:lang w:bidi="es-419"/>
        </w:rPr>
        <w:t>prueba de detección</w:t>
      </w:r>
      <w:r w:rsidRPr="001A2D42">
        <w:rPr>
          <w:lang w:bidi="es-419"/>
        </w:rPr>
        <w:t>, las CCO a nivel estatal detectaron al 16.3% de los miembros de la muestra por inseguridad de vivienda, inseguridad alimentaria y necesidades de transporte en 2025. La CCO con mejor rendimiento detectó al 52.3% de los miembros de la muestra. La CCO con el rendimiento más bajo informó haber detectado al 0% de los miembros de la muestra con herramientas aprobadas por la OHA.</w:t>
      </w:r>
    </w:p>
    <w:p w14:paraId="0045334E" w14:textId="23BECC0E" w:rsidR="00E9554B" w:rsidRPr="001A2D42" w:rsidRDefault="00A406E3" w:rsidP="003B32F9">
      <w:pPr>
        <w:spacing w:line="240" w:lineRule="auto"/>
        <w:jc w:val="center"/>
        <w:rPr>
          <w:b/>
          <w:bCs/>
        </w:rPr>
      </w:pPr>
      <w:r w:rsidRPr="001A2D42">
        <w:rPr>
          <w:noProof/>
          <w:lang w:bidi="es-419"/>
        </w:rPr>
        <w:lastRenderedPageBreak/>
        <mc:AlternateContent>
          <mc:Choice Requires="wpg">
            <w:drawing>
              <wp:inline distT="0" distB="0" distL="0" distR="0" wp14:anchorId="618FC1F0" wp14:editId="09C78D19">
                <wp:extent cx="5648326" cy="5251450"/>
                <wp:effectExtent l="0" t="0" r="0" b="0"/>
                <wp:docPr id="7" name="Group 6" descr="A dot chart showing 2025 CCO service rates for the SDOH: Referral measure.">
                  <a:extLst xmlns:a="http://schemas.openxmlformats.org/drawingml/2006/main">
                    <a:ext uri="{FF2B5EF4-FFF2-40B4-BE49-F238E27FC236}">
                      <a16:creationId xmlns:a16="http://schemas.microsoft.com/office/drawing/2014/main" id="{787015E0-53E7-E632-2C85-1A3310E74516}"/>
                    </a:ext>
                  </a:extLst>
                </wp:docPr>
                <wp:cNvGraphicFramePr/>
                <a:graphic xmlns:a="http://schemas.openxmlformats.org/drawingml/2006/main">
                  <a:graphicData uri="http://schemas.microsoft.com/office/word/2010/wordprocessingGroup">
                    <wpg:wgp>
                      <wpg:cNvGrpSpPr/>
                      <wpg:grpSpPr>
                        <a:xfrm>
                          <a:off x="0" y="0"/>
                          <a:ext cx="5648326" cy="5251450"/>
                          <a:chOff x="0" y="0"/>
                          <a:chExt cx="5648326" cy="5251450"/>
                        </a:xfrm>
                      </wpg:grpSpPr>
                      <wpg:graphicFrame>
                        <wpg:cNvPr id="1501955805" name="Chart 1501955805">
                          <a:extLst>
                            <a:ext uri="{FF2B5EF4-FFF2-40B4-BE49-F238E27FC236}">
                              <a16:creationId xmlns:a16="http://schemas.microsoft.com/office/drawing/2014/main" id="{5A157F4D-4F90-481F-82BA-7B550B54A42E}"/>
                            </a:ext>
                          </a:extLst>
                        </wpg:cNvPr>
                        <wpg:cNvFrPr>
                          <a:graphicFrameLocks/>
                        </wpg:cNvFrPr>
                        <wpg:xfrm>
                          <a:off x="0" y="0"/>
                          <a:ext cx="5486400" cy="4846320"/>
                        </wpg:xfrm>
                        <a:graphic>
                          <a:graphicData uri="http://schemas.openxmlformats.org/drawingml/2006/chart">
                            <c:chart xmlns:c="http://schemas.openxmlformats.org/drawingml/2006/chart" xmlns:r="http://schemas.openxmlformats.org/officeDocument/2006/relationships" r:id="rId41"/>
                          </a:graphicData>
                        </a:graphic>
                      </wpg:graphicFrame>
                      <wps:wsp>
                        <wps:cNvPr id="2102530900" name="TextBox 5">
                          <a:extLst>
                            <a:ext uri="{FF2B5EF4-FFF2-40B4-BE49-F238E27FC236}">
                              <a16:creationId xmlns:a16="http://schemas.microsoft.com/office/drawing/2014/main" id="{5DA300BE-03DF-B401-DD02-D21175C67A8C}"/>
                            </a:ext>
                          </a:extLst>
                        </wps:cNvPr>
                        <wps:cNvSpPr txBox="1"/>
                        <wps:spPr>
                          <a:xfrm>
                            <a:off x="104776" y="4676140"/>
                            <a:ext cx="5543550" cy="57531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0E98DE3" w14:textId="32FCBB0D" w:rsidR="00A406E3" w:rsidRDefault="00A406E3" w:rsidP="000E5D1B">
                              <w:pPr>
                                <w:ind w:left="255" w:hanging="255"/>
                                <w:rPr>
                                  <w:rFonts w:hAnsi="+mn-ea"/>
                                  <w:kern w:val="0"/>
                                  <w:szCs w:val="24"/>
                                  <w14:ligatures w14:val="none"/>
                                </w:rPr>
                              </w:pPr>
                              <w:r>
                                <w:rPr>
                                  <w:rFonts w:eastAsia="+mn-ea" w:hAnsi="+mn-ea" w:cs="+mn-ea"/>
                                  <w:color w:val="000000" w:themeColor="text1"/>
                                </w:rPr>
                                <w:t>◇</w:t>
                              </w:r>
                              <w:r>
                                <w:rPr>
                                  <w:rFonts w:eastAsia="Aptos" w:hAnsi="Aptos" w:cs="Aptos"/>
                                  <w:color w:val="000000" w:themeColor="text1"/>
                                  <w:sz w:val="22"/>
                                </w:rPr>
                                <w:t xml:space="preserve"> Interprete con precaución. Pocos miembros elegibles debido a las bajas tasas de pruebas de detección.</w:t>
                              </w:r>
                            </w:p>
                          </w:txbxContent>
                        </wps:txbx>
                        <wps:bodyPr wrap="square" rtlCol="0" anchor="t">
                          <a:spAutoFit/>
                        </wps:bodyPr>
                      </wps:wsp>
                    </wpg:wgp>
                  </a:graphicData>
                </a:graphic>
              </wp:inline>
            </w:drawing>
          </mc:Choice>
          <mc:Fallback>
            <w:pict>
              <v:group w14:anchorId="618FC1F0" id="_x0000_s1040" alt="A dot chart showing 2025 CCO service rates for the SDOH: Referral measure." style="width:444.75pt;height:413.5pt;mso-position-horizontal-relative:char;mso-position-vertical-relative:line" coordsize="56483,52514"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">
                <v:shape id="Chart 1501955805" o:spid="_x0000_s1041" type="#_x0000_t75" style="position:absolute;width:54864;height:484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">
                  <v:imagedata r:id="rId42" o:title=""/>
                  <o:lock v:ext="edit" aspectratio="f"/>
                </v:shape>
                <v:shape id="TextBox 5" o:spid="_x0000_s1042" type="#_x0000_t202" style="position:absolute;left:1047;top:46761;width:55436;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" filled="f" stroked="f">
                  <v:textbox style="mso-fit-shape-to-text:t">
                    <w:txbxContent>
                      <w:p w14:paraId="20E98DE3" w14:textId="32FCBB0D" w:rsidR="00A406E3" w:rsidRDefault="00A406E3" w:rsidP="000E5D1B">
                        <w:pPr>
                          <w:ind w:left="255" w:hanging="255"/>
                          <w:rPr>
                            <w:rFonts w:hAnsi="+mn-ea"/>
                            <w:kern w:val="0"/>
                            <w:szCs w:val="24"/>
                            <w14:ligatures w14:val="none"/>
                          </w:rPr>
                        </w:pPr>
                        <w:r>
                          <w:rPr>
                            <w:rFonts w:eastAsia="+mn-ea" w:hAnsi="+mn-ea" w:cs="+mn-ea"/>
                            <w:color w:val="000000" w:themeColor="text1"/>
                          </w:rPr>
                          <w:t>◇</w:t>
                        </w:r>
                        <w:r>
                          <w:rPr>
                            <w:rFonts w:eastAsia="Aptos" w:hAnsi="Aptos" w:cs="Aptos"/>
                            <w:color w:val="000000" w:themeColor="text1"/>
                            <w:sz w:val="22"/>
                          </w:rPr>
                          <w:t xml:space="preserve"> Interprete con precaución. Pocos miembros elegibles debido a las bajas tasas de pruebas de detección.</w:t>
                        </w:r>
                      </w:p>
                    </w:txbxContent>
                  </v:textbox>
                </v:shape>
                <w10:anchorlock/>
              </v:group>
            </w:pict>
          </mc:Fallback>
        </mc:AlternateContent>
      </w:r>
    </w:p>
    <w:p w14:paraId="097122AE" w14:textId="52F5310D" w:rsidR="009D6F3A" w:rsidRPr="001A2D42" w:rsidRDefault="2301D940" w:rsidP="003B32F9">
      <w:pPr>
        <w:spacing w:line="240" w:lineRule="auto"/>
      </w:pPr>
      <w:r w:rsidRPr="001A2D42">
        <w:rPr>
          <w:b/>
          <w:lang w:bidi="es-419"/>
        </w:rPr>
        <w:t xml:space="preserve">Interprete las tasas de remisión con precaución. </w:t>
      </w:r>
      <w:r w:rsidRPr="001A2D42">
        <w:rPr>
          <w:lang w:bidi="es-419"/>
        </w:rPr>
        <w:t xml:space="preserve">Debido a las bajas tasas de pruebas de detección, muy pocos miembros de las CCO fueron elegibles para remisiones. Es posible que las tasas de remisión no sean confiables hasta que aumenten las tasas de pruebas de detección. </w:t>
      </w:r>
    </w:p>
    <w:p w14:paraId="4AFB103D" w14:textId="246C6266" w:rsidR="003A6111" w:rsidRPr="001A2D42" w:rsidRDefault="00B56736" w:rsidP="003B32F9">
      <w:pPr>
        <w:spacing w:line="240" w:lineRule="auto"/>
      </w:pPr>
      <w:r w:rsidRPr="001A2D42">
        <w:rPr>
          <w:lang w:bidi="es-419"/>
        </w:rPr>
        <w:t>Entre los miembros de la muestra con una necesidad identificada, las CCO a nivel estatal remitieron al 20.4% a los servicios necesarios. La CCO con mejor rendimiento remitió al 100% de los miembros de la muestra. Sin embargo, menos de tres miembros fueron elegibles para remisiones de esta CCO. Tres CCO informaron haber remitido al 0% de los miembros de la muestra con necesidades identificadas a los servicios. Todas estas CCO tuvieron tasas de pruebas de detección bajas, con menos de 10 miembros elegibles para remisiones.</w:t>
      </w:r>
    </w:p>
    <w:p w14:paraId="74FFC6AD" w14:textId="1375DC8D" w:rsidR="00A032A3" w:rsidRPr="001A2D42" w:rsidRDefault="00A032A3" w:rsidP="003B32F9">
      <w:pPr>
        <w:pStyle w:val="Heading3"/>
        <w:spacing w:line="240" w:lineRule="auto"/>
        <w:rPr>
          <w:rStyle w:val="Heading5Char"/>
          <w:szCs w:val="28"/>
        </w:rPr>
      </w:pPr>
      <w:r w:rsidRPr="001A2D42">
        <w:rPr>
          <w:rStyle w:val="Heading5Char"/>
          <w:szCs w:val="28"/>
          <w:lang w:bidi="es-419"/>
        </w:rPr>
        <w:lastRenderedPageBreak/>
        <w:t>Niños pequeños que reciben servicios de intervención o tratamiento centrados en problemas socioemocionales</w:t>
      </w:r>
    </w:p>
    <w:p w14:paraId="5EF1B16D" w14:textId="77A3A447" w:rsidR="00DC2F90" w:rsidRPr="001A2D42" w:rsidRDefault="008D0C01" w:rsidP="003B32F9">
      <w:pPr>
        <w:spacing w:line="240" w:lineRule="auto"/>
        <w:jc w:val="center"/>
      </w:pPr>
      <w:r w:rsidRPr="001A2D42">
        <w:rPr>
          <w:noProof/>
          <w:lang w:bidi="es-419"/>
        </w:rPr>
        <w:drawing>
          <wp:inline distT="0" distB="0" distL="0" distR="0" wp14:anchorId="1C190835" wp14:editId="47E75BB9">
            <wp:extent cx="4572000" cy="3017520"/>
            <wp:effectExtent l="0" t="0" r="0" b="11430"/>
            <wp:docPr id="528656511" name="Chart 1" descr="Chart showing CCO service rates over time for Young Children Receiving Social-Emotional Issue-Focused Intervention/Treatment Services. A dark blue line shows the CCO statewide service rate. Dots show individual CCO service rates in each year. An orange dash mark show the 2025 benchmark.">
              <a:extLst xmlns:a="http://schemas.openxmlformats.org/drawingml/2006/main">
                <a:ext uri="{FF2B5EF4-FFF2-40B4-BE49-F238E27FC236}">
                  <a16:creationId xmlns:a16="http://schemas.microsoft.com/office/drawing/2014/main" id="{1BED9304-5F24-42C3-9E41-D0E242367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F327F31" w14:textId="6D372BA9" w:rsidR="00DC2F90" w:rsidRPr="001A2D42" w:rsidRDefault="00097639" w:rsidP="003B32F9">
      <w:pPr>
        <w:spacing w:line="240" w:lineRule="auto"/>
      </w:pPr>
      <w:r w:rsidRPr="001A2D42">
        <w:rPr>
          <w:b/>
          <w:lang w:bidi="es-419"/>
        </w:rPr>
        <w:t xml:space="preserve">Los niños pequeños que reciben servicios de intervención o tratamiento centrados </w:t>
      </w:r>
      <w:r w:rsidR="003C3E0B">
        <w:rPr>
          <w:b/>
          <w:lang w:bidi="es-419"/>
        </w:rPr>
        <w:br/>
      </w:r>
      <w:r w:rsidRPr="001A2D42">
        <w:rPr>
          <w:b/>
          <w:lang w:bidi="es-419"/>
        </w:rPr>
        <w:t>en problemas socioemocionales</w:t>
      </w:r>
      <w:r w:rsidRPr="001A2D42">
        <w:rPr>
          <w:lang w:bidi="es-419"/>
        </w:rPr>
        <w:t xml:space="preserve"> son incluidos como parte del porcentaje de todos los niños de uno a menos de seis años que recibieron un servicio breve de intervención o tratamiento para problemas socioemocionales, como retrasos, preocupaciones conductuales o riesgo de conductas problemáticas.</w:t>
      </w:r>
    </w:p>
    <w:p w14:paraId="452232E4" w14:textId="05B8F38D" w:rsidR="00703E92" w:rsidRPr="001A2D42" w:rsidRDefault="009B2934" w:rsidP="003B32F9">
      <w:pPr>
        <w:spacing w:line="240" w:lineRule="auto"/>
      </w:pPr>
      <w:r w:rsidRPr="001A2D42">
        <w:rPr>
          <w:lang w:bidi="es-419"/>
        </w:rPr>
        <w:t xml:space="preserve">La salud socioemocional es parte de la estrategia de los </w:t>
      </w:r>
      <w:hyperlink r:id="rId44">
        <w:r w:rsidR="1AAE85D3" w:rsidRPr="001A2D42">
          <w:rPr>
            <w:rStyle w:val="Hyperlink"/>
            <w:lang w:bidi="es-419"/>
          </w:rPr>
          <w:t>Aspectos de salud de la preparación para el kínder</w:t>
        </w:r>
      </w:hyperlink>
      <w:r w:rsidRPr="001A2D42">
        <w:rPr>
          <w:lang w:bidi="es-419"/>
        </w:rPr>
        <w:t xml:space="preserve"> de la OHA. Esta medida fue desarrollada por la asociación para la Mejora Pediátrica de Oregon (OPIP) y el Instituto Infantil (CI) con el apoyo de la OHA.</w:t>
      </w:r>
    </w:p>
    <w:p w14:paraId="2455FD99" w14:textId="3EC8E6F6" w:rsidR="00703E92" w:rsidRPr="001A2D42" w:rsidRDefault="00703E92" w:rsidP="003B32F9">
      <w:pPr>
        <w:spacing w:line="240" w:lineRule="auto"/>
      </w:pPr>
      <w:r w:rsidRPr="001A2D42">
        <w:rPr>
          <w:lang w:bidi="es-419"/>
        </w:rPr>
        <w:t>Respecto a los datos de 2024 a 2025, el rendimiento a nivel estatal de las CCO aumentó del 5.0% al 6.3%. Dado que no todos los niños tienen problemas socioemocionales, esperamos que las tasas sean más bajas en comparación con otras medidas. 2025 fue el primer año en que esta medida tuvo un punto de referencia y objetivos de mejora específicos para las CCO. 11 CCO cumplieron con su objetivo de mejora, y ninguna cumplió con el punto de referencia.</w:t>
      </w:r>
    </w:p>
    <w:p w14:paraId="68633398" w14:textId="1F54BB0C" w:rsidR="00082D22" w:rsidRPr="001A2D42" w:rsidRDefault="004E1D40" w:rsidP="003B32F9">
      <w:pPr>
        <w:spacing w:line="240" w:lineRule="auto"/>
      </w:pPr>
      <w:r w:rsidRPr="001A2D42">
        <w:rPr>
          <w:lang w:bidi="es-419"/>
        </w:rPr>
        <w:t>Esta medida se basa en el trabajo realizado bajo la medida anterior de salud socioemocional a nivel de sistema para niños pequeños. De 2022 a 2024, la medida a nivel de sistema se centró en desarrollar recursos y redes de proveedores para identificar y tratar mejor a los niños con necesidades de salud socioemocional.</w:t>
      </w:r>
    </w:p>
    <w:p w14:paraId="3CD630AE" w14:textId="77777777" w:rsidR="00DF0302" w:rsidRPr="001A2D42" w:rsidRDefault="00DF0302" w:rsidP="003B32F9">
      <w:pPr>
        <w:spacing w:line="240" w:lineRule="auto"/>
        <w:rPr>
          <w:rFonts w:asciiTheme="majorHAnsi" w:eastAsiaTheme="majorEastAsia" w:hAnsiTheme="majorHAnsi" w:cstheme="majorBidi"/>
          <w:color w:val="0F4761" w:themeColor="accent1" w:themeShade="BF"/>
          <w:sz w:val="32"/>
          <w:szCs w:val="32"/>
        </w:rPr>
      </w:pPr>
      <w:r w:rsidRPr="001A2D42">
        <w:rPr>
          <w:lang w:bidi="es-419"/>
        </w:rPr>
        <w:br w:type="page"/>
      </w:r>
    </w:p>
    <w:p w14:paraId="10C5C479" w14:textId="17D40BD2" w:rsidR="00ED698D" w:rsidRPr="001A2D42" w:rsidRDefault="00ED698D" w:rsidP="003B32F9">
      <w:pPr>
        <w:pStyle w:val="Heading2"/>
        <w:spacing w:line="240" w:lineRule="auto"/>
      </w:pPr>
      <w:bookmarkStart w:id="8" w:name="_Toc241770403"/>
      <w:r w:rsidRPr="001A2D42">
        <w:rPr>
          <w:lang w:bidi="es-419"/>
        </w:rPr>
        <w:lastRenderedPageBreak/>
        <w:t>Acceso a la atención primaria y atención preventiva</w:t>
      </w:r>
      <w:bookmarkEnd w:id="8"/>
    </w:p>
    <w:p w14:paraId="0E0F03BE" w14:textId="2B64DABE" w:rsidR="00ED698D" w:rsidRPr="001A2D42" w:rsidRDefault="00ED698D" w:rsidP="003B32F9">
      <w:pPr>
        <w:spacing w:line="240" w:lineRule="auto"/>
        <w:sectPr w:rsidR="00ED698D" w:rsidRPr="001A2D42" w:rsidSect="009B7CC7">
          <w:footnotePr>
            <w:numFmt w:val="lowerLetter"/>
          </w:footnotePr>
          <w:type w:val="continuous"/>
          <w:pgSz w:w="12240" w:h="15840"/>
          <w:pgMar w:top="1440" w:right="1440" w:bottom="1440" w:left="1440" w:header="86" w:footer="720" w:gutter="0"/>
          <w:cols w:space="288"/>
          <w:docGrid w:linePitch="360"/>
        </w:sectPr>
      </w:pPr>
      <w:r w:rsidRPr="001A2D42">
        <w:rPr>
          <w:lang w:bidi="es-419"/>
        </w:rPr>
        <w:t>En 2025, las medidas de acceso a la atención primaria y atención preventiva en el Programa de Incentivos de Calidad de las CCO se centraron en la atención médica para niños y adolescentes.</w:t>
      </w:r>
    </w:p>
    <w:p w14:paraId="62063315" w14:textId="22E2A09F" w:rsidR="00A83D0A" w:rsidRPr="001A2D42" w:rsidRDefault="00A83D0A" w:rsidP="003B32F9">
      <w:pPr>
        <w:pStyle w:val="Heading3"/>
        <w:spacing w:line="240" w:lineRule="auto"/>
      </w:pPr>
      <w:r w:rsidRPr="001A2D42">
        <w:rPr>
          <w:lang w:bidi="es-419"/>
        </w:rPr>
        <w:t>Visitas de bienestar para niños y adolescentes (de 3 a 6 años de edad)</w:t>
      </w:r>
    </w:p>
    <w:p w14:paraId="06F09BAB" w14:textId="1E84DEAE" w:rsidR="006C33F6" w:rsidRPr="001A2D42" w:rsidRDefault="00092BD8" w:rsidP="003B32F9">
      <w:pPr>
        <w:spacing w:line="240" w:lineRule="auto"/>
        <w:jc w:val="center"/>
      </w:pPr>
      <w:r w:rsidRPr="001A2D42">
        <w:rPr>
          <w:noProof/>
          <w:lang w:bidi="es-419"/>
        </w:rPr>
        <w:drawing>
          <wp:inline distT="0" distB="0" distL="0" distR="0" wp14:anchorId="26B61B71" wp14:editId="65AEA9FD">
            <wp:extent cx="4572000" cy="3017520"/>
            <wp:effectExtent l="0" t="0" r="0" b="11430"/>
            <wp:docPr id="1573635432" name="Chart 1" descr="Chart showing CCO service rates over time for Child and Adolescent Well-Care Visits (Ages 3-6).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F45CCC9-0885-4934-AD7D-09F3542EC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10E4305" w14:textId="7892DE4A" w:rsidR="00ED698D" w:rsidRPr="001A2D42" w:rsidRDefault="00ED698D" w:rsidP="003B32F9">
      <w:pPr>
        <w:spacing w:line="240" w:lineRule="auto"/>
      </w:pPr>
      <w:r w:rsidRPr="001A2D42">
        <w:rPr>
          <w:b/>
          <w:lang w:bidi="es-419"/>
        </w:rPr>
        <w:t>Las visitas de bienestar para niños y adolescentes (de 3 a 6 años de edad)</w:t>
      </w:r>
      <w:r w:rsidRPr="001A2D42">
        <w:rPr>
          <w:lang w:bidi="es-419"/>
        </w:rPr>
        <w:t xml:space="preserve"> analizan el porcentaje de niños que tuvieron una o más visitas de bienestar con un proveedor de atención primaria o ginecoobstetricia/ginecoobstetra (OB/GYN). Las visitas de bienestar son una oportunidad crítica para la prueba de detección y la atención preventiva. </w:t>
      </w:r>
      <w:r w:rsidR="003C3E0B">
        <w:rPr>
          <w:lang w:bidi="es-419"/>
        </w:rPr>
        <w:br/>
      </w:r>
      <w:r w:rsidRPr="001A2D42">
        <w:rPr>
          <w:lang w:bidi="es-419"/>
        </w:rPr>
        <w:t xml:space="preserve">Esta medida es parte de la estrategia más amplia de </w:t>
      </w:r>
      <w:hyperlink w:anchor="_Kindergarten_Readiness" w:history="1">
        <w:r w:rsidRPr="001A2D42">
          <w:rPr>
            <w:rStyle w:val="Hyperlink"/>
            <w:lang w:bidi="es-419"/>
          </w:rPr>
          <w:t>Preparación para el kínder</w:t>
        </w:r>
      </w:hyperlink>
      <w:r w:rsidRPr="001A2D42">
        <w:rPr>
          <w:lang w:bidi="es-419"/>
        </w:rPr>
        <w:t>.</w:t>
      </w:r>
    </w:p>
    <w:p w14:paraId="43021EFD" w14:textId="619D6770" w:rsidR="00EF418E" w:rsidRPr="001A2D42" w:rsidRDefault="00EF418E" w:rsidP="003B32F9">
      <w:pPr>
        <w:spacing w:line="240" w:lineRule="auto"/>
      </w:pPr>
      <w:r w:rsidRPr="001A2D42">
        <w:rPr>
          <w:lang w:bidi="es-419"/>
        </w:rPr>
        <w:t>Respecto a los datos de 2024 a 2025, el rendimiento a nivel estatal de las CCO mejoró ligeramente. Después de disminuir un 14% en 2020, 2024 fue el primer año en que el rendimiento a nivel estatal de las CCO aumentó a los niveles previos a la pandemia.</w:t>
      </w:r>
    </w:p>
    <w:p w14:paraId="3BED3DD4" w14:textId="3566AC4D" w:rsidR="00D20AFF" w:rsidRPr="001A2D42" w:rsidRDefault="00EF418E" w:rsidP="003B32F9">
      <w:pPr>
        <w:spacing w:line="240" w:lineRule="auto"/>
        <w:rPr>
          <w:rStyle w:val="Heading5Char"/>
          <w:rFonts w:eastAsiaTheme="minorHAnsi" w:cstheme="minorBidi"/>
          <w:color w:val="auto"/>
        </w:rPr>
      </w:pPr>
      <w:r w:rsidRPr="001A2D42">
        <w:rPr>
          <w:lang w:bidi="es-419"/>
        </w:rPr>
        <w:t xml:space="preserve">14 de las 16 CCO cumplieron con la medida, y 8 alcanzaron el punto de referencia. </w:t>
      </w:r>
      <w:r w:rsidR="003C3E0B">
        <w:rPr>
          <w:lang w:bidi="es-419"/>
        </w:rPr>
        <w:br/>
      </w:r>
      <w:r w:rsidRPr="001A2D42">
        <w:rPr>
          <w:lang w:bidi="es-419"/>
        </w:rPr>
        <w:t>En 2025, el rango en el rendimiento de las CCO se redujo con respecto a años anteriores. Este cambio se debió principalmente a la mejora de la CCO con el rendimiento más bajo.</w:t>
      </w:r>
    </w:p>
    <w:p w14:paraId="2B8C2EBB" w14:textId="77777777" w:rsidR="00D20AFF" w:rsidRPr="001A2D42" w:rsidRDefault="00D20AFF" w:rsidP="003B32F9">
      <w:pPr>
        <w:pStyle w:val="Heading3"/>
        <w:spacing w:line="240" w:lineRule="auto"/>
      </w:pPr>
      <w:r w:rsidRPr="001A2D42">
        <w:rPr>
          <w:lang w:bidi="es-419"/>
        </w:rPr>
        <w:lastRenderedPageBreak/>
        <w:t>Estado de vacunación infantil: combinación 3</w:t>
      </w:r>
    </w:p>
    <w:p w14:paraId="0FE53C57" w14:textId="25CBBDF5" w:rsidR="0081383A" w:rsidRPr="001A2D42" w:rsidRDefault="00401554" w:rsidP="003B32F9">
      <w:pPr>
        <w:spacing w:line="240" w:lineRule="auto"/>
        <w:jc w:val="center"/>
      </w:pPr>
      <w:r w:rsidRPr="001A2D42">
        <w:rPr>
          <w:noProof/>
          <w:lang w:bidi="es-419"/>
        </w:rPr>
        <w:drawing>
          <wp:inline distT="0" distB="0" distL="0" distR="0" wp14:anchorId="066B50CE" wp14:editId="11012425">
            <wp:extent cx="4572000" cy="3017520"/>
            <wp:effectExtent l="0" t="0" r="0" b="11430"/>
            <wp:docPr id="1615429744" name="Chart 1" descr="Chart showing CCO service rates over time for Childhood Immunization Status: Combo 3.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2D40A47E-9E65-4684-B3E7-8168D2CF6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4DB0600" w14:textId="630E02BE" w:rsidR="00ED698D" w:rsidRPr="001A2D42" w:rsidRDefault="00ED698D" w:rsidP="003B32F9">
      <w:pPr>
        <w:spacing w:line="240" w:lineRule="auto"/>
      </w:pPr>
      <w:r w:rsidRPr="001A2D42">
        <w:rPr>
          <w:b/>
          <w:lang w:bidi="es-419"/>
        </w:rPr>
        <w:t xml:space="preserve">Estado de vacunación infantil: </w:t>
      </w:r>
      <w:r w:rsidRPr="001A2D42">
        <w:rPr>
          <w:lang w:bidi="es-419"/>
        </w:rPr>
        <w:t xml:space="preserve">La </w:t>
      </w:r>
      <w:r w:rsidRPr="001A2D42">
        <w:rPr>
          <w:b/>
          <w:lang w:bidi="es-419"/>
        </w:rPr>
        <w:t xml:space="preserve">combinación 3 </w:t>
      </w:r>
      <w:r w:rsidRPr="001A2D42">
        <w:rPr>
          <w:lang w:bidi="es-419"/>
        </w:rPr>
        <w:t>evalúa el porcentaje de niños que recibieron las vacunas recomendadas en la combinación 3</w:t>
      </w:r>
      <w:r w:rsidRPr="001A2D42">
        <w:rPr>
          <w:rStyle w:val="FootnoteReference"/>
          <w:lang w:bidi="es-419"/>
        </w:rPr>
        <w:footnoteReference w:id="8"/>
      </w:r>
      <w:r w:rsidRPr="001A2D42">
        <w:rPr>
          <w:lang w:bidi="es-419"/>
        </w:rPr>
        <w:t xml:space="preserve"> antes de su segundo cumpleaños. Los resultados de 2025 incluyen servicios que se remontan a 2023. </w:t>
      </w:r>
    </w:p>
    <w:p w14:paraId="2A6F48D4" w14:textId="7A760C4D" w:rsidR="000B21A3" w:rsidRPr="001A2D42" w:rsidRDefault="000B21A3" w:rsidP="003B32F9">
      <w:pPr>
        <w:spacing w:line="240" w:lineRule="auto"/>
      </w:pPr>
      <w:r w:rsidRPr="001A2D42">
        <w:rPr>
          <w:lang w:bidi="es-419"/>
        </w:rPr>
        <w:t>El rendimiento a nivel estatal de las CCO se mantuvo estable respecto a los datos de 2024 a 2025. 6 CCO cumplieron con su objetivo de mejora y ninguna cumplió con el punto de referencia. El rango en el rendimiento de las CCO se redujo ligeramente respecto a los datos de 2024 a 2025.</w:t>
      </w:r>
    </w:p>
    <w:p w14:paraId="7FD8CBA0" w14:textId="3B08C05F" w:rsidR="00D20AFF" w:rsidRPr="001A2D42" w:rsidRDefault="00D20AFF" w:rsidP="003B32F9">
      <w:pPr>
        <w:pStyle w:val="Heading3"/>
        <w:spacing w:line="240" w:lineRule="auto"/>
      </w:pPr>
      <w:r w:rsidRPr="001A2D42">
        <w:rPr>
          <w:lang w:bidi="es-419"/>
        </w:rPr>
        <w:lastRenderedPageBreak/>
        <w:t>Vacunación para adolescentes: combinación 2.</w:t>
      </w:r>
    </w:p>
    <w:p w14:paraId="349950A3" w14:textId="7CF5C10A" w:rsidR="00544B1A" w:rsidRPr="001A2D42" w:rsidRDefault="00647ABB" w:rsidP="003B32F9">
      <w:pPr>
        <w:spacing w:line="240" w:lineRule="auto"/>
        <w:jc w:val="center"/>
      </w:pPr>
      <w:r w:rsidRPr="001A2D42">
        <w:rPr>
          <w:noProof/>
          <w:lang w:bidi="es-419"/>
        </w:rPr>
        <w:drawing>
          <wp:inline distT="0" distB="0" distL="0" distR="0" wp14:anchorId="2D62CDD1" wp14:editId="7D0EDB01">
            <wp:extent cx="4572000" cy="3017520"/>
            <wp:effectExtent l="0" t="0" r="0" b="11430"/>
            <wp:docPr id="274078829" name="Chart 1" descr="Chart showing CCO service rates over time for Immunizations for Adolescents: Combo 2.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4EA5A92C-D2EA-4363-BA0A-99678B6E75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79590B2" w14:textId="73EBDAB2" w:rsidR="00ED698D" w:rsidRPr="001A2D42" w:rsidRDefault="00ED698D" w:rsidP="003B32F9">
      <w:pPr>
        <w:spacing w:line="240" w:lineRule="auto"/>
      </w:pPr>
      <w:r w:rsidRPr="001A2D42">
        <w:rPr>
          <w:b/>
          <w:lang w:bidi="es-419"/>
        </w:rPr>
        <w:t xml:space="preserve">Vacunación para adolescentes: </w:t>
      </w:r>
      <w:r w:rsidRPr="00E37BDD">
        <w:rPr>
          <w:b/>
          <w:bCs/>
          <w:lang w:bidi="es-419"/>
        </w:rPr>
        <w:t>La</w:t>
      </w:r>
      <w:r w:rsidRPr="001A2D42">
        <w:rPr>
          <w:lang w:bidi="es-419"/>
        </w:rPr>
        <w:t xml:space="preserve"> </w:t>
      </w:r>
      <w:r w:rsidRPr="001A2D42">
        <w:rPr>
          <w:b/>
          <w:lang w:bidi="es-419"/>
        </w:rPr>
        <w:t>combinación 2</w:t>
      </w:r>
      <w:r w:rsidRPr="001A2D42">
        <w:rPr>
          <w:lang w:bidi="es-419"/>
        </w:rPr>
        <w:t xml:space="preserve"> evalúa el porcentaje de adolescentes que recibieron las vacunas recomendadas en la combinación 2</w:t>
      </w:r>
      <w:r w:rsidRPr="001A2D42">
        <w:rPr>
          <w:rStyle w:val="FootnoteReference"/>
          <w:lang w:bidi="es-419"/>
        </w:rPr>
        <w:footnoteReference w:id="9"/>
      </w:r>
      <w:r w:rsidRPr="001A2D42">
        <w:rPr>
          <w:lang w:bidi="es-419"/>
        </w:rPr>
        <w:t xml:space="preserve"> entre su noveno y decimotercer cumpleaños. Los resultados de 2025 incluyen servicios que se remontan a 2021. Las interrupciones en la atención durante la pandemia del COVID-19 podrían seguir afectando esta medida. </w:t>
      </w:r>
    </w:p>
    <w:p w14:paraId="35D92E9D" w14:textId="118A5981" w:rsidR="00983171" w:rsidRPr="001A2D42" w:rsidRDefault="00983171" w:rsidP="003B32F9">
      <w:pPr>
        <w:spacing w:line="240" w:lineRule="auto"/>
      </w:pPr>
      <w:r w:rsidRPr="001A2D42">
        <w:rPr>
          <w:lang w:bidi="es-419"/>
        </w:rPr>
        <w:t xml:space="preserve">Respecto a los datos de 2024 a 2025, el rendimiento a nivel estatal de las CCO mejoró ligeramente. 2025 fue el primer año en que el rendimiento a nivel estatal de las CCO aumentó a niveles previos a la pandemia. 12 de las 16 CCO cumplieron con la medida, </w:t>
      </w:r>
      <w:r w:rsidR="003C3E0B">
        <w:rPr>
          <w:lang w:bidi="es-419"/>
        </w:rPr>
        <w:br/>
      </w:r>
      <w:r w:rsidRPr="001A2D42">
        <w:rPr>
          <w:lang w:bidi="es-419"/>
        </w:rPr>
        <w:t>y 4 alcanzaron el punto de referencia. 12 CCO mejoraron o mostraron una ligera mejora respecto a los datos de 2024 a 2025, y 5 mejoraron en un 10% o más.</w:t>
      </w:r>
    </w:p>
    <w:p w14:paraId="0A209801" w14:textId="2E21D7C3" w:rsidR="00983171" w:rsidRPr="001A2D42" w:rsidRDefault="00983171" w:rsidP="003B32F9">
      <w:pPr>
        <w:spacing w:line="240" w:lineRule="auto"/>
      </w:pPr>
      <w:r w:rsidRPr="001A2D42">
        <w:rPr>
          <w:lang w:bidi="es-419"/>
        </w:rPr>
        <w:t>El rango en el rendimiento de las CCO se redujo ligeramente respecto a los datos de 2024 a 2025. Este cambio se debió principalmente a un rendimiento ligeramente peor de la CCO principal.</w:t>
      </w:r>
    </w:p>
    <w:p w14:paraId="307B513A" w14:textId="77777777" w:rsidR="00ED698D" w:rsidRPr="001A2D42" w:rsidRDefault="00ED698D" w:rsidP="003B32F9">
      <w:pPr>
        <w:pStyle w:val="Heading2"/>
        <w:spacing w:line="240" w:lineRule="auto"/>
      </w:pPr>
      <w:bookmarkStart w:id="9" w:name="_Toc241770404"/>
      <w:r w:rsidRPr="001A2D42">
        <w:rPr>
          <w:lang w:bidi="es-419"/>
        </w:rPr>
        <w:lastRenderedPageBreak/>
        <w:t>Salud materna y perinatal</w:t>
      </w:r>
      <w:bookmarkEnd w:id="9"/>
    </w:p>
    <w:p w14:paraId="360A87C0" w14:textId="14E377F5" w:rsidR="00D20AFF" w:rsidRPr="001A2D42" w:rsidRDefault="00D20AFF" w:rsidP="005C64FB">
      <w:pPr>
        <w:pStyle w:val="Heading3"/>
        <w:spacing w:before="120" w:line="240" w:lineRule="auto"/>
      </w:pPr>
      <w:r w:rsidRPr="001A2D42">
        <w:rPr>
          <w:lang w:bidi="es-419"/>
        </w:rPr>
        <w:t>Cuidados prenatales y posparto: cuidados posparto</w:t>
      </w:r>
    </w:p>
    <w:p w14:paraId="5E6C908E" w14:textId="2358E15B" w:rsidR="00FF5105" w:rsidRPr="001A2D42" w:rsidRDefault="00E37BDD" w:rsidP="003B32F9">
      <w:pPr>
        <w:spacing w:line="240" w:lineRule="auto"/>
        <w:jc w:val="center"/>
      </w:pPr>
      <w:r>
        <w:rPr>
          <w:noProof/>
        </w:rPr>
        <mc:AlternateContent>
          <mc:Choice Requires="wps">
            <w:drawing>
              <wp:anchor distT="45720" distB="45720" distL="114300" distR="114300" simplePos="0" relativeHeight="251663363" behindDoc="0" locked="0" layoutInCell="1" allowOverlap="1" wp14:anchorId="23CA25D2" wp14:editId="273BA8DB">
                <wp:simplePos x="0" y="0"/>
                <wp:positionH relativeFrom="margin">
                  <wp:posOffset>1000125</wp:posOffset>
                </wp:positionH>
                <wp:positionV relativeFrom="paragraph">
                  <wp:posOffset>2703195</wp:posOffset>
                </wp:positionV>
                <wp:extent cx="4333875" cy="266700"/>
                <wp:effectExtent l="0" t="0" r="9525" b="0"/>
                <wp:wrapNone/>
                <wp:docPr id="549213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266700"/>
                        </a:xfrm>
                        <a:prstGeom prst="rect">
                          <a:avLst/>
                        </a:prstGeom>
                        <a:solidFill>
                          <a:srgbClr val="FFFFFF"/>
                        </a:solidFill>
                        <a:ln w="9525">
                          <a:noFill/>
                          <a:miter lim="800000"/>
                          <a:headEnd/>
                          <a:tailEnd/>
                        </a:ln>
                      </wps:spPr>
                      <wps:txbx>
                        <w:txbxContent>
                          <w:p w14:paraId="233780E7" w14:textId="77777777" w:rsidR="00E37BDD" w:rsidRPr="00203CB3" w:rsidRDefault="00E37BDD" w:rsidP="00E37BDD">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r w:rsidRPr="001E22C1">
                              <w:rPr>
                                <w:rFonts w:eastAsia="Aptos" w:hAnsi="Aptos" w:cs="Aptos"/>
                                <w:b/>
                                <w:sz w:val="22"/>
                              </w:rPr>
                              <w:t xml:space="preserve">  </w:t>
                            </w:r>
                            <w:r>
                              <w:rPr>
                                <w:rFonts w:eastAsia="Aptos" w:hAnsi="Aptos" w:cs="Aptos"/>
                                <w:b/>
                                <w:sz w:val="22"/>
                              </w:rPr>
                              <w:t xml:space="preserve">  </w:t>
                            </w:r>
                            <w:r w:rsidRPr="001E22C1">
                              <w:rPr>
                                <w:rFonts w:eastAsia="Aptos" w:hAnsi="Aptos" w:cs="Aptos"/>
                                <w:b/>
                                <w:sz w:val="22"/>
                              </w:rPr>
                              <w:t xml:space="preserve">  </w:t>
                            </w:r>
                            <w:r>
                              <w:rPr>
                                <w:rFonts w:eastAsia="Aptos" w:hAnsi="Aptos" w:cs="Aptos"/>
                                <w:b/>
                                <w:color w:val="606060"/>
                                <w:sz w:val="22"/>
                              </w:rPr>
                              <w:t xml:space="preserve">¦ </w:t>
                            </w:r>
                            <w:r w:rsidRPr="0055071D">
                              <w:rPr>
                                <w:rFonts w:eastAsia="Aptos" w:hAnsi="Aptos" w:cs="Aptos"/>
                                <w:color w:val="000000" w:themeColor="text1"/>
                                <w:sz w:val="22"/>
                              </w:rPr>
                              <w:t>Cambio de medida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A25D2" id="_x0000_s1043" type="#_x0000_t202" style="position:absolute;left:0;text-align:left;margin-left:78.75pt;margin-top:212.85pt;width:341.25pt;height:21pt;z-index:2516633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" stroked="f">
                <v:textbox>
                  <w:txbxContent>
                    <w:p w14:paraId="233780E7" w14:textId="77777777" w:rsidR="00E37BDD" w:rsidRPr="00203CB3" w:rsidRDefault="00E37BDD" w:rsidP="00E37BDD">
                      <w:pPr>
                        <w:rPr>
                          <w:rFonts w:hAnsi="Aptos"/>
                          <w:b/>
                          <w:bCs/>
                          <w:color w:val="606060"/>
                          <w:kern w:val="0"/>
                          <w:sz w:val="22"/>
                          <w14:ligatures w14:val="none"/>
                        </w:rPr>
                      </w:pPr>
                      <w:r w:rsidRPr="001E22C1">
                        <w:rPr>
                          <w:rFonts w:eastAsia="Aptos" w:hAnsi="Aptos" w:cs="Aptos"/>
                          <w:bCs/>
                          <w:color w:val="0F4761" w:themeColor="accent1" w:themeShade="BF"/>
                          <w:sz w:val="22"/>
                        </w:rPr>
                        <w:sym w:font="Wingdings" w:char="F06C"/>
                      </w:r>
                      <w:r>
                        <w:rPr>
                          <w:rFonts w:eastAsia="Aptos" w:hAnsi="Aptos" w:cs="Aptos"/>
                          <w:bCs/>
                          <w:sz w:val="22"/>
                        </w:rPr>
                        <w:t xml:space="preserve"> </w:t>
                      </w:r>
                      <w:r w:rsidRPr="001E22C1">
                        <w:rPr>
                          <w:rFonts w:eastAsia="Aptos" w:hAnsi="Aptos" w:cs="Aptos"/>
                          <w:bCs/>
                          <w:sz w:val="22"/>
                        </w:rPr>
                        <w:t xml:space="preserve">CCO a nivel estatal   </w:t>
                      </w:r>
                      <w:r>
                        <w:rPr>
                          <w:rFonts w:eastAsia="Aptos" w:hAnsi="Aptos" w:cs="Aptos"/>
                          <w:bCs/>
                          <w:sz w:val="22"/>
                        </w:rPr>
                        <w:t xml:space="preserve">  </w:t>
                      </w:r>
                      <w:r w:rsidRPr="001E22C1">
                        <w:rPr>
                          <w:rFonts w:eastAsia="Aptos" w:hAnsi="Aptos" w:cs="Aptos"/>
                          <w:bCs/>
                          <w:sz w:val="22"/>
                        </w:rPr>
                        <w:t xml:space="preserve"> </w:t>
                      </w:r>
                      <w:r w:rsidRPr="001E22C1">
                        <w:rPr>
                          <w:rFonts w:eastAsia="Aptos" w:hAnsi="Aptos" w:cs="Aptos"/>
                          <w:bCs/>
                          <w:color w:val="595959" w:themeColor="text1" w:themeTint="A6"/>
                          <w:sz w:val="20"/>
                          <w:szCs w:val="20"/>
                        </w:rPr>
                        <w:sym w:font="Wingdings" w:char="F0A1"/>
                      </w:r>
                      <w:r w:rsidRPr="001E22C1">
                        <w:rPr>
                          <w:rFonts w:eastAsia="Aptos" w:hAnsi="Aptos" w:cs="Aptos"/>
                          <w:bCs/>
                          <w:sz w:val="20"/>
                          <w:szCs w:val="20"/>
                        </w:rPr>
                        <w:t xml:space="preserve"> </w:t>
                      </w:r>
                      <w:r w:rsidRPr="001E22C1">
                        <w:rPr>
                          <w:rFonts w:eastAsia="Aptos" w:hAnsi="Aptos" w:cs="Aptos"/>
                          <w:bCs/>
                          <w:sz w:val="22"/>
                        </w:rPr>
                        <w:t>CCO individuales</w:t>
                      </w:r>
                      <w:r w:rsidRPr="001E22C1">
                        <w:rPr>
                          <w:rFonts w:eastAsia="Aptos" w:hAnsi="Aptos" w:cs="Aptos"/>
                          <w:b/>
                          <w:sz w:val="22"/>
                        </w:rPr>
                        <w:t xml:space="preserve">  </w:t>
                      </w:r>
                      <w:r>
                        <w:rPr>
                          <w:rFonts w:eastAsia="Aptos" w:hAnsi="Aptos" w:cs="Aptos"/>
                          <w:b/>
                          <w:sz w:val="22"/>
                        </w:rPr>
                        <w:t xml:space="preserve">  </w:t>
                      </w:r>
                      <w:r w:rsidRPr="001E22C1">
                        <w:rPr>
                          <w:rFonts w:eastAsia="Aptos" w:hAnsi="Aptos" w:cs="Aptos"/>
                          <w:b/>
                          <w:sz w:val="22"/>
                        </w:rPr>
                        <w:t xml:space="preserve">  </w:t>
                      </w:r>
                      <w:r>
                        <w:rPr>
                          <w:rFonts w:eastAsia="Aptos" w:hAnsi="Aptos" w:cs="Aptos"/>
                          <w:b/>
                          <w:color w:val="606060"/>
                          <w:sz w:val="22"/>
                        </w:rPr>
                        <w:t xml:space="preserve">¦ </w:t>
                      </w:r>
                      <w:r w:rsidRPr="0055071D">
                        <w:rPr>
                          <w:rFonts w:eastAsia="Aptos" w:hAnsi="Aptos" w:cs="Aptos"/>
                          <w:color w:val="000000" w:themeColor="text1"/>
                          <w:sz w:val="22"/>
                        </w:rPr>
                        <w:t>Cambio de medida</w:t>
                      </w:r>
                    </w:p>
                  </w:txbxContent>
                </v:textbox>
                <w10:wrap anchorx="margin"/>
              </v:shape>
            </w:pict>
          </mc:Fallback>
        </mc:AlternateContent>
      </w:r>
      <w:r>
        <w:rPr>
          <w:noProof/>
        </w:rPr>
        <w:drawing>
          <wp:inline distT="0" distB="0" distL="0" distR="0" wp14:anchorId="7AF4D3F5" wp14:editId="3895307F">
            <wp:extent cx="4572000" cy="3008312"/>
            <wp:effectExtent l="0" t="0" r="0" b="1905"/>
            <wp:docPr id="1930982670" name="Chart 935169109">
              <a:extLst xmlns:a="http://schemas.openxmlformats.org/drawingml/2006/main">
                <a:ext uri="{FF2B5EF4-FFF2-40B4-BE49-F238E27FC236}">
                  <a16:creationId xmlns:a16="http://schemas.microsoft.com/office/drawing/2014/main" id="{BB64AA82-19AD-4693-9EEE-D5215A94A9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5E7F0CC" w14:textId="05629CC4" w:rsidR="00ED698D" w:rsidRPr="001A2D42" w:rsidRDefault="00ED698D" w:rsidP="005C64FB">
      <w:pPr>
        <w:spacing w:line="240" w:lineRule="auto"/>
        <w:ind w:right="4"/>
      </w:pPr>
      <w:r w:rsidRPr="001A2D42">
        <w:rPr>
          <w:lang w:bidi="es-419"/>
        </w:rPr>
        <w:t xml:space="preserve">En 2025, el Programa de Incentivos de Calidad de las CCO tuvo un conjunto de medidas principales para la atención materna y perinatal de los CMS: </w:t>
      </w:r>
      <w:r w:rsidRPr="001A2D42">
        <w:rPr>
          <w:b/>
          <w:lang w:bidi="es-419"/>
        </w:rPr>
        <w:t>Cuidados prenatales y posparto: cuidados posparto</w:t>
      </w:r>
      <w:r w:rsidRPr="001A2D42">
        <w:rPr>
          <w:lang w:bidi="es-419"/>
        </w:rPr>
        <w:t xml:space="preserve">. Esta medida analiza el porcentaje de personas que tuvieron una visita para cuidados posparto entre 7 y 84 días después del parto. </w:t>
      </w:r>
      <w:r w:rsidR="00FB08F7">
        <w:rPr>
          <w:lang w:bidi="es-419"/>
        </w:rPr>
        <w:br/>
      </w:r>
      <w:r w:rsidRPr="001A2D42">
        <w:rPr>
          <w:lang w:bidi="es-419"/>
        </w:rPr>
        <w:t xml:space="preserve">Los cuidados posparto apoya la salud y el bienestar a largo plazo tanto de la madre </w:t>
      </w:r>
      <w:r w:rsidR="00FB08F7">
        <w:rPr>
          <w:lang w:bidi="es-419"/>
        </w:rPr>
        <w:br/>
      </w:r>
      <w:r w:rsidRPr="001A2D42">
        <w:rPr>
          <w:lang w:bidi="es-419"/>
        </w:rPr>
        <w:t>como del niño.</w:t>
      </w:r>
    </w:p>
    <w:p w14:paraId="2E0D639B" w14:textId="77777777" w:rsidR="00ED698D" w:rsidRPr="001A2D42" w:rsidRDefault="00ED698D" w:rsidP="003B32F9">
      <w:pPr>
        <w:spacing w:line="240" w:lineRule="auto"/>
        <w:sectPr w:rsidR="00ED698D" w:rsidRPr="001A2D42" w:rsidSect="009B7CC7">
          <w:headerReference w:type="default" r:id="rId49"/>
          <w:footnotePr>
            <w:numFmt w:val="lowerLetter"/>
          </w:footnotePr>
          <w:type w:val="continuous"/>
          <w:pgSz w:w="12240" w:h="15840"/>
          <w:pgMar w:top="1440" w:right="1440" w:bottom="1440" w:left="1440" w:header="86" w:footer="720" w:gutter="0"/>
          <w:cols w:space="720"/>
          <w:docGrid w:linePitch="360"/>
        </w:sectPr>
      </w:pPr>
    </w:p>
    <w:p w14:paraId="116A5E94" w14:textId="00D91332" w:rsidR="00ED698D" w:rsidRPr="001A2D42" w:rsidRDefault="00ED698D" w:rsidP="003B32F9">
      <w:pPr>
        <w:spacing w:line="240" w:lineRule="auto"/>
      </w:pPr>
      <w:r w:rsidRPr="001A2D42">
        <w:rPr>
          <w:lang w:bidi="es-419"/>
        </w:rPr>
        <w:t>Esta medida informa sobre revisiones de las gráficas de una muestra de partos con recién nacidos vivos, lo que se denomina informe híbrido. Las muestras no incluyen más de 411 partos por CCO. Para las CCO más pequeñas, esta muestra captura todos los partos de ese año. Utilizamos informes híbridos para registrar servicios de atención de maternidad integrados que, de otro modo, se perderían en los datos administrativos.</w:t>
      </w:r>
      <w:r w:rsidRPr="001A2D42">
        <w:rPr>
          <w:rStyle w:val="FootnoteReference"/>
          <w:lang w:bidi="es-419"/>
        </w:rPr>
        <w:footnoteReference w:id="10"/>
      </w:r>
    </w:p>
    <w:p w14:paraId="396E76C8" w14:textId="3324D190" w:rsidR="00316CC1" w:rsidRPr="001A2D42" w:rsidRDefault="00316CC1" w:rsidP="003B32F9">
      <w:pPr>
        <w:spacing w:line="240" w:lineRule="auto"/>
      </w:pPr>
      <w:r w:rsidRPr="001A2D42">
        <w:rPr>
          <w:lang w:bidi="es-419"/>
        </w:rPr>
        <w:t xml:space="preserve">Respecto a los datos de 2024 a 2025, el rendimiento a nivel estatal de las CCO aumentó </w:t>
      </w:r>
      <w:r w:rsidR="00FB08F7">
        <w:rPr>
          <w:lang w:bidi="es-419"/>
        </w:rPr>
        <w:br/>
      </w:r>
      <w:r w:rsidRPr="001A2D42">
        <w:rPr>
          <w:lang w:bidi="es-419"/>
        </w:rPr>
        <w:t>de 85.9% a 87.8%. Esta es una de las pocas medidas en las que el rendimiento de las CCO continuó mejorando durante la pandemia.</w:t>
      </w:r>
    </w:p>
    <w:p w14:paraId="00C1ABB2" w14:textId="28E20A1B" w:rsidR="00316CC1" w:rsidRPr="001A2D42" w:rsidRDefault="00316CC1" w:rsidP="003B32F9">
      <w:pPr>
        <w:spacing w:line="240" w:lineRule="auto"/>
      </w:pPr>
      <w:r w:rsidRPr="001A2D42">
        <w:rPr>
          <w:lang w:bidi="es-419"/>
        </w:rPr>
        <w:t>En 2025, las 16 CCO cumplieron con esta medida, y 14 CCO alcanzaron el punto de referencia. El rango en el rendimiento de las CCO continuó reduciéndose. Este fue el segundo rango más pequeño en el rendimiento de las CCO entre todas las medidas de incentivos.</w:t>
      </w:r>
    </w:p>
    <w:p w14:paraId="1B6486DE" w14:textId="7805070B" w:rsidR="00316CC1" w:rsidRPr="001A2D42" w:rsidRDefault="00316CC1" w:rsidP="003B32F9">
      <w:pPr>
        <w:spacing w:after="480" w:line="240" w:lineRule="auto"/>
        <w:sectPr w:rsidR="00316CC1" w:rsidRPr="001A2D42" w:rsidSect="00DB6899">
          <w:footnotePr>
            <w:numFmt w:val="lowerLetter"/>
          </w:footnotePr>
          <w:type w:val="continuous"/>
          <w:pgSz w:w="12240" w:h="15840"/>
          <w:pgMar w:top="1440" w:right="1440" w:bottom="1440" w:left="1440" w:header="86" w:footer="720" w:gutter="0"/>
          <w:cols w:space="288"/>
          <w:docGrid w:linePitch="360"/>
        </w:sectPr>
      </w:pPr>
    </w:p>
    <w:p w14:paraId="7A96BF99" w14:textId="77777777" w:rsidR="00ED698D" w:rsidRPr="001A2D42" w:rsidRDefault="00ED698D" w:rsidP="003B32F9">
      <w:pPr>
        <w:pStyle w:val="Heading2"/>
        <w:spacing w:line="240" w:lineRule="auto"/>
      </w:pPr>
      <w:bookmarkStart w:id="10" w:name="_Toc241770405"/>
      <w:r w:rsidRPr="001A2D42">
        <w:rPr>
          <w:lang w:bidi="es-419"/>
        </w:rPr>
        <w:lastRenderedPageBreak/>
        <w:t>Atención de condiciones agudas y crónicas</w:t>
      </w:r>
      <w:bookmarkEnd w:id="10"/>
    </w:p>
    <w:p w14:paraId="6846C47E" w14:textId="7DED05A3" w:rsidR="00931933" w:rsidRPr="001A2D42" w:rsidRDefault="00931933" w:rsidP="005C64FB">
      <w:pPr>
        <w:pStyle w:val="Heading3"/>
        <w:spacing w:before="120" w:line="240" w:lineRule="auto"/>
      </w:pPr>
      <w:r w:rsidRPr="001A2D42">
        <w:rPr>
          <w:lang w:bidi="es-419"/>
        </w:rPr>
        <w:t>Cuidados de la diabetes: control deficiente de la hemoglobina A1c (HbA1c).</w:t>
      </w:r>
    </w:p>
    <w:p w14:paraId="23C1E566" w14:textId="1E0E164E" w:rsidR="00B22C74" w:rsidRPr="001A2D42" w:rsidRDefault="007C08B7" w:rsidP="003B32F9">
      <w:pPr>
        <w:spacing w:line="240" w:lineRule="auto"/>
        <w:jc w:val="center"/>
      </w:pPr>
      <w:r w:rsidRPr="001A2D42">
        <w:rPr>
          <w:noProof/>
          <w:lang w:bidi="es-419"/>
        </w:rPr>
        <w:drawing>
          <wp:inline distT="0" distB="0" distL="0" distR="0" wp14:anchorId="4708DB93" wp14:editId="038D8266">
            <wp:extent cx="4572000" cy="3017520"/>
            <wp:effectExtent l="0" t="0" r="0" b="11430"/>
            <wp:docPr id="1891820232" name="Chart 1" descr="Chart showing CCO service rates over time for Diabetes Care: Hemoglobin A1c (HbA1c) Poor Control. A dark blue line shows the CCO statewide service rate. Dots show individual CCO service rates in each year. Orange dash marks show each year's benchmark. For this measure, a lower rate is better.">
              <a:extLst xmlns:a="http://schemas.openxmlformats.org/drawingml/2006/main">
                <a:ext uri="{FF2B5EF4-FFF2-40B4-BE49-F238E27FC236}">
                  <a16:creationId xmlns:a16="http://schemas.microsoft.com/office/drawing/2014/main" id="{FFAD45DF-3A9B-8406-7EFC-2DF14E3E6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6273EF9" w14:textId="2E1803E2" w:rsidR="00ED698D" w:rsidRPr="001A2D42" w:rsidRDefault="00ED698D" w:rsidP="003B32F9">
      <w:pPr>
        <w:spacing w:line="240" w:lineRule="auto"/>
        <w:sectPr w:rsidR="00ED698D" w:rsidRPr="001A2D42" w:rsidSect="000D5D4C">
          <w:footnotePr>
            <w:numFmt w:val="lowerLetter"/>
          </w:footnotePr>
          <w:type w:val="continuous"/>
          <w:pgSz w:w="12240" w:h="15840"/>
          <w:pgMar w:top="1440" w:right="1440" w:bottom="1440" w:left="1440" w:header="86" w:footer="720" w:gutter="0"/>
          <w:cols w:space="720"/>
          <w:docGrid w:linePitch="360"/>
        </w:sectPr>
      </w:pPr>
      <w:r w:rsidRPr="001A2D42">
        <w:rPr>
          <w:lang w:bidi="es-419"/>
        </w:rPr>
        <w:t xml:space="preserve">En 2025, el Programa de Incentivos de Calidad de las CCO tuvo un conjunto de medidas de calidad médica de los CMS para las medidas de atención de afecciones agudas y crónicas: </w:t>
      </w:r>
      <w:r w:rsidRPr="001A2D42">
        <w:rPr>
          <w:b/>
          <w:lang w:bidi="es-419"/>
        </w:rPr>
        <w:t>Cuidados de la diabetes: control deficiente de la hemoglobina A1c (HbA1c).</w:t>
      </w:r>
      <w:r w:rsidRPr="001A2D42">
        <w:rPr>
          <w:lang w:bidi="es-419"/>
        </w:rPr>
        <w:t xml:space="preserve"> </w:t>
      </w:r>
      <w:r w:rsidR="005C64FB">
        <w:rPr>
          <w:lang w:bidi="es-419"/>
        </w:rPr>
        <w:br/>
      </w:r>
      <w:r w:rsidRPr="001A2D42">
        <w:rPr>
          <w:lang w:bidi="es-419"/>
        </w:rPr>
        <w:t>La diabetes es una causa principal de muerte y discapacidad en los Estados Unidos. </w:t>
      </w:r>
      <w:r w:rsidR="005C64FB">
        <w:rPr>
          <w:lang w:bidi="es-419"/>
        </w:rPr>
        <w:br/>
      </w:r>
      <w:r w:rsidRPr="001A2D42">
        <w:rPr>
          <w:lang w:bidi="es-419"/>
        </w:rPr>
        <w:t>El control deficiente del azúcar en la sangre (o estado glucémico) puede causar daños al corazón, los ojos, los riñones y los nervios. (</w:t>
      </w:r>
      <w:hyperlink w:anchor="_Appendix_E:_Citations" w:history="1">
        <w:r w:rsidR="001C103B" w:rsidRPr="001A2D42">
          <w:rPr>
            <w:rStyle w:val="Hyperlink"/>
            <w:lang w:bidi="es-419"/>
          </w:rPr>
          <w:t>3</w:t>
        </w:r>
      </w:hyperlink>
      <w:r w:rsidRPr="001A2D42">
        <w:rPr>
          <w:lang w:bidi="es-419"/>
        </w:rPr>
        <w:t>)</w:t>
      </w:r>
    </w:p>
    <w:p w14:paraId="70AA42FC" w14:textId="7DC83DB9" w:rsidR="001F53C3" w:rsidRPr="001A2D42" w:rsidRDefault="00ED698D" w:rsidP="003B32F9">
      <w:pPr>
        <w:spacing w:line="240" w:lineRule="auto"/>
      </w:pPr>
      <w:r w:rsidRPr="001A2D42">
        <w:rPr>
          <w:lang w:bidi="es-419"/>
        </w:rPr>
        <w:t xml:space="preserve">Esta medida analiza el porcentaje de miembros adultos de las CCO que tienen diabetes y cuyos niveles de azúcar en la sangre estaban mal controlados o no fueron sometidos a pruebas de laboratorio. Una tasa más baja es mejor para esta medida. </w:t>
      </w:r>
    </w:p>
    <w:p w14:paraId="16ADE534" w14:textId="762BC52C" w:rsidR="00ED698D" w:rsidRPr="001A2D42" w:rsidRDefault="00ED698D" w:rsidP="003B32F9">
      <w:pPr>
        <w:spacing w:line="240" w:lineRule="auto"/>
      </w:pPr>
      <w:r w:rsidRPr="001A2D42">
        <w:rPr>
          <w:lang w:bidi="es-419"/>
        </w:rPr>
        <w:t xml:space="preserve">Esta medida utiliza datos de registros médicos electrónicos (EHR) para los </w:t>
      </w:r>
      <w:r w:rsidR="005C64FB">
        <w:rPr>
          <w:lang w:bidi="es-419"/>
        </w:rPr>
        <w:br/>
      </w:r>
      <w:r w:rsidRPr="001A2D42">
        <w:rPr>
          <w:lang w:bidi="es-419"/>
        </w:rPr>
        <w:t>informes. Los informes de EHR incluye recuentos agregados de servicios de organizaciones/profesionales de atención médica o proveedores.</w:t>
      </w:r>
    </w:p>
    <w:p w14:paraId="420C19AB" w14:textId="1B65D819" w:rsidR="00895442" w:rsidRPr="001A2D42" w:rsidRDefault="00895442" w:rsidP="003B32F9">
      <w:pPr>
        <w:spacing w:line="240" w:lineRule="auto"/>
      </w:pPr>
      <w:r w:rsidRPr="001A2D42">
        <w:rPr>
          <w:lang w:bidi="es-419"/>
        </w:rPr>
        <w:t xml:space="preserve">El rendimiento a nivel estatal de las CCO mejoró ligeramente respecto a los datos de </w:t>
      </w:r>
      <w:r w:rsidR="00FB08F7">
        <w:rPr>
          <w:lang w:bidi="es-419"/>
        </w:rPr>
        <w:br/>
      </w:r>
      <w:r w:rsidRPr="001A2D42">
        <w:rPr>
          <w:lang w:bidi="es-419"/>
        </w:rPr>
        <w:t>2024 a 2025. Después de empeorar un 35% en 2020, 2025 fue el primer año en que el rendimiento a nivel estatal de las CCO alcanzó los niveles previos a la pandemia. Este es el mejor rendimiento a nivel estatal de las CCO en esta medida desde que se incentivó por primera vez en 2014.</w:t>
      </w:r>
    </w:p>
    <w:p w14:paraId="7EE468AE" w14:textId="6E238183" w:rsidR="00895442" w:rsidRPr="001A2D42" w:rsidRDefault="00895442" w:rsidP="003B32F9">
      <w:pPr>
        <w:spacing w:line="240" w:lineRule="auto"/>
      </w:pPr>
      <w:r w:rsidRPr="001A2D42">
        <w:rPr>
          <w:lang w:bidi="es-419"/>
        </w:rPr>
        <w:t xml:space="preserve">9 de las 16 CCO cumplieron con esta medida, y 7 alcanzaron el punto de referencia. </w:t>
      </w:r>
      <w:r w:rsidR="005C64FB">
        <w:rPr>
          <w:lang w:bidi="es-419"/>
        </w:rPr>
        <w:br/>
      </w:r>
      <w:r w:rsidRPr="001A2D42">
        <w:rPr>
          <w:lang w:bidi="es-419"/>
        </w:rPr>
        <w:t xml:space="preserve">10 CCO mejoraron o mostraron una ligera mejora respecto a los datos de 2024 a 2025. </w:t>
      </w:r>
      <w:r w:rsidR="005C64FB">
        <w:rPr>
          <w:lang w:bidi="es-419"/>
        </w:rPr>
        <w:br/>
      </w:r>
      <w:r w:rsidRPr="001A2D42">
        <w:rPr>
          <w:lang w:bidi="es-419"/>
        </w:rPr>
        <w:t>6 CCO mejoraron un 12% o más respecto a los datos de 2024 a 2025. El rango en el rendimiento de las CCO se amplió en comparación con los dos años anteriores debido a una tasa de empeoramiento de la CCO con el rendimiento más bajo.</w:t>
      </w:r>
    </w:p>
    <w:p w14:paraId="572DDDB3" w14:textId="01CAF3ED" w:rsidR="00895442" w:rsidRPr="001A2D42" w:rsidRDefault="00895442" w:rsidP="003B32F9">
      <w:pPr>
        <w:spacing w:after="480" w:line="240" w:lineRule="auto"/>
        <w:sectPr w:rsidR="00895442" w:rsidRPr="001A2D42" w:rsidSect="00ED698D">
          <w:footnotePr>
            <w:numFmt w:val="lowerLetter"/>
          </w:footnotePr>
          <w:type w:val="continuous"/>
          <w:pgSz w:w="12240" w:h="15840"/>
          <w:pgMar w:top="1440" w:right="1440" w:bottom="1440" w:left="1440" w:header="86" w:footer="86" w:gutter="0"/>
          <w:cols w:space="288"/>
          <w:docGrid w:linePitch="360"/>
        </w:sectPr>
      </w:pPr>
    </w:p>
    <w:p w14:paraId="159EF21F" w14:textId="4F88E6EE" w:rsidR="00ED698D" w:rsidRPr="001A2D42" w:rsidRDefault="00ED698D" w:rsidP="003B32F9">
      <w:pPr>
        <w:pStyle w:val="Heading2"/>
        <w:spacing w:line="240" w:lineRule="auto"/>
      </w:pPr>
      <w:bookmarkStart w:id="11" w:name="_Toc241770406"/>
      <w:r w:rsidRPr="001A2D42">
        <w:rPr>
          <w:lang w:bidi="es-419"/>
        </w:rPr>
        <w:lastRenderedPageBreak/>
        <w:t>Atención médica conductual</w:t>
      </w:r>
      <w:bookmarkEnd w:id="11"/>
    </w:p>
    <w:p w14:paraId="4082B305" w14:textId="5F42B0B6" w:rsidR="00ED698D" w:rsidRPr="001A2D42" w:rsidRDefault="00ED698D" w:rsidP="003B32F9">
      <w:pPr>
        <w:spacing w:after="240" w:line="240" w:lineRule="auto"/>
        <w:sectPr w:rsidR="00ED698D" w:rsidRPr="001A2D42" w:rsidSect="009938E0">
          <w:footnotePr>
            <w:numFmt w:val="lowerLetter"/>
          </w:footnotePr>
          <w:type w:val="continuous"/>
          <w:pgSz w:w="12240" w:h="15840"/>
          <w:pgMar w:top="1440" w:right="1440" w:bottom="1440" w:left="1440" w:header="86" w:footer="720" w:gutter="0"/>
          <w:cols w:space="288"/>
          <w:docGrid w:linePitch="360"/>
        </w:sectPr>
      </w:pPr>
      <w:r w:rsidRPr="001A2D42">
        <w:rPr>
          <w:lang w:bidi="es-419"/>
        </w:rPr>
        <w:t xml:space="preserve">La salud conductual ha sido un área de enfoque principal para la OHA, las CCO y los socios comunitarios. La OHA está apoyando la mejora de la calidad para una medida de incentivo, inicio y participación en el tratamiento del trastorno por consumo de sustancias (SUD), a través del </w:t>
      </w:r>
      <w:hyperlink r:id="rId51">
        <w:r w:rsidRPr="001A2D42">
          <w:rPr>
            <w:rStyle w:val="Hyperlink"/>
            <w:lang w:bidi="es-419"/>
          </w:rPr>
          <w:t>Proyecto de mejora del rendimiento a nivel estatal</w:t>
        </w:r>
      </w:hyperlink>
      <w:r w:rsidRPr="001A2D42">
        <w:rPr>
          <w:lang w:bidi="es-419"/>
        </w:rPr>
        <w:t xml:space="preserve">. </w:t>
      </w:r>
    </w:p>
    <w:p w14:paraId="4CCDF789" w14:textId="1EF2E007" w:rsidR="00931933" w:rsidRPr="001A2D42" w:rsidRDefault="00931933" w:rsidP="003B32F9">
      <w:pPr>
        <w:pStyle w:val="Heading3"/>
        <w:spacing w:line="240" w:lineRule="auto"/>
      </w:pPr>
      <w:r w:rsidRPr="001A2D42">
        <w:rPr>
          <w:lang w:bidi="es-419"/>
        </w:rPr>
        <w:t>Inicio y participación en el tratamiento del trastorno por consumo de sustancias (SUD)</w:t>
      </w:r>
    </w:p>
    <w:p w14:paraId="274CE1CB" w14:textId="35FB8E8A" w:rsidR="00ED698D" w:rsidRPr="001A2D42" w:rsidRDefault="00ED698D" w:rsidP="003B32F9">
      <w:pPr>
        <w:spacing w:after="120" w:line="240" w:lineRule="auto"/>
      </w:pPr>
      <w:r w:rsidRPr="001A2D42">
        <w:rPr>
          <w:b/>
          <w:lang w:bidi="es-419"/>
        </w:rPr>
        <w:t>El inicio y la participación en el tratamiento del SUD</w:t>
      </w:r>
      <w:r w:rsidRPr="001A2D42">
        <w:rPr>
          <w:lang w:bidi="es-419"/>
        </w:rPr>
        <w:t xml:space="preserve"> tiene dos componentes que las CCO deben cumplir para aprobar esta medida:</w:t>
      </w:r>
    </w:p>
    <w:p w14:paraId="4B7EE450" w14:textId="4183A923" w:rsidR="00ED698D" w:rsidRPr="001A2D42" w:rsidRDefault="00ED698D" w:rsidP="003B32F9">
      <w:pPr>
        <w:pStyle w:val="ListParagraph"/>
        <w:numPr>
          <w:ilvl w:val="0"/>
          <w:numId w:val="8"/>
        </w:numPr>
        <w:spacing w:line="240" w:lineRule="auto"/>
      </w:pPr>
      <w:r w:rsidRPr="001A2D42">
        <w:rPr>
          <w:b/>
          <w:lang w:bidi="es-419"/>
        </w:rPr>
        <w:t>Inicio:</w:t>
      </w:r>
      <w:r w:rsidRPr="001A2D42">
        <w:rPr>
          <w:lang w:bidi="es-419"/>
        </w:rPr>
        <w:t xml:space="preserve"> entre los adultos, es el porcentaje de nuevos diagnósticos del SUD seguidos de un tratamiento dentro de los 14 días posteriores al diagnóstico inicial.</w:t>
      </w:r>
      <w:r w:rsidR="00F02AF9" w:rsidRPr="001A2D42">
        <w:rPr>
          <w:rStyle w:val="FootnoteReference"/>
          <w:lang w:bidi="es-419"/>
        </w:rPr>
        <w:footnoteReference w:id="11"/>
      </w:r>
    </w:p>
    <w:p w14:paraId="5E09BA69" w14:textId="0B2C1313" w:rsidR="00ED698D" w:rsidRPr="001A2D42" w:rsidRDefault="00ED698D" w:rsidP="003B32F9">
      <w:pPr>
        <w:pStyle w:val="ListParagraph"/>
        <w:numPr>
          <w:ilvl w:val="0"/>
          <w:numId w:val="8"/>
        </w:numPr>
        <w:spacing w:line="240" w:lineRule="auto"/>
      </w:pPr>
      <w:r w:rsidRPr="001A2D42">
        <w:rPr>
          <w:b/>
          <w:lang w:bidi="es-419"/>
        </w:rPr>
        <w:t>Participación:</w:t>
      </w:r>
      <w:r w:rsidRPr="001A2D42">
        <w:rPr>
          <w:lang w:bidi="es-419"/>
        </w:rPr>
        <w:t xml:space="preserve"> entre los adultos, es el porcentaje de nuevos diagnósticos de SUD seguidos de dos visitas de participación o tratamientos con medicamentos dentro de los 34 días posteriores al tratamiento inicial.</w:t>
      </w:r>
      <w:r w:rsidRPr="001A2D42">
        <w:rPr>
          <w:vertAlign w:val="superscript"/>
          <w:lang w:bidi="es-419"/>
        </w:rPr>
        <w:t>k</w:t>
      </w:r>
    </w:p>
    <w:p w14:paraId="3F17AB11" w14:textId="5381BB71" w:rsidR="008D6639" w:rsidRPr="001A2D42" w:rsidRDefault="008D6639" w:rsidP="003B32F9">
      <w:pPr>
        <w:spacing w:line="240" w:lineRule="auto"/>
      </w:pPr>
      <w:r w:rsidRPr="001A2D42">
        <w:rPr>
          <w:lang w:bidi="es-419"/>
        </w:rPr>
        <w:t>7 CCO alcanzaron ambos componentes en 2025. 1 CCO tuvo un peor rendimiento en ambos componentes, lo cual fue un caso atípico notable.</w:t>
      </w:r>
    </w:p>
    <w:p w14:paraId="7C6C6F01" w14:textId="33CB0281" w:rsidR="00494D14" w:rsidRPr="001A2D42" w:rsidRDefault="00B209DB" w:rsidP="003B32F9">
      <w:pPr>
        <w:spacing w:line="240" w:lineRule="auto"/>
        <w:jc w:val="center"/>
      </w:pPr>
      <w:r>
        <w:rPr>
          <w:noProof/>
        </w:rPr>
        <w:drawing>
          <wp:inline distT="0" distB="0" distL="0" distR="0" wp14:anchorId="0E2BE183" wp14:editId="3E26D896">
            <wp:extent cx="4572000" cy="3200400"/>
            <wp:effectExtent l="0" t="0" r="0" b="0"/>
            <wp:docPr id="430098775" name="Chart 1278136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C41A56F" w14:textId="67856B3F" w:rsidR="003A3C25" w:rsidRPr="001A2D42" w:rsidRDefault="003A3C25" w:rsidP="003B32F9">
      <w:pPr>
        <w:spacing w:line="240" w:lineRule="auto"/>
      </w:pPr>
      <w:r w:rsidRPr="001A2D42">
        <w:rPr>
          <w:lang w:bidi="es-419"/>
        </w:rPr>
        <w:lastRenderedPageBreak/>
        <w:t xml:space="preserve">Para </w:t>
      </w:r>
      <w:r w:rsidRPr="001A2D42">
        <w:rPr>
          <w:b/>
          <w:lang w:bidi="es-419"/>
        </w:rPr>
        <w:t>Inicio</w:t>
      </w:r>
      <w:r w:rsidRPr="001A2D42">
        <w:rPr>
          <w:lang w:bidi="es-419"/>
        </w:rPr>
        <w:t>, el rendimiento a nivel estatal de las CCO se mantuvo estable respecto a los datos de 2024 a 2025. 7 CCO cumplieron con este componente, y 1 alcanzó el punto de referencia. Además, 8 CCO mejoraron o mostraron una ligera mejora respecto a los datos de 2024 a 2025. El rango en el rendimiento de las CCO se amplió respecto a los datos de 2024 a 2025. Este cambio se debió principalmente a una tasa de empeoramiento de la CCO con el rendimiento más bajo.</w:t>
      </w:r>
    </w:p>
    <w:p w14:paraId="30122893" w14:textId="07A82215" w:rsidR="00494D14" w:rsidRPr="001A2D42" w:rsidRDefault="00302C15" w:rsidP="003B32F9">
      <w:pPr>
        <w:spacing w:line="240" w:lineRule="auto"/>
        <w:jc w:val="center"/>
      </w:pPr>
      <w:r w:rsidRPr="001A2D42">
        <w:rPr>
          <w:noProof/>
          <w:lang w:bidi="es-419"/>
        </w:rPr>
        <w:drawing>
          <wp:inline distT="0" distB="0" distL="0" distR="0" wp14:anchorId="583028FD" wp14:editId="4E7E3AEC">
            <wp:extent cx="4572000" cy="3200400"/>
            <wp:effectExtent l="0" t="0" r="0" b="0"/>
            <wp:docPr id="1960096041" name="Chart 1" descr="Chart showing CCO service rates over time for Initiation and Engagement of SUD treatment: Engagement. A dark blue line shows the CCO statewide service rate. Dots show individual CCO service rates in each year. Orange dash marks show each year's benchmark. A dashed vertical line shows a measure change in 2022.">
              <a:extLst xmlns:a="http://schemas.openxmlformats.org/drawingml/2006/main">
                <a:ext uri="{FF2B5EF4-FFF2-40B4-BE49-F238E27FC236}">
                  <a16:creationId xmlns:a16="http://schemas.microsoft.com/office/drawing/2014/main" id="{673ABED1-F8C6-4A80-804C-6E9B6FEF35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2A0CDCE" w14:textId="3F7AEDDB" w:rsidR="008D6639" w:rsidRPr="001A2D42" w:rsidRDefault="003A3C25" w:rsidP="003B32F9">
      <w:pPr>
        <w:spacing w:line="240" w:lineRule="auto"/>
      </w:pPr>
      <w:r w:rsidRPr="001A2D42">
        <w:rPr>
          <w:lang w:bidi="es-419"/>
        </w:rPr>
        <w:t xml:space="preserve">Para </w:t>
      </w:r>
      <w:r w:rsidRPr="001A2D42">
        <w:rPr>
          <w:b/>
          <w:lang w:bidi="es-419"/>
        </w:rPr>
        <w:t>Participación</w:t>
      </w:r>
      <w:r w:rsidRPr="001A2D42">
        <w:rPr>
          <w:lang w:bidi="es-419"/>
        </w:rPr>
        <w:t>, el rendimiento a nivel estatal de las CCO mejoró ligeramente respecto a los datos de 2024 a 2025. 7 CCO cumplieron con este componente, y 4 alcanzaron el punto de referencia. 11 CCO mejoraron o mostraron una ligera mejora, y 5 CCO mejoraron en un 10% o más. El rango en el rendimiento de las CCO se amplió respecto a los datos respecto a los datos de 2024 a 2025. Este cambio se debió principalmente a una tasa de empeoramiento de la CCO con el rendimiento más bajo.</w:t>
      </w:r>
    </w:p>
    <w:p w14:paraId="312E7673" w14:textId="5E82EDB2" w:rsidR="00C864CA" w:rsidRPr="001A2D42" w:rsidRDefault="00C864CA" w:rsidP="003B32F9">
      <w:pPr>
        <w:pStyle w:val="Heading3"/>
        <w:spacing w:line="240" w:lineRule="auto"/>
      </w:pPr>
      <w:r w:rsidRPr="001A2D42">
        <w:rPr>
          <w:lang w:bidi="es-419"/>
        </w:rPr>
        <w:lastRenderedPageBreak/>
        <w:t>Prueba de detección de depresión y plan de seguimiento</w:t>
      </w:r>
    </w:p>
    <w:p w14:paraId="320F5981" w14:textId="55888AF8" w:rsidR="00F16E10" w:rsidRPr="001A2D42" w:rsidRDefault="00FC158E" w:rsidP="003B32F9">
      <w:pPr>
        <w:spacing w:line="240" w:lineRule="auto"/>
        <w:jc w:val="center"/>
      </w:pPr>
      <w:r w:rsidRPr="001A2D42">
        <w:rPr>
          <w:noProof/>
          <w:lang w:bidi="es-419"/>
        </w:rPr>
        <w:drawing>
          <wp:inline distT="0" distB="0" distL="0" distR="0" wp14:anchorId="72481D77" wp14:editId="4E11F968">
            <wp:extent cx="4572000" cy="3017520"/>
            <wp:effectExtent l="0" t="0" r="0" b="11430"/>
            <wp:docPr id="394310437" name="Chart 1" descr="Chart showing CCO service rates over time for Initiation and Screening for Depression and Follow-Up Plan. A dark blue line shows the CCO statewide service rate. Dots show individual CCO service rates in each year. Orange dash marks show each year's benchmark. A dashed vertical line shows a measure change in 2019.">
              <a:extLst xmlns:a="http://schemas.openxmlformats.org/drawingml/2006/main">
                <a:ext uri="{FF2B5EF4-FFF2-40B4-BE49-F238E27FC236}">
                  <a16:creationId xmlns:a16="http://schemas.microsoft.com/office/drawing/2014/main" id="{65BFC948-EB27-4977-8ACC-AFCF09848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2261050" w14:textId="229E4B7C" w:rsidR="00ED698D" w:rsidRPr="001A2D42" w:rsidRDefault="00ED698D" w:rsidP="003B32F9">
      <w:pPr>
        <w:spacing w:line="240" w:lineRule="auto"/>
      </w:pPr>
      <w:r w:rsidRPr="001A2D42">
        <w:rPr>
          <w:lang w:bidi="es-419"/>
        </w:rPr>
        <w:t xml:space="preserve">La </w:t>
      </w:r>
      <w:r w:rsidRPr="001A2D42">
        <w:rPr>
          <w:b/>
          <w:lang w:bidi="es-419"/>
        </w:rPr>
        <w:t xml:space="preserve">prueba de detección de depresión y el plan de seguimiento </w:t>
      </w:r>
      <w:r w:rsidRPr="001A2D42">
        <w:rPr>
          <w:lang w:bidi="es-419"/>
        </w:rPr>
        <w:t>miden el porcentaje de miembros de 12 años de edad en adelante que se sometieron a una prueba de detección y una planificación de seguimiento adecuadas para la depresión.</w:t>
      </w:r>
      <w:r w:rsidR="00D07DBE" w:rsidRPr="001A2D42">
        <w:rPr>
          <w:rStyle w:val="FootnoteReference"/>
          <w:lang w:bidi="es-419"/>
        </w:rPr>
        <w:footnoteReference w:id="12"/>
      </w:r>
      <w:r w:rsidRPr="001A2D42">
        <w:rPr>
          <w:lang w:bidi="es-419"/>
        </w:rPr>
        <w:t xml:space="preserve"> Esta medida utiliza informes de EHR, que incluyen recuentos agregados de servicios de organizaciones o profesionales de atención médica, o proveedores. </w:t>
      </w:r>
    </w:p>
    <w:p w14:paraId="146F774A" w14:textId="72CE2834" w:rsidR="00C13CDA" w:rsidRPr="001A2D42" w:rsidRDefault="00C13CDA" w:rsidP="003B32F9">
      <w:pPr>
        <w:spacing w:line="240" w:lineRule="auto"/>
      </w:pPr>
      <w:r w:rsidRPr="001A2D42">
        <w:rPr>
          <w:lang w:bidi="es-419"/>
        </w:rPr>
        <w:t xml:space="preserve">El rendimiento a nivel estatal de las CCO mejoró ligeramente respecto a los datos de 2024 a 2025, continuando su aumento por encima de la tasa previa a la pandemia de 2019. </w:t>
      </w:r>
      <w:r w:rsidR="00CA0963">
        <w:rPr>
          <w:lang w:bidi="es-419"/>
        </w:rPr>
        <w:br/>
      </w:r>
      <w:r w:rsidRPr="001A2D42">
        <w:rPr>
          <w:lang w:bidi="es-419"/>
        </w:rPr>
        <w:t>14 de las 16 CCO cumplieron con esta medida, y 8 de ellas alcanzaron el punto de referencia. 13 CCO mejoraron o mostraron una ligera mejora, y 5 CCO mejoraron en un 10% o más.</w:t>
      </w:r>
    </w:p>
    <w:p w14:paraId="0C0F9FDC" w14:textId="661765C6" w:rsidR="001649E7" w:rsidRPr="001A2D42" w:rsidRDefault="001649E7" w:rsidP="003B32F9">
      <w:pPr>
        <w:spacing w:line="240" w:lineRule="auto"/>
      </w:pPr>
      <w:r w:rsidRPr="001A2D42">
        <w:rPr>
          <w:lang w:bidi="es-419"/>
        </w:rPr>
        <w:t xml:space="preserve">Esta medida tiene un rango más amplio en el rendimiento de las CCO en comparación </w:t>
      </w:r>
      <w:r w:rsidR="00FB08F7">
        <w:rPr>
          <w:lang w:bidi="es-419"/>
        </w:rPr>
        <w:br/>
      </w:r>
      <w:r w:rsidRPr="001A2D42">
        <w:rPr>
          <w:lang w:bidi="es-419"/>
        </w:rPr>
        <w:t xml:space="preserve">con otras medidas. El rango en el rendimiento de las CCO se amplió respecto a 2024, aunque se mantuvo más reducido que en años anteriores. Este rango más amplio se </w:t>
      </w:r>
      <w:r w:rsidR="00FB08F7">
        <w:rPr>
          <w:lang w:bidi="es-419"/>
        </w:rPr>
        <w:br/>
      </w:r>
      <w:r w:rsidRPr="001A2D42">
        <w:rPr>
          <w:lang w:bidi="es-419"/>
        </w:rPr>
        <w:t>debió principalmente a las mejoras entre las CCO con mejor rendimiento.</w:t>
      </w:r>
    </w:p>
    <w:p w14:paraId="77446F94" w14:textId="77777777" w:rsidR="00ED698D" w:rsidRPr="001A2D42" w:rsidRDefault="00ED698D" w:rsidP="003B32F9">
      <w:pPr>
        <w:pStyle w:val="Heading2"/>
        <w:spacing w:line="240" w:lineRule="auto"/>
      </w:pPr>
      <w:bookmarkStart w:id="12" w:name="_Toc241770407"/>
      <w:r w:rsidRPr="001A2D42">
        <w:rPr>
          <w:lang w:bidi="es-419"/>
        </w:rPr>
        <w:lastRenderedPageBreak/>
        <w:t>Servicios de salud dental y bucal</w:t>
      </w:r>
      <w:bookmarkEnd w:id="12"/>
    </w:p>
    <w:p w14:paraId="1F0EBB72" w14:textId="7CFA581B" w:rsidR="00C864CA" w:rsidRPr="001A2D42" w:rsidRDefault="00C864CA" w:rsidP="003B32F9">
      <w:pPr>
        <w:pStyle w:val="Heading3"/>
        <w:spacing w:line="240" w:lineRule="auto"/>
      </w:pPr>
      <w:r w:rsidRPr="001A2D42">
        <w:rPr>
          <w:lang w:bidi="es-419"/>
        </w:rPr>
        <w:t>Adultos con diabetes: evaluación oral</w:t>
      </w:r>
    </w:p>
    <w:p w14:paraId="3AD448D1" w14:textId="6F7D0C7A" w:rsidR="005C7AE2" w:rsidRPr="001A2D42" w:rsidRDefault="00A32AAB" w:rsidP="003B32F9">
      <w:pPr>
        <w:spacing w:line="240" w:lineRule="auto"/>
        <w:jc w:val="center"/>
      </w:pPr>
      <w:r w:rsidRPr="001A2D42">
        <w:rPr>
          <w:noProof/>
          <w:lang w:bidi="es-419"/>
        </w:rPr>
        <w:drawing>
          <wp:inline distT="0" distB="0" distL="0" distR="0" wp14:anchorId="48B8CA2E" wp14:editId="0548D477">
            <wp:extent cx="4572000" cy="3017520"/>
            <wp:effectExtent l="0" t="0" r="0" b="11430"/>
            <wp:docPr id="1570299150" name="Chart 1" descr="Chart showing CCO service rates over time for Adults with Diabetes - Oral Evaluation.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695FB9DA-5C8B-42CD-B05F-4C2751168D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FB08C0E" w14:textId="2AA85857" w:rsidR="00ED698D" w:rsidRPr="001A2D42" w:rsidRDefault="69DC2157" w:rsidP="003B32F9">
      <w:pPr>
        <w:spacing w:after="240" w:line="240" w:lineRule="auto"/>
      </w:pPr>
      <w:r w:rsidRPr="001A2D42">
        <w:rPr>
          <w:lang w:bidi="es-419"/>
        </w:rPr>
        <w:t xml:space="preserve">En 2025, el Programa de Incentivos de Calidad de las CCO tuvo una medida del </w:t>
      </w:r>
      <w:r w:rsidR="00CA0963">
        <w:rPr>
          <w:lang w:bidi="es-419"/>
        </w:rPr>
        <w:br/>
      </w:r>
      <w:r w:rsidRPr="001A2D42">
        <w:rPr>
          <w:lang w:bidi="es-419"/>
        </w:rPr>
        <w:t xml:space="preserve">conjunto de servicios básicos de salud dental y bucal de los CMS: </w:t>
      </w:r>
      <w:r w:rsidRPr="001A2D42">
        <w:rPr>
          <w:b/>
          <w:lang w:bidi="es-419"/>
        </w:rPr>
        <w:t>adultos con diabetes, evaluación oral</w:t>
      </w:r>
      <w:r w:rsidRPr="001A2D42">
        <w:rPr>
          <w:lang w:bidi="es-419"/>
        </w:rPr>
        <w:t>. Esta medida registra el porcentaje de los adultos con diabetes que recibieron al menos una evaluación oral integral, periódica o periodontal ese año.</w:t>
      </w:r>
      <w:r w:rsidR="00CA0963">
        <w:rPr>
          <w:lang w:bidi="es-419"/>
        </w:rPr>
        <w:br/>
      </w:r>
      <w:r w:rsidRPr="001A2D42">
        <w:rPr>
          <w:lang w:bidi="es-419"/>
        </w:rPr>
        <w:t xml:space="preserve"> Las personas con diabetes tienen tasas más altas de enfermedad periodontal. </w:t>
      </w:r>
      <w:r w:rsidR="00CA0963">
        <w:rPr>
          <w:lang w:bidi="es-419"/>
        </w:rPr>
        <w:br/>
      </w:r>
      <w:r w:rsidRPr="001A2D42">
        <w:rPr>
          <w:lang w:bidi="es-419"/>
        </w:rPr>
        <w:t xml:space="preserve">Las evaluaciones orales anuales pueden ayudar a los proveedores a detectar y </w:t>
      </w:r>
      <w:r w:rsidR="00FB08F7">
        <w:rPr>
          <w:lang w:bidi="es-419"/>
        </w:rPr>
        <w:br/>
      </w:r>
      <w:r w:rsidRPr="001A2D42">
        <w:rPr>
          <w:lang w:bidi="es-419"/>
        </w:rPr>
        <w:t>tratar la enfermedad a tiempo, lo que resulta en mejores resultados de salud. (</w:t>
      </w:r>
      <w:hyperlink w:anchor="_Appendix_E:_Citations" w:history="1">
        <w:r w:rsidR="005D6AB1" w:rsidRPr="001A2D42">
          <w:rPr>
            <w:rStyle w:val="Hyperlink"/>
            <w:lang w:bidi="es-419"/>
          </w:rPr>
          <w:t>4</w:t>
        </w:r>
      </w:hyperlink>
      <w:r w:rsidRPr="001A2D42">
        <w:rPr>
          <w:lang w:bidi="es-419"/>
        </w:rPr>
        <w:t>)</w:t>
      </w:r>
    </w:p>
    <w:p w14:paraId="672813CA" w14:textId="635E8C28" w:rsidR="00F620C6" w:rsidRPr="001A2D42" w:rsidRDefault="00587CC0" w:rsidP="003B32F9">
      <w:pPr>
        <w:spacing w:line="240" w:lineRule="auto"/>
      </w:pPr>
      <w:r w:rsidRPr="001A2D42">
        <w:rPr>
          <w:lang w:bidi="es-419"/>
        </w:rPr>
        <w:t xml:space="preserve">Respecto a los datos de 2024 a 2025, el rendimiento a nivel estatal de las CCO se mantuvo estable. Esto fue una desviación respecto a los dos años anteriores, cuando el rendimiento de las CCO mejoró ligeramente. Solo 4 CCO cumplieron con esta medida, y 1 alcanzó el punto de referencia. El rango en el rendimiento de las CCO también se amplió ligeramente respecto a los datos de 2024 a 2025. Dentro del conjunto de incentivos, esta fue una de las medidas más afectadas negativamente por la pandemia. </w:t>
      </w:r>
    </w:p>
    <w:p w14:paraId="76C412DF" w14:textId="77777777" w:rsidR="00ED698D" w:rsidRPr="001A2D42" w:rsidRDefault="00ED698D" w:rsidP="003B32F9">
      <w:pPr>
        <w:pStyle w:val="Heading2"/>
        <w:spacing w:before="240" w:line="240" w:lineRule="auto"/>
      </w:pPr>
      <w:bookmarkStart w:id="13" w:name="_Kindergarten_Readiness"/>
      <w:bookmarkStart w:id="14" w:name="_Toc241770408"/>
      <w:bookmarkEnd w:id="13"/>
      <w:r w:rsidRPr="001A2D42">
        <w:rPr>
          <w:lang w:bidi="es-419"/>
        </w:rPr>
        <w:t>Preparación para el kínder</w:t>
      </w:r>
      <w:bookmarkEnd w:id="14"/>
    </w:p>
    <w:p w14:paraId="5C7DA7C5" w14:textId="3CE993DE" w:rsidR="00E127CE" w:rsidRPr="001A2D42" w:rsidRDefault="00ED698D" w:rsidP="003B32F9">
      <w:pPr>
        <w:spacing w:line="240" w:lineRule="auto"/>
      </w:pPr>
      <w:r w:rsidRPr="001A2D42">
        <w:rPr>
          <w:lang w:bidi="es-419"/>
        </w:rPr>
        <w:t xml:space="preserve">La estrategia de los </w:t>
      </w:r>
      <w:hyperlink r:id="rId56">
        <w:r w:rsidR="57D038DA" w:rsidRPr="001A2D42">
          <w:rPr>
            <w:rStyle w:val="Hyperlink"/>
            <w:lang w:bidi="es-419"/>
          </w:rPr>
          <w:t>Aspectos de salud de la preparación para el kínder</w:t>
        </w:r>
      </w:hyperlink>
      <w:r w:rsidRPr="001A2D42">
        <w:rPr>
          <w:lang w:bidi="es-419"/>
        </w:rPr>
        <w:t xml:space="preserve"> es un subconjunto de medidas destinadas al cambio de los procesos del sistema de salud, inversiones y esfuerzos intersectoriales para mejorar la preparación para el kínder. Esta estrategia de varias medidas fue desarrollada por el grupo de trabajo sobre aspectos de salud de la preparación para el kínder y fue respaldada por el Comité de Indicadores y Puntuaciones.</w:t>
      </w:r>
    </w:p>
    <w:p w14:paraId="464B9B97" w14:textId="77777777" w:rsidR="00E127CE" w:rsidRPr="001A2D42" w:rsidRDefault="00E127CE" w:rsidP="003B32F9">
      <w:pPr>
        <w:spacing w:line="240" w:lineRule="auto"/>
      </w:pPr>
      <w:r w:rsidRPr="001A2D42">
        <w:rPr>
          <w:lang w:bidi="es-419"/>
        </w:rPr>
        <w:t xml:space="preserve">En 2025, el Programa de Incentivos de Calidad de las CCO tenía 3 medidas en la estrategia más amplia de preparación para el kínder: </w:t>
      </w:r>
    </w:p>
    <w:p w14:paraId="2598B971" w14:textId="4F453CAF" w:rsidR="00E127CE" w:rsidRPr="001A2D42" w:rsidRDefault="00E127CE" w:rsidP="003B32F9">
      <w:pPr>
        <w:pStyle w:val="ListParagraph"/>
        <w:numPr>
          <w:ilvl w:val="0"/>
          <w:numId w:val="10"/>
        </w:numPr>
        <w:spacing w:line="240" w:lineRule="auto"/>
      </w:pPr>
      <w:r w:rsidRPr="001A2D42">
        <w:rPr>
          <w:lang w:bidi="es-419"/>
        </w:rPr>
        <w:lastRenderedPageBreak/>
        <w:t>Visitas de bienestar para niños y adolescentes (de 3 a 6 años de edad).</w:t>
      </w:r>
    </w:p>
    <w:p w14:paraId="71A4C880" w14:textId="1D0E7903" w:rsidR="00E127CE" w:rsidRPr="001A2D42" w:rsidRDefault="00E127CE" w:rsidP="003B32F9">
      <w:pPr>
        <w:pStyle w:val="ListParagraph"/>
        <w:numPr>
          <w:ilvl w:val="0"/>
          <w:numId w:val="10"/>
        </w:numPr>
        <w:spacing w:line="240" w:lineRule="auto"/>
      </w:pPr>
      <w:r w:rsidRPr="001A2D42">
        <w:rPr>
          <w:lang w:bidi="es-419"/>
        </w:rPr>
        <w:t>Servicios de salud dental o bucal preventivos (niños de 1 a 5 años de edad).</w:t>
      </w:r>
    </w:p>
    <w:p w14:paraId="6F857515" w14:textId="77777777" w:rsidR="00645138" w:rsidRPr="001A2D42" w:rsidRDefault="00E127CE" w:rsidP="003B32F9">
      <w:pPr>
        <w:pStyle w:val="ListParagraph"/>
        <w:numPr>
          <w:ilvl w:val="0"/>
          <w:numId w:val="10"/>
        </w:numPr>
        <w:spacing w:line="240" w:lineRule="auto"/>
      </w:pPr>
      <w:r w:rsidRPr="001A2D42">
        <w:rPr>
          <w:lang w:bidi="es-419"/>
        </w:rPr>
        <w:t>Niños pequeños que reciben servicios de intervención o tratamiento centrados en problemas socioemocionales.</w:t>
      </w:r>
    </w:p>
    <w:p w14:paraId="72EC548C" w14:textId="77777777" w:rsidR="002D1EAA" w:rsidRPr="001A2D42" w:rsidRDefault="00645138" w:rsidP="003B32F9">
      <w:pPr>
        <w:spacing w:line="240" w:lineRule="auto"/>
      </w:pPr>
      <w:r w:rsidRPr="001A2D42">
        <w:rPr>
          <w:lang w:bidi="es-419"/>
        </w:rPr>
        <w:t>La mayoría de las CCO cumplieron con estas medidas en 2025, y muchas alcanzaron los puntos de referencia.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5"/>
        <w:gridCol w:w="6295"/>
      </w:tblGrid>
      <w:tr w:rsidR="00F95EFB" w:rsidRPr="001A2D42" w14:paraId="6A6B3672" w14:textId="77777777" w:rsidTr="003C78E8">
        <w:trPr>
          <w:tblHeader/>
        </w:trPr>
        <w:tc>
          <w:tcPr>
            <w:tcW w:w="3055" w:type="dxa"/>
          </w:tcPr>
          <w:p w14:paraId="3B69A489" w14:textId="7AE33041" w:rsidR="00F95EFB" w:rsidRPr="001A2D42" w:rsidRDefault="00F95EFB" w:rsidP="003B32F9">
            <w:pPr>
              <w:pStyle w:val="Heading5"/>
              <w:spacing w:line="240" w:lineRule="auto"/>
              <w:rPr>
                <w:color w:val="FFFFFF" w:themeColor="background1"/>
                <w:sz w:val="4"/>
                <w:szCs w:val="4"/>
              </w:rPr>
            </w:pPr>
            <w:r w:rsidRPr="001A2D42">
              <w:rPr>
                <w:color w:val="FFFFFF" w:themeColor="background1"/>
                <w:sz w:val="4"/>
                <w:szCs w:val="4"/>
                <w:lang w:bidi="es-419"/>
              </w:rPr>
              <w:t>Medida</w:t>
            </w:r>
          </w:p>
        </w:tc>
        <w:tc>
          <w:tcPr>
            <w:tcW w:w="6295" w:type="dxa"/>
          </w:tcPr>
          <w:p w14:paraId="5ED9F3CF" w14:textId="22F31901" w:rsidR="00F95EFB" w:rsidRPr="001A2D42" w:rsidRDefault="00F95EFB" w:rsidP="003B32F9">
            <w:pPr>
              <w:pStyle w:val="Heading5"/>
              <w:spacing w:line="240" w:lineRule="auto"/>
              <w:rPr>
                <w:noProof/>
                <w:color w:val="FFFFFF" w:themeColor="background1"/>
                <w:sz w:val="4"/>
                <w:szCs w:val="4"/>
              </w:rPr>
            </w:pPr>
            <w:r w:rsidRPr="001A2D42">
              <w:rPr>
                <w:noProof/>
                <w:color w:val="FFFFFF" w:themeColor="background1"/>
                <w:sz w:val="4"/>
                <w:szCs w:val="4"/>
                <w:lang w:bidi="es-419"/>
              </w:rPr>
              <w:t>Gráfica</w:t>
            </w:r>
          </w:p>
        </w:tc>
      </w:tr>
      <w:tr w:rsidR="00D47AD8" w:rsidRPr="001A2D42" w14:paraId="1AA23089" w14:textId="77777777" w:rsidTr="003C78E8">
        <w:trPr>
          <w:trHeight w:val="2880"/>
          <w:tblHeader/>
        </w:trPr>
        <w:tc>
          <w:tcPr>
            <w:tcW w:w="3055" w:type="dxa"/>
          </w:tcPr>
          <w:p w14:paraId="2F8C909C" w14:textId="3E611D41" w:rsidR="00F95EFB" w:rsidRPr="001A2D42" w:rsidRDefault="00F95EFB" w:rsidP="003B32F9">
            <w:pPr>
              <w:pStyle w:val="Heading4"/>
              <w:spacing w:line="240" w:lineRule="auto"/>
            </w:pPr>
            <w:r w:rsidRPr="001A2D42">
              <w:rPr>
                <w:lang w:bidi="es-419"/>
              </w:rPr>
              <w:t xml:space="preserve">Visitas de bienestar para niños </w:t>
            </w:r>
            <w:r w:rsidR="00CA0963">
              <w:rPr>
                <w:lang w:bidi="es-419"/>
              </w:rPr>
              <w:br/>
            </w:r>
            <w:r w:rsidRPr="001A2D42">
              <w:rPr>
                <w:lang w:bidi="es-419"/>
              </w:rPr>
              <w:t>y adolescentes (de 3 a 6 años de edad)</w:t>
            </w:r>
          </w:p>
          <w:p w14:paraId="25E7CC77" w14:textId="77777777" w:rsidR="00D47AD8" w:rsidRPr="001A2D42" w:rsidRDefault="00D47AD8" w:rsidP="003B32F9">
            <w:pPr>
              <w:pStyle w:val="Heading5"/>
              <w:spacing w:line="240" w:lineRule="auto"/>
            </w:pPr>
          </w:p>
        </w:tc>
        <w:tc>
          <w:tcPr>
            <w:tcW w:w="6295" w:type="dxa"/>
          </w:tcPr>
          <w:p w14:paraId="489BC35A" w14:textId="3CF0F55F" w:rsidR="00D47AD8" w:rsidRPr="001A2D42" w:rsidRDefault="00050190" w:rsidP="003B32F9">
            <w:pPr>
              <w:spacing w:before="80" w:after="80" w:line="240" w:lineRule="auto"/>
            </w:pPr>
            <w:r w:rsidRPr="001A2D42">
              <w:rPr>
                <w:noProof/>
                <w:lang w:bidi="es-419"/>
              </w:rPr>
              <w:drawing>
                <wp:inline distT="0" distB="0" distL="0" distR="0" wp14:anchorId="0301FFC1" wp14:editId="622457DC">
                  <wp:extent cx="3200400" cy="1645920"/>
                  <wp:effectExtent l="0" t="0" r="0" b="0"/>
                  <wp:docPr id="1488302822" name="Chart 1" descr="Chart showing CCO service rates over time for Child and Adolescent Well-Care Visits (Ages 3-6).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F45CCC9-0885-4934-AD7D-09F3542EC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r>
      <w:tr w:rsidR="00D47AD8" w:rsidRPr="001A2D42" w14:paraId="06C2AF64" w14:textId="77777777" w:rsidTr="003C78E8">
        <w:trPr>
          <w:trHeight w:val="2880"/>
          <w:tblHeader/>
        </w:trPr>
        <w:tc>
          <w:tcPr>
            <w:tcW w:w="3055" w:type="dxa"/>
          </w:tcPr>
          <w:p w14:paraId="5F5CA5C2" w14:textId="2EAC2579" w:rsidR="00F95EFB" w:rsidRPr="001A2D42" w:rsidRDefault="00F95EFB" w:rsidP="003B32F9">
            <w:pPr>
              <w:pStyle w:val="Heading4"/>
              <w:spacing w:line="240" w:lineRule="auto"/>
            </w:pPr>
            <w:r w:rsidRPr="001A2D42">
              <w:rPr>
                <w:lang w:bidi="es-419"/>
              </w:rPr>
              <w:t xml:space="preserve">Servicios de salud dental o bucal preventivos (niños de </w:t>
            </w:r>
            <w:r w:rsidR="00CA0963">
              <w:rPr>
                <w:lang w:bidi="es-419"/>
              </w:rPr>
              <w:br/>
            </w:r>
            <w:r w:rsidRPr="001A2D42">
              <w:rPr>
                <w:lang w:bidi="es-419"/>
              </w:rPr>
              <w:t>1 a 5 años de edad)</w:t>
            </w:r>
          </w:p>
          <w:p w14:paraId="5B2CAD44" w14:textId="77777777" w:rsidR="00D47AD8" w:rsidRPr="001A2D42" w:rsidRDefault="00D47AD8" w:rsidP="003B32F9">
            <w:pPr>
              <w:pStyle w:val="Heading5"/>
              <w:spacing w:line="240" w:lineRule="auto"/>
            </w:pPr>
          </w:p>
        </w:tc>
        <w:tc>
          <w:tcPr>
            <w:tcW w:w="6295" w:type="dxa"/>
          </w:tcPr>
          <w:p w14:paraId="5BFFFE11" w14:textId="1E7370B0" w:rsidR="00D47AD8" w:rsidRPr="001A2D42" w:rsidRDefault="00050190" w:rsidP="003B32F9">
            <w:pPr>
              <w:spacing w:before="80" w:after="80" w:line="240" w:lineRule="auto"/>
            </w:pPr>
            <w:r w:rsidRPr="001A2D42">
              <w:rPr>
                <w:noProof/>
                <w:lang w:bidi="es-419"/>
              </w:rPr>
              <w:drawing>
                <wp:inline distT="0" distB="0" distL="0" distR="0" wp14:anchorId="4DB6C4C3" wp14:editId="48CC0CC7">
                  <wp:extent cx="3200400" cy="1645920"/>
                  <wp:effectExtent l="0" t="0" r="0" b="0"/>
                  <wp:docPr id="843420372" name="Chart 1" descr="Chart showing CCO service rates over time for Preventive Dental or Oral Health Services (Ages 1-5).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47969C6C-1F42-4015-8902-E1FAB4D119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r>
    </w:tbl>
    <w:p w14:paraId="33979CE9" w14:textId="77777777" w:rsidR="00014537" w:rsidRPr="001A2D42" w:rsidRDefault="00014537" w:rsidP="003B32F9">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5"/>
        <w:gridCol w:w="6295"/>
      </w:tblGrid>
      <w:tr w:rsidR="00E9092E" w:rsidRPr="001A2D42" w14:paraId="41C67D03" w14:textId="77777777" w:rsidTr="003C78E8">
        <w:trPr>
          <w:trHeight w:val="58"/>
          <w:tblHeader/>
        </w:trPr>
        <w:tc>
          <w:tcPr>
            <w:tcW w:w="3055" w:type="dxa"/>
          </w:tcPr>
          <w:p w14:paraId="23420601" w14:textId="60E70DE8" w:rsidR="00E9092E" w:rsidRPr="001A2D42" w:rsidRDefault="00E9092E" w:rsidP="003B32F9">
            <w:pPr>
              <w:pStyle w:val="Heading4"/>
              <w:spacing w:before="0" w:after="0" w:line="240" w:lineRule="auto"/>
              <w:rPr>
                <w:color w:val="FFFFFF" w:themeColor="background1"/>
                <w:sz w:val="4"/>
                <w:szCs w:val="4"/>
              </w:rPr>
            </w:pPr>
            <w:r w:rsidRPr="001A2D42">
              <w:rPr>
                <w:color w:val="FFFFFF" w:themeColor="background1"/>
                <w:sz w:val="4"/>
                <w:szCs w:val="4"/>
                <w:lang w:bidi="es-419"/>
              </w:rPr>
              <w:t>Medida (continuación)</w:t>
            </w:r>
          </w:p>
        </w:tc>
        <w:tc>
          <w:tcPr>
            <w:tcW w:w="6295" w:type="dxa"/>
          </w:tcPr>
          <w:p w14:paraId="36ED1EE1" w14:textId="0982072A" w:rsidR="00E9092E" w:rsidRPr="001A2D42" w:rsidRDefault="00E9092E" w:rsidP="003B32F9">
            <w:pPr>
              <w:spacing w:line="240" w:lineRule="auto"/>
              <w:rPr>
                <w:noProof/>
                <w:color w:val="FFFFFF" w:themeColor="background1"/>
                <w:sz w:val="4"/>
                <w:szCs w:val="4"/>
              </w:rPr>
            </w:pPr>
            <w:r w:rsidRPr="001A2D42">
              <w:rPr>
                <w:noProof/>
                <w:color w:val="FFFFFF" w:themeColor="background1"/>
                <w:sz w:val="4"/>
                <w:szCs w:val="4"/>
                <w:lang w:bidi="es-419"/>
              </w:rPr>
              <w:t>Gráfica (continuación)</w:t>
            </w:r>
          </w:p>
        </w:tc>
      </w:tr>
      <w:tr w:rsidR="00E9092E" w:rsidRPr="001A2D42" w14:paraId="78A4E4B1" w14:textId="77777777" w:rsidTr="003C78E8">
        <w:trPr>
          <w:trHeight w:val="2880"/>
          <w:tblHeader/>
        </w:trPr>
        <w:tc>
          <w:tcPr>
            <w:tcW w:w="3055" w:type="dxa"/>
          </w:tcPr>
          <w:p w14:paraId="5A6B6D09" w14:textId="77777777" w:rsidR="00E9092E" w:rsidRPr="001A2D42" w:rsidRDefault="00E9092E" w:rsidP="003B32F9">
            <w:pPr>
              <w:pStyle w:val="Heading4"/>
              <w:spacing w:line="240" w:lineRule="auto"/>
            </w:pPr>
            <w:r w:rsidRPr="001A2D42">
              <w:rPr>
                <w:lang w:bidi="es-419"/>
              </w:rPr>
              <w:t>Niños pequeños que reciben servicios de intervención o tratamiento centrados en problemas socioemocionales</w:t>
            </w:r>
          </w:p>
          <w:p w14:paraId="6642DCAA" w14:textId="77777777" w:rsidR="00E9092E" w:rsidRPr="001A2D42" w:rsidRDefault="00E9092E" w:rsidP="003B32F9">
            <w:pPr>
              <w:pStyle w:val="Heading5"/>
              <w:spacing w:line="240" w:lineRule="auto"/>
            </w:pPr>
          </w:p>
        </w:tc>
        <w:tc>
          <w:tcPr>
            <w:tcW w:w="6295" w:type="dxa"/>
          </w:tcPr>
          <w:p w14:paraId="2E186344" w14:textId="77777777" w:rsidR="00E9092E" w:rsidRPr="001A2D42" w:rsidRDefault="00E9092E" w:rsidP="003B32F9">
            <w:pPr>
              <w:spacing w:before="80" w:after="80" w:line="240" w:lineRule="auto"/>
            </w:pPr>
            <w:r w:rsidRPr="001A2D42">
              <w:rPr>
                <w:noProof/>
                <w:lang w:bidi="es-419"/>
              </w:rPr>
              <w:drawing>
                <wp:inline distT="0" distB="0" distL="0" distR="0" wp14:anchorId="68E654F5" wp14:editId="527BE428">
                  <wp:extent cx="3200400" cy="1737360"/>
                  <wp:effectExtent l="0" t="0" r="0" b="0"/>
                  <wp:docPr id="975771186" name="Chart 1" descr="Chart showing CCO service rates over time for Young Children Receiving Social-Emotional Issue-Focused Intervention/Treatment Services. A dark blue line shows the CCO statewide service rate. Dots show individual CCO service rates in each year. Orange dash marks show each year's benchmark.">
                    <a:extLst xmlns:a="http://schemas.openxmlformats.org/drawingml/2006/main">
                      <a:ext uri="{FF2B5EF4-FFF2-40B4-BE49-F238E27FC236}">
                        <a16:creationId xmlns:a16="http://schemas.microsoft.com/office/drawing/2014/main" id="{1BED9304-5F24-42C3-9E41-D0E242367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r>
    </w:tbl>
    <w:p w14:paraId="73DBD9D9" w14:textId="77777777" w:rsidR="00E9092E" w:rsidRPr="001A2D42" w:rsidRDefault="00E9092E" w:rsidP="003B32F9">
      <w:pPr>
        <w:spacing w:line="240" w:lineRule="auto"/>
        <w:sectPr w:rsidR="00E9092E" w:rsidRPr="001A2D42" w:rsidSect="00F95EFB">
          <w:headerReference w:type="default" r:id="rId60"/>
          <w:footnotePr>
            <w:numFmt w:val="lowerLetter"/>
          </w:footnotePr>
          <w:type w:val="continuous"/>
          <w:pgSz w:w="12240" w:h="15840"/>
          <w:pgMar w:top="1440" w:right="1440" w:bottom="1296" w:left="1440" w:header="86" w:footer="720" w:gutter="0"/>
          <w:cols w:space="720"/>
          <w:titlePg/>
          <w:docGrid w:linePitch="360"/>
        </w:sectPr>
      </w:pPr>
    </w:p>
    <w:p w14:paraId="23F3E91D" w14:textId="77777777" w:rsidR="00ED698D" w:rsidRPr="001A2D42" w:rsidRDefault="00ED698D" w:rsidP="003B32F9">
      <w:pPr>
        <w:pStyle w:val="Heading1"/>
        <w:spacing w:line="240" w:lineRule="auto"/>
      </w:pPr>
      <w:bookmarkStart w:id="15" w:name="_Toc241770409"/>
      <w:r w:rsidRPr="001A2D42">
        <w:rPr>
          <w:lang w:bidi="es-419"/>
        </w:rPr>
        <w:lastRenderedPageBreak/>
        <w:t>Modelo de pago de incentivos</w:t>
      </w:r>
      <w:bookmarkEnd w:id="15"/>
    </w:p>
    <w:p w14:paraId="5F42D427" w14:textId="77777777" w:rsidR="00ED698D" w:rsidRPr="001A2D42" w:rsidRDefault="00ED698D" w:rsidP="003B32F9">
      <w:pPr>
        <w:pStyle w:val="Heading2"/>
        <w:spacing w:line="240" w:lineRule="auto"/>
      </w:pPr>
      <w:bookmarkStart w:id="16" w:name="_Toc241770410"/>
      <w:r w:rsidRPr="001A2D42">
        <w:rPr>
          <w:lang w:bidi="es-419"/>
        </w:rPr>
        <w:t>Acerca de los puntos de referencia y los objetivos de mejora</w:t>
      </w:r>
      <w:bookmarkEnd w:id="16"/>
    </w:p>
    <w:p w14:paraId="21D1B51C" w14:textId="77777777" w:rsidR="00ED698D" w:rsidRPr="001A2D42" w:rsidRDefault="00ED698D" w:rsidP="00B855B5">
      <w:pPr>
        <w:pStyle w:val="Heading3"/>
        <w:spacing w:before="120" w:line="240" w:lineRule="auto"/>
      </w:pPr>
      <w:r w:rsidRPr="001A2D42">
        <w:rPr>
          <w:lang w:bidi="es-419"/>
        </w:rPr>
        <w:t xml:space="preserve">​​Las CCO obtienen fondos de incentivos por cumplir o mostrar progreso hacia el objetivo de una medida. </w:t>
      </w:r>
    </w:p>
    <w:p w14:paraId="051DBDF4" w14:textId="4209C312" w:rsidR="00ED698D" w:rsidRPr="001A2D42" w:rsidRDefault="00ED698D" w:rsidP="003B32F9">
      <w:pPr>
        <w:spacing w:line="240" w:lineRule="auto"/>
      </w:pPr>
      <w:r w:rsidRPr="001A2D42">
        <w:rPr>
          <w:lang w:bidi="es-419"/>
        </w:rPr>
        <w:t xml:space="preserve">El </w:t>
      </w:r>
      <w:hyperlink r:id="rId61" w:history="1">
        <w:r w:rsidRPr="001A2D42">
          <w:rPr>
            <w:rStyle w:val="Hyperlink"/>
            <w:lang w:bidi="es-419"/>
          </w:rPr>
          <w:t>Comité de Indicadores y Puntuaciones</w:t>
        </w:r>
      </w:hyperlink>
      <w:r w:rsidRPr="001A2D42">
        <w:rPr>
          <w:lang w:bidi="es-419"/>
        </w:rPr>
        <w:t xml:space="preserve"> es un organismo público que selecciona las medidas de incentivos y los objetivos que las CCO deben alcanzar para cada medida de incentivo. Para incentivar la mejora continua, las CCO pueden cumplir una medida alcanzando el punto de referencia o un objetivo de mejora específico para la CCO.</w:t>
      </w:r>
    </w:p>
    <w:p w14:paraId="610CF7C1" w14:textId="7EA36060" w:rsidR="00ED698D" w:rsidRPr="001A2D42" w:rsidRDefault="00ED698D" w:rsidP="003B32F9">
      <w:pPr>
        <w:spacing w:line="240" w:lineRule="auto"/>
      </w:pPr>
      <w:r w:rsidRPr="001A2D42">
        <w:rPr>
          <w:lang w:bidi="es-419"/>
        </w:rPr>
        <w:t xml:space="preserve">Los </w:t>
      </w:r>
      <w:r w:rsidRPr="001A2D42">
        <w:rPr>
          <w:rStyle w:val="Heading5Char"/>
          <w:lang w:bidi="es-419"/>
        </w:rPr>
        <w:t>puntos de referencia</w:t>
      </w:r>
      <w:r w:rsidRPr="001A2D42">
        <w:rPr>
          <w:lang w:bidi="es-419"/>
        </w:rPr>
        <w:t xml:space="preserve"> son los mismos para todas las CCO. Los puntos de referencia tienen objetivos aspiracionales y, por lo general, se establecen en el percentil 75 o 90 del rendimiento nacional. </w:t>
      </w:r>
    </w:p>
    <w:p w14:paraId="49899735" w14:textId="1ACF036E" w:rsidR="00ED698D" w:rsidRPr="001A2D42" w:rsidRDefault="00ED698D" w:rsidP="003B32F9">
      <w:pPr>
        <w:spacing w:line="240" w:lineRule="auto"/>
      </w:pPr>
      <w:r w:rsidRPr="001A2D42">
        <w:rPr>
          <w:lang w:bidi="es-419"/>
        </w:rPr>
        <w:t xml:space="preserve">Los </w:t>
      </w:r>
      <w:r w:rsidRPr="001A2D42">
        <w:rPr>
          <w:rStyle w:val="Heading5Char"/>
          <w:lang w:bidi="es-419"/>
        </w:rPr>
        <w:t>objetivos de mejora específicos para las CCO</w:t>
      </w:r>
      <w:r w:rsidRPr="001A2D42">
        <w:rPr>
          <w:lang w:bidi="es-419"/>
        </w:rPr>
        <w:t xml:space="preserve"> son logros específicos para cada </w:t>
      </w:r>
      <w:r w:rsidR="00B855B5">
        <w:rPr>
          <w:lang w:bidi="es-419"/>
        </w:rPr>
        <w:br/>
      </w:r>
      <w:r w:rsidRPr="001A2D42">
        <w:rPr>
          <w:lang w:bidi="es-419"/>
        </w:rPr>
        <w:t xml:space="preserve">CCO, establecidos entre su rendimiento actual (línea base) y el punto de referencia. </w:t>
      </w:r>
      <w:r w:rsidR="00B855B5">
        <w:rPr>
          <w:lang w:bidi="es-419"/>
        </w:rPr>
        <w:br/>
      </w:r>
      <w:r w:rsidRPr="001A2D42">
        <w:rPr>
          <w:lang w:bidi="es-419"/>
        </w:rPr>
        <w:t xml:space="preserve">Los objetivos de mejora específicos para las CCO representan una reducción del 10% </w:t>
      </w:r>
      <w:r w:rsidR="00B855B5">
        <w:rPr>
          <w:lang w:bidi="es-419"/>
        </w:rPr>
        <w:br/>
      </w:r>
      <w:r w:rsidRPr="001A2D42">
        <w:rPr>
          <w:lang w:bidi="es-419"/>
        </w:rPr>
        <w:t>en la diferencia entre la línea base y el punto de referencia.</w:t>
      </w:r>
    </w:p>
    <w:p w14:paraId="3E7A9BE7" w14:textId="4880E50D" w:rsidR="00ED698D" w:rsidRPr="001A2D42" w:rsidRDefault="00ED698D" w:rsidP="003B32F9">
      <w:pPr>
        <w:spacing w:after="480" w:line="240" w:lineRule="auto"/>
      </w:pPr>
      <w:r w:rsidRPr="001A2D42">
        <w:rPr>
          <w:lang w:bidi="es-419"/>
        </w:rPr>
        <w:t xml:space="preserve">Además, se utilizan objetivos mínimos, o “valores mínimos”, para evitar que los objetivos de mejora sean demasiado bajos. Históricamente, el comité establecía valores mínimos en 3 puntos porcentuales respecto al año anterior. Para ver un ejemplo, consulte el </w:t>
      </w:r>
      <w:hyperlink w:anchor="_Appendix_B:_How_1">
        <w:r w:rsidRPr="001A2D42">
          <w:rPr>
            <w:rStyle w:val="Hyperlink"/>
            <w:lang w:bidi="es-419"/>
          </w:rPr>
          <w:t>Apéndice B: Cómo se calculan los objetivos de mejora</w:t>
        </w:r>
      </w:hyperlink>
      <w:r w:rsidRPr="001A2D42">
        <w:rPr>
          <w:lang w:bidi="es-419"/>
        </w:rPr>
        <w:t>.</w:t>
      </w:r>
    </w:p>
    <w:p w14:paraId="00BBC9FC" w14:textId="1751BB4E" w:rsidR="00ED698D" w:rsidRPr="001A2D42" w:rsidRDefault="00ED698D" w:rsidP="003B32F9">
      <w:pPr>
        <w:pStyle w:val="Heading3"/>
        <w:spacing w:line="240" w:lineRule="auto"/>
      </w:pPr>
      <w:r w:rsidRPr="001A2D42">
        <w:rPr>
          <w:lang w:bidi="es-419"/>
        </w:rPr>
        <w:t xml:space="preserve">En 2025, los puntos de referencia y los objetivos de mejora específicos de </w:t>
      </w:r>
      <w:r w:rsidR="00FB08F7">
        <w:rPr>
          <w:lang w:bidi="es-419"/>
        </w:rPr>
        <w:br/>
      </w:r>
      <w:r w:rsidRPr="001A2D42">
        <w:rPr>
          <w:lang w:bidi="es-419"/>
        </w:rPr>
        <w:t>las CCO aumentaron a niveles más aspiracionales que en años anteriores.</w:t>
      </w:r>
    </w:p>
    <w:p w14:paraId="3F406C96" w14:textId="67E37769" w:rsidR="00ED698D" w:rsidRPr="001A2D42" w:rsidRDefault="00ED698D" w:rsidP="003B32F9">
      <w:pPr>
        <w:spacing w:line="240" w:lineRule="auto"/>
      </w:pPr>
      <w:r w:rsidRPr="001A2D42">
        <w:rPr>
          <w:lang w:bidi="es-419"/>
        </w:rPr>
        <w:t xml:space="preserve">La pandemia del COVID-19 cambió drásticamente el enfoque habitual para los puntos de referencia y objetivos de mejora. En 2020, se suspendieron todos los puntos de referencia de rendimiento y se redujo considerablemente la cantidad de fondos en el programa. </w:t>
      </w:r>
      <w:r w:rsidR="00B855B5">
        <w:rPr>
          <w:lang w:bidi="es-419"/>
        </w:rPr>
        <w:br/>
      </w:r>
      <w:r w:rsidRPr="001A2D42">
        <w:rPr>
          <w:lang w:bidi="es-419"/>
        </w:rPr>
        <w:t xml:space="preserve">En 2021, el Comité de Indicadores y Puntuaciones reintrodujo los puntos de referencia, aunque a niveles significativamente más bajos que antes de 2020. En 2022, el Comité de Indicadores y Puntuaciones mantuvo unos puntos de referencia más bajos para 7 medidas que fueron las más afectadas por la pandemia. En 2021 y 2022, las CCO no tuvieron valores mínimos para los objetivos de mejora. </w:t>
      </w:r>
    </w:p>
    <w:p w14:paraId="04D73193" w14:textId="1C68ECDC" w:rsidR="00ED698D" w:rsidRPr="001A2D42" w:rsidRDefault="00ED698D" w:rsidP="003B32F9">
      <w:pPr>
        <w:spacing w:line="240" w:lineRule="auto"/>
      </w:pPr>
      <w:r w:rsidRPr="001A2D42">
        <w:rPr>
          <w:lang w:bidi="es-419"/>
        </w:rPr>
        <w:t xml:space="preserve">Incluso cuando los sistemas de salud resurgían tras la pandemia, el comité mantuvo unos puntos de referencia más bajos y menos exigentes en 2023, y valores mínimos que eran inferiores a los niveles previos a la pandemia. En 2024, el comité seleccionó, en general, puntos de referencia más aspiracionales en comparación con 2023. Sin embargo, </w:t>
      </w:r>
      <w:r w:rsidR="00B855B5">
        <w:rPr>
          <w:lang w:bidi="es-419"/>
        </w:rPr>
        <w:br/>
      </w:r>
      <w:r w:rsidRPr="001A2D42">
        <w:rPr>
          <w:lang w:bidi="es-419"/>
        </w:rPr>
        <w:t>el Comité de Indicadores y Puntuaciones siguió manteniendo los valores mínimos bajos. Para casi todas las medidas, los valores mínimos fueron de 1 o 2 puntos porcentuales. 2025 fue el primer año desde 2020 en que el Comité seleccionó puntos de referencia y valores mínimos más cercanos a los estándares previos a la pandemia.</w:t>
      </w:r>
      <w:r w:rsidRPr="001A2D42">
        <w:rPr>
          <w:lang w:bidi="es-419"/>
        </w:rPr>
        <w:br w:type="page"/>
      </w:r>
    </w:p>
    <w:p w14:paraId="4E959A29" w14:textId="77777777" w:rsidR="00ED698D" w:rsidRPr="001A2D42" w:rsidRDefault="00ED698D" w:rsidP="003B32F9">
      <w:pPr>
        <w:pStyle w:val="Heading2"/>
        <w:spacing w:after="240" w:line="240" w:lineRule="auto"/>
        <w:sectPr w:rsidR="00ED698D" w:rsidRPr="001A2D42" w:rsidSect="00F95EFB">
          <w:footerReference w:type="first" r:id="rId62"/>
          <w:footnotePr>
            <w:numFmt w:val="lowerLetter"/>
          </w:footnotePr>
          <w:pgSz w:w="12240" w:h="15840"/>
          <w:pgMar w:top="1440" w:right="1440" w:bottom="1440" w:left="1440" w:header="86" w:footer="720" w:gutter="0"/>
          <w:cols w:space="720"/>
          <w:titlePg/>
          <w:docGrid w:linePitch="360"/>
        </w:sectPr>
      </w:pPr>
    </w:p>
    <w:p w14:paraId="5C47F4DA" w14:textId="77777777" w:rsidR="00ED698D" w:rsidRPr="001A2D42" w:rsidRDefault="00ED698D" w:rsidP="003B32F9">
      <w:pPr>
        <w:pStyle w:val="Heading2"/>
        <w:spacing w:after="240" w:line="240" w:lineRule="auto"/>
      </w:pPr>
      <w:bookmarkStart w:id="17" w:name="_Toc241770411"/>
      <w:r w:rsidRPr="001A2D42">
        <w:rPr>
          <w:lang w:bidi="es-419"/>
        </w:rPr>
        <w:lastRenderedPageBreak/>
        <w:t>Resumen de cumplimiento de medidas de 2025 (tabla de rendimiento)</w:t>
      </w:r>
      <w:bookmarkEnd w:id="17"/>
    </w:p>
    <w:tbl>
      <w:tblPr>
        <w:tblW w:w="10522" w:type="dxa"/>
        <w:tblBorders>
          <w:insideH w:val="single" w:sz="4" w:space="0" w:color="A6A6A6"/>
          <w:insideV w:val="single" w:sz="4" w:space="0" w:color="A6A6A6"/>
        </w:tblBorders>
        <w:tblLook w:val="04A0" w:firstRow="1" w:lastRow="0" w:firstColumn="1" w:lastColumn="0" w:noHBand="0" w:noVBand="1"/>
      </w:tblPr>
      <w:tblGrid>
        <w:gridCol w:w="2736"/>
        <w:gridCol w:w="458"/>
        <w:gridCol w:w="458"/>
        <w:gridCol w:w="458"/>
        <w:gridCol w:w="458"/>
        <w:gridCol w:w="458"/>
        <w:gridCol w:w="458"/>
        <w:gridCol w:w="458"/>
        <w:gridCol w:w="458"/>
        <w:gridCol w:w="458"/>
        <w:gridCol w:w="458"/>
        <w:gridCol w:w="458"/>
        <w:gridCol w:w="458"/>
        <w:gridCol w:w="458"/>
        <w:gridCol w:w="458"/>
        <w:gridCol w:w="458"/>
        <w:gridCol w:w="458"/>
        <w:gridCol w:w="670"/>
      </w:tblGrid>
      <w:tr w:rsidR="00ED698D" w:rsidRPr="001A2D42" w14:paraId="6AC83E70" w14:textId="77777777">
        <w:trPr>
          <w:cantSplit/>
          <w:trHeight w:val="2448"/>
        </w:trPr>
        <w:tc>
          <w:tcPr>
            <w:tcW w:w="2736" w:type="dxa"/>
            <w:vAlign w:val="center"/>
            <w:hideMark/>
          </w:tcPr>
          <w:p w14:paraId="79D572D4" w14:textId="77777777" w:rsidR="00FB08F7" w:rsidRDefault="00ED698D" w:rsidP="00FF20BF">
            <w:pPr>
              <w:pStyle w:val="NormalWeb"/>
              <w:spacing w:before="0" w:beforeAutospacing="0" w:after="0" w:afterAutospacing="0" w:line="216" w:lineRule="auto"/>
              <w:contextualSpacing/>
              <w:rPr>
                <w:rFonts w:ascii="Arial Narrow" w:eastAsia="Arial Narrow" w:hAnsi="Arial Narrow" w:cs="Arial Narrow"/>
                <w:color w:val="000000"/>
                <w:sz w:val="19"/>
                <w:szCs w:val="19"/>
                <w:lang w:bidi="es-419"/>
              </w:rPr>
            </w:pPr>
            <w:r w:rsidRPr="00FF20BF">
              <w:rPr>
                <w:rFonts w:ascii="Arial Narrow" w:eastAsia="Arial Narrow" w:hAnsi="Arial Narrow" w:cs="Arial Narrow"/>
                <w:color w:val="000000"/>
                <w:sz w:val="19"/>
                <w:szCs w:val="19"/>
                <w:lang w:bidi="es-419"/>
              </w:rPr>
              <w:t>Identificación</w:t>
            </w:r>
          </w:p>
          <w:p w14:paraId="07877F40" w14:textId="77777777" w:rsidR="00FB08F7" w:rsidRDefault="00ED698D" w:rsidP="00FB08F7">
            <w:pPr>
              <w:pStyle w:val="NormalWeb"/>
              <w:spacing w:before="0" w:beforeAutospacing="0" w:after="0" w:afterAutospacing="0" w:line="216" w:lineRule="auto"/>
              <w:ind w:left="227" w:hanging="227"/>
              <w:contextualSpacing/>
              <w:rPr>
                <w:rFonts w:ascii="Arial Narrow" w:eastAsia="Arial Narrow" w:hAnsi="Arial Narrow" w:cs="Arial Narrow"/>
                <w:color w:val="071004" w:themeColor="accent6" w:themeShade="1A"/>
                <w:sz w:val="19"/>
                <w:szCs w:val="19"/>
                <w:lang w:bidi="es-419"/>
              </w:rPr>
            </w:pPr>
            <w:r w:rsidRPr="00FF20BF">
              <w:rPr>
                <w:rFonts w:ascii="Wingdings 2" w:eastAsia="Wingdings 2" w:hAnsi="Wingdings 2" w:cs="Wingdings 2"/>
                <w:color w:val="002B4A"/>
                <w:sz w:val="19"/>
                <w:szCs w:val="19"/>
                <w:lang w:bidi="es-419"/>
              </w:rPr>
              <w:t>¢</w:t>
            </w:r>
            <w:r w:rsidRPr="00FF20BF">
              <w:rPr>
                <w:rFonts w:ascii="Benton Sans Book" w:eastAsia="Benton Sans Book" w:hAnsi="Benton Sans Book" w:cs="Benton Sans Book"/>
                <w:color w:val="555555"/>
                <w:sz w:val="19"/>
                <w:szCs w:val="19"/>
                <w:lang w:bidi="es-419"/>
              </w:rPr>
              <w:t xml:space="preserve"> </w:t>
            </w:r>
            <w:r w:rsidRPr="00FF20BF">
              <w:rPr>
                <w:rFonts w:ascii="Arial Narrow" w:eastAsia="Arial Narrow" w:hAnsi="Arial Narrow" w:cs="Arial Narrow"/>
                <w:color w:val="071004" w:themeColor="accent6" w:themeShade="1A"/>
                <w:sz w:val="19"/>
                <w:szCs w:val="19"/>
                <w:lang w:bidi="es-419"/>
              </w:rPr>
              <w:t xml:space="preserve">Cumplió con el punto de referencia </w:t>
            </w:r>
          </w:p>
          <w:p w14:paraId="606D5BA3" w14:textId="77777777" w:rsidR="00FB08F7" w:rsidRDefault="00ED698D" w:rsidP="00FB08F7">
            <w:pPr>
              <w:pStyle w:val="NormalWeb"/>
              <w:spacing w:before="0" w:beforeAutospacing="0" w:after="0" w:afterAutospacing="0" w:line="216" w:lineRule="auto"/>
              <w:ind w:left="227" w:hanging="227"/>
              <w:contextualSpacing/>
              <w:rPr>
                <w:rFonts w:ascii="Arial Narrow" w:hAnsi="Arial Narrow"/>
                <w:color w:val="071004" w:themeColor="accent6" w:themeShade="1A"/>
                <w:sz w:val="19"/>
                <w:szCs w:val="19"/>
                <w:lang w:bidi="es-419"/>
              </w:rPr>
            </w:pPr>
            <w:r w:rsidRPr="00FF20BF">
              <w:rPr>
                <w:rFonts w:ascii="Wingdings 2" w:hAnsi="Wingdings 2"/>
                <w:color w:val="4779B1"/>
                <w:sz w:val="19"/>
                <w:szCs w:val="19"/>
                <w:lang w:bidi="es-419"/>
              </w:rPr>
              <w:t>¢</w:t>
            </w:r>
            <w:r w:rsidRPr="00FF20BF">
              <w:rPr>
                <w:rFonts w:ascii="Benton Sans Book" w:hAnsi="Benton Sans Book"/>
                <w:color w:val="000000"/>
                <w:sz w:val="19"/>
                <w:szCs w:val="19"/>
                <w:lang w:bidi="es-419"/>
              </w:rPr>
              <w:t xml:space="preserve"> </w:t>
            </w:r>
            <w:r w:rsidRPr="00FF20BF">
              <w:rPr>
                <w:rFonts w:ascii="Arial Narrow" w:hAnsi="Arial Narrow"/>
                <w:color w:val="071004" w:themeColor="accent6" w:themeShade="1A"/>
                <w:sz w:val="19"/>
                <w:szCs w:val="19"/>
                <w:lang w:bidi="es-419"/>
              </w:rPr>
              <w:t>Cumplió con el objetivo de mejora</w:t>
            </w:r>
          </w:p>
          <w:p w14:paraId="3CC016B1" w14:textId="77777777" w:rsidR="00FB08F7" w:rsidRDefault="00ED698D" w:rsidP="00FB08F7">
            <w:pPr>
              <w:pStyle w:val="NormalWeb"/>
              <w:spacing w:before="0" w:beforeAutospacing="0" w:after="0" w:afterAutospacing="0" w:line="216" w:lineRule="auto"/>
              <w:ind w:left="227" w:hanging="227"/>
              <w:contextualSpacing/>
              <w:rPr>
                <w:rFonts w:ascii="Arial Narrow" w:hAnsi="Arial Narrow"/>
                <w:color w:val="071004" w:themeColor="accent6" w:themeShade="1A"/>
                <w:sz w:val="19"/>
                <w:szCs w:val="19"/>
                <w:lang w:bidi="es-419"/>
              </w:rPr>
            </w:pPr>
            <w:r w:rsidRPr="00FF20BF">
              <w:rPr>
                <w:rFonts w:ascii="Cambria Math" w:hAnsi="Cambria Math" w:cs="Cambria Math"/>
                <w:color w:val="606060"/>
                <w:sz w:val="19"/>
                <w:szCs w:val="19"/>
                <w:lang w:bidi="es-419"/>
              </w:rPr>
              <w:t xml:space="preserve">▧ </w:t>
            </w:r>
            <w:r w:rsidRPr="00FF20BF">
              <w:rPr>
                <w:rFonts w:ascii="Arial Narrow" w:hAnsi="Arial Narrow"/>
                <w:color w:val="071004" w:themeColor="accent6" w:themeShade="1A"/>
                <w:sz w:val="19"/>
                <w:szCs w:val="19"/>
                <w:lang w:bidi="es-419"/>
              </w:rPr>
              <w:t>Cumplió con un componente</w:t>
            </w:r>
          </w:p>
          <w:p w14:paraId="59BCF150" w14:textId="77777777" w:rsidR="00FB08F7" w:rsidRDefault="00ED698D" w:rsidP="00FB08F7">
            <w:pPr>
              <w:pStyle w:val="NormalWeb"/>
              <w:spacing w:before="0" w:beforeAutospacing="0" w:after="0" w:afterAutospacing="0" w:line="216" w:lineRule="auto"/>
              <w:ind w:left="227" w:hanging="227"/>
              <w:contextualSpacing/>
              <w:rPr>
                <w:rFonts w:ascii="Arial Narrow" w:hAnsi="Arial Narrow"/>
                <w:color w:val="000000"/>
                <w:sz w:val="19"/>
                <w:szCs w:val="19"/>
                <w:lang w:bidi="es-419"/>
              </w:rPr>
            </w:pPr>
            <w:r w:rsidRPr="00FF20BF">
              <w:rPr>
                <w:rFonts w:ascii="Segoe UI Symbol" w:hAnsi="Segoe UI Symbol" w:cs="Segoe UI Symbol"/>
                <w:color w:val="000000"/>
                <w:sz w:val="19"/>
                <w:szCs w:val="19"/>
                <w:lang w:bidi="es-419"/>
              </w:rPr>
              <w:t>✱</w:t>
            </w:r>
            <w:r w:rsidRPr="00FF20BF">
              <w:rPr>
                <w:rFonts w:ascii="Arial Narrow" w:hAnsi="Arial Narrow"/>
                <w:color w:val="000000"/>
                <w:sz w:val="19"/>
                <w:szCs w:val="19"/>
                <w:lang w:bidi="es-419"/>
              </w:rPr>
              <w:t xml:space="preserve"> CCO con mejor rendimiento</w:t>
            </w:r>
          </w:p>
          <w:p w14:paraId="7301DD64" w14:textId="77777777" w:rsidR="00FB08F7" w:rsidRDefault="00ED698D" w:rsidP="00FB08F7">
            <w:pPr>
              <w:pStyle w:val="NormalWeb"/>
              <w:spacing w:before="0" w:beforeAutospacing="0" w:after="0" w:afterAutospacing="0" w:line="216" w:lineRule="auto"/>
              <w:ind w:left="177" w:hanging="142"/>
              <w:contextualSpacing/>
              <w:rPr>
                <w:rFonts w:ascii="Arial Narrow" w:hAnsi="Arial Narrow"/>
                <w:color w:val="000000"/>
                <w:sz w:val="19"/>
                <w:szCs w:val="19"/>
                <w:lang w:bidi="es-419"/>
              </w:rPr>
            </w:pPr>
            <w:r w:rsidRPr="00FF20BF">
              <w:rPr>
                <w:rFonts w:ascii="Arial Narrow" w:hAnsi="Arial Narrow"/>
                <w:color w:val="000000"/>
                <w:sz w:val="19"/>
                <w:szCs w:val="19"/>
                <w:lang w:bidi="es-419"/>
              </w:rPr>
              <w:t>^ Medida del fondo de incentivos por desafíos</w:t>
            </w:r>
          </w:p>
          <w:p w14:paraId="48010A6D" w14:textId="79314A72" w:rsidR="00ED698D" w:rsidRPr="00FB08F7" w:rsidRDefault="00ED698D" w:rsidP="00FB08F7">
            <w:pPr>
              <w:pStyle w:val="NormalWeb"/>
              <w:spacing w:before="0" w:beforeAutospacing="0" w:after="0" w:afterAutospacing="0" w:line="216" w:lineRule="auto"/>
              <w:ind w:left="177" w:hanging="142"/>
              <w:contextualSpacing/>
              <w:rPr>
                <w:rFonts w:ascii="Arial Narrow" w:hAnsi="Arial Narrow"/>
                <w:color w:val="000000"/>
                <w:sz w:val="19"/>
                <w:szCs w:val="19"/>
                <w:lang w:bidi="es-419"/>
              </w:rPr>
            </w:pPr>
            <w:r w:rsidRPr="00FF20BF">
              <w:rPr>
                <w:rFonts w:ascii="Arial Narrow" w:hAnsi="Arial Narrow"/>
                <w:color w:val="000000"/>
                <w:sz w:val="19"/>
                <w:szCs w:val="19"/>
                <w:lang w:bidi="es-419"/>
              </w:rPr>
              <w:t>‡ Debe cumplir con ambos componentes</w:t>
            </w:r>
          </w:p>
        </w:tc>
        <w:tc>
          <w:tcPr>
            <w:tcW w:w="458" w:type="dxa"/>
            <w:noWrap/>
            <w:textDirection w:val="btLr"/>
            <w:vAlign w:val="bottom"/>
            <w:hideMark/>
          </w:tcPr>
          <w:p w14:paraId="6AF9C17A"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Advanced Health</w:t>
            </w:r>
          </w:p>
        </w:tc>
        <w:tc>
          <w:tcPr>
            <w:tcW w:w="458" w:type="dxa"/>
            <w:noWrap/>
            <w:textDirection w:val="btLr"/>
            <w:vAlign w:val="bottom"/>
            <w:hideMark/>
          </w:tcPr>
          <w:p w14:paraId="0A8042E9"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CCO AllCare Health</w:t>
            </w:r>
          </w:p>
        </w:tc>
        <w:tc>
          <w:tcPr>
            <w:tcW w:w="458" w:type="dxa"/>
            <w:noWrap/>
            <w:textDirection w:val="btLr"/>
            <w:vAlign w:val="bottom"/>
            <w:hideMark/>
          </w:tcPr>
          <w:p w14:paraId="7593932C"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Cascade Health Alliance</w:t>
            </w:r>
          </w:p>
        </w:tc>
        <w:tc>
          <w:tcPr>
            <w:tcW w:w="458" w:type="dxa"/>
            <w:noWrap/>
            <w:textDirection w:val="btLr"/>
            <w:vAlign w:val="bottom"/>
            <w:hideMark/>
          </w:tcPr>
          <w:p w14:paraId="3981F778"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Columbia Pacific</w:t>
            </w:r>
          </w:p>
        </w:tc>
        <w:tc>
          <w:tcPr>
            <w:tcW w:w="458" w:type="dxa"/>
            <w:noWrap/>
            <w:textDirection w:val="btLr"/>
            <w:vAlign w:val="bottom"/>
            <w:hideMark/>
          </w:tcPr>
          <w:p w14:paraId="49FF936E"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EOCCO</w:t>
            </w:r>
          </w:p>
        </w:tc>
        <w:tc>
          <w:tcPr>
            <w:tcW w:w="458" w:type="dxa"/>
            <w:noWrap/>
            <w:textDirection w:val="btLr"/>
            <w:vAlign w:val="bottom"/>
            <w:hideMark/>
          </w:tcPr>
          <w:p w14:paraId="6CC7BED2"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Health Share of Oregon</w:t>
            </w:r>
          </w:p>
        </w:tc>
        <w:tc>
          <w:tcPr>
            <w:tcW w:w="458" w:type="dxa"/>
            <w:noWrap/>
            <w:textDirection w:val="btLr"/>
            <w:vAlign w:val="bottom"/>
            <w:hideMark/>
          </w:tcPr>
          <w:p w14:paraId="45F072A7"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InterCommunity Health Network</w:t>
            </w:r>
          </w:p>
        </w:tc>
        <w:tc>
          <w:tcPr>
            <w:tcW w:w="458" w:type="dxa"/>
            <w:noWrap/>
            <w:textDirection w:val="btLr"/>
            <w:vAlign w:val="bottom"/>
            <w:hideMark/>
          </w:tcPr>
          <w:p w14:paraId="346B4DF4"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Jackson Care Connect</w:t>
            </w:r>
          </w:p>
        </w:tc>
        <w:tc>
          <w:tcPr>
            <w:tcW w:w="458" w:type="dxa"/>
            <w:noWrap/>
            <w:textDirection w:val="btLr"/>
            <w:vAlign w:val="bottom"/>
            <w:hideMark/>
          </w:tcPr>
          <w:p w14:paraId="139A68F4"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PacificSource, Central</w:t>
            </w:r>
          </w:p>
        </w:tc>
        <w:tc>
          <w:tcPr>
            <w:tcW w:w="458" w:type="dxa"/>
            <w:noWrap/>
            <w:textDirection w:val="btLr"/>
            <w:vAlign w:val="bottom"/>
            <w:hideMark/>
          </w:tcPr>
          <w:p w14:paraId="25B90DEB"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PacificSource, Gorge</w:t>
            </w:r>
          </w:p>
        </w:tc>
        <w:tc>
          <w:tcPr>
            <w:tcW w:w="458" w:type="dxa"/>
            <w:noWrap/>
            <w:textDirection w:val="btLr"/>
            <w:vAlign w:val="bottom"/>
            <w:hideMark/>
          </w:tcPr>
          <w:p w14:paraId="4757A977"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PacificSource, Lane</w:t>
            </w:r>
          </w:p>
        </w:tc>
        <w:tc>
          <w:tcPr>
            <w:tcW w:w="458" w:type="dxa"/>
            <w:noWrap/>
            <w:textDirection w:val="btLr"/>
            <w:vAlign w:val="bottom"/>
            <w:hideMark/>
          </w:tcPr>
          <w:p w14:paraId="090D23CF"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PacificSource, Marion Polk</w:t>
            </w:r>
          </w:p>
        </w:tc>
        <w:tc>
          <w:tcPr>
            <w:tcW w:w="458" w:type="dxa"/>
            <w:noWrap/>
            <w:textDirection w:val="btLr"/>
            <w:vAlign w:val="bottom"/>
            <w:hideMark/>
          </w:tcPr>
          <w:p w14:paraId="58236D0D"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Trillium North</w:t>
            </w:r>
          </w:p>
        </w:tc>
        <w:tc>
          <w:tcPr>
            <w:tcW w:w="458" w:type="dxa"/>
            <w:noWrap/>
            <w:textDirection w:val="btLr"/>
            <w:vAlign w:val="bottom"/>
            <w:hideMark/>
          </w:tcPr>
          <w:p w14:paraId="621B760B"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Trillium South</w:t>
            </w:r>
          </w:p>
        </w:tc>
        <w:tc>
          <w:tcPr>
            <w:tcW w:w="458" w:type="dxa"/>
            <w:noWrap/>
            <w:textDirection w:val="btLr"/>
            <w:vAlign w:val="bottom"/>
            <w:hideMark/>
          </w:tcPr>
          <w:p w14:paraId="528C7A88"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Umpqua Health Alliance</w:t>
            </w:r>
          </w:p>
        </w:tc>
        <w:tc>
          <w:tcPr>
            <w:tcW w:w="458" w:type="dxa"/>
            <w:noWrap/>
            <w:textDirection w:val="btLr"/>
            <w:vAlign w:val="bottom"/>
            <w:hideMark/>
          </w:tcPr>
          <w:p w14:paraId="72459AE1" w14:textId="77777777"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Yamhill Community Care</w:t>
            </w:r>
          </w:p>
        </w:tc>
        <w:tc>
          <w:tcPr>
            <w:tcW w:w="458" w:type="dxa"/>
            <w:textDirection w:val="btLr"/>
            <w:vAlign w:val="bottom"/>
            <w:hideMark/>
          </w:tcPr>
          <w:p w14:paraId="7353A405" w14:textId="4963A0A5" w:rsidR="00ED698D" w:rsidRPr="00FF20BF" w:rsidRDefault="00ED698D" w:rsidP="003B32F9">
            <w:pPr>
              <w:spacing w:after="0" w:line="240"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 xml:space="preserve">N.° de las CCO que cumplieron </w:t>
            </w:r>
            <w:r w:rsidR="00144503" w:rsidRPr="00FF20BF">
              <w:rPr>
                <w:rFonts w:ascii="Arial Narrow" w:eastAsia="Times New Roman" w:hAnsi="Arial Narrow" w:cs="Times New Roman"/>
                <w:color w:val="000000"/>
                <w:kern w:val="0"/>
                <w:sz w:val="19"/>
                <w:szCs w:val="19"/>
                <w:lang w:bidi="es-419"/>
                <w14:ligatures w14:val="none"/>
              </w:rPr>
              <w:br/>
            </w:r>
            <w:r w:rsidRPr="00FF20BF">
              <w:rPr>
                <w:rFonts w:ascii="Arial Narrow" w:eastAsia="Times New Roman" w:hAnsi="Arial Narrow" w:cs="Times New Roman"/>
                <w:color w:val="000000"/>
                <w:kern w:val="0"/>
                <w:sz w:val="19"/>
                <w:szCs w:val="19"/>
                <w:lang w:bidi="es-419"/>
                <w14:ligatures w14:val="none"/>
              </w:rPr>
              <w:t>(de 16)</w:t>
            </w:r>
          </w:p>
        </w:tc>
      </w:tr>
      <w:tr w:rsidR="00ED698D" w:rsidRPr="001A2D42" w14:paraId="6DE0AD0C" w14:textId="77777777" w:rsidTr="6713373D">
        <w:trPr>
          <w:trHeight w:val="504"/>
        </w:trPr>
        <w:tc>
          <w:tcPr>
            <w:tcW w:w="2736" w:type="dxa"/>
            <w:vAlign w:val="center"/>
            <w:hideMark/>
          </w:tcPr>
          <w:p w14:paraId="1F103AD0" w14:textId="0E16A3F9"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 xml:space="preserve">Adultos con diabetes: </w:t>
            </w:r>
            <w:r w:rsidR="00144503" w:rsidRPr="00FF20BF">
              <w:rPr>
                <w:rFonts w:ascii="Arial Narrow" w:eastAsia="Times New Roman" w:hAnsi="Arial Narrow" w:cs="Times New Roman"/>
                <w:color w:val="000000"/>
                <w:kern w:val="0"/>
                <w:sz w:val="19"/>
                <w:szCs w:val="19"/>
                <w:lang w:bidi="es-419"/>
                <w14:ligatures w14:val="none"/>
              </w:rPr>
              <w:br/>
            </w:r>
            <w:r w:rsidRPr="00FF20BF">
              <w:rPr>
                <w:rFonts w:ascii="Arial Narrow" w:eastAsia="Times New Roman" w:hAnsi="Arial Narrow" w:cs="Times New Roman"/>
                <w:color w:val="000000"/>
                <w:kern w:val="0"/>
                <w:sz w:val="19"/>
                <w:szCs w:val="19"/>
                <w:lang w:bidi="es-419"/>
                <w14:ligatures w14:val="none"/>
              </w:rPr>
              <w:t>evaluación oral</w:t>
            </w:r>
          </w:p>
        </w:tc>
        <w:tc>
          <w:tcPr>
            <w:tcW w:w="458" w:type="dxa"/>
            <w:shd w:val="clear" w:color="auto" w:fill="FFFFFF" w:themeFill="background1"/>
            <w:vAlign w:val="center"/>
            <w:hideMark/>
          </w:tcPr>
          <w:p w14:paraId="4CACF53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2248D71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5F6F599A"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DCD4C2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57EF3A8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0FA5160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B4ABADF"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0CEFDCE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68FB1064"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02B0B130"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4F8A1E4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00B89192"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43B5374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1A156859"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4250D1F5"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3193839D"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vAlign w:val="center"/>
            <w:hideMark/>
          </w:tcPr>
          <w:p w14:paraId="032CEF30"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4</w:t>
            </w:r>
          </w:p>
        </w:tc>
      </w:tr>
      <w:tr w:rsidR="00ED698D" w:rsidRPr="001A2D42" w14:paraId="4D18E37B" w14:textId="77777777" w:rsidTr="6713373D">
        <w:trPr>
          <w:trHeight w:val="504"/>
        </w:trPr>
        <w:tc>
          <w:tcPr>
            <w:tcW w:w="2736" w:type="dxa"/>
            <w:vAlign w:val="center"/>
            <w:hideMark/>
          </w:tcPr>
          <w:p w14:paraId="5F5B906F"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Evaluaciones para niños bajo custodia del ODHS</w:t>
            </w:r>
          </w:p>
        </w:tc>
        <w:tc>
          <w:tcPr>
            <w:tcW w:w="458" w:type="dxa"/>
            <w:shd w:val="clear" w:color="auto" w:fill="002B4A"/>
            <w:vAlign w:val="center"/>
            <w:hideMark/>
          </w:tcPr>
          <w:p w14:paraId="56C0D27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3E56AE1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1E609AA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7B1A597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3CE68DF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73E1C41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372D0531"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552D0A6E"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3BF611CD"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6A15B84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5E4AFDE4"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7DFAF0F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EFB051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EFF9A7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ED6009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02E1FC5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3299B09A"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14</w:t>
            </w:r>
          </w:p>
        </w:tc>
      </w:tr>
      <w:tr w:rsidR="00ED698D" w:rsidRPr="001A2D42" w14:paraId="17B9CAC5" w14:textId="77777777" w:rsidTr="6713373D">
        <w:trPr>
          <w:trHeight w:val="504"/>
        </w:trPr>
        <w:tc>
          <w:tcPr>
            <w:tcW w:w="2736" w:type="dxa"/>
            <w:vAlign w:val="center"/>
            <w:hideMark/>
          </w:tcPr>
          <w:p w14:paraId="4EDBC6DD" w14:textId="4E9115F9"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 xml:space="preserve">Visitas de bienestar para niños </w:t>
            </w:r>
            <w:r w:rsidR="00144503" w:rsidRPr="00FF20BF">
              <w:rPr>
                <w:rFonts w:ascii="Arial Narrow" w:eastAsia="Times New Roman" w:hAnsi="Arial Narrow" w:cs="Times New Roman"/>
                <w:color w:val="000000"/>
                <w:kern w:val="0"/>
                <w:sz w:val="19"/>
                <w:szCs w:val="19"/>
                <w:lang w:bidi="es-419"/>
                <w14:ligatures w14:val="none"/>
              </w:rPr>
              <w:br/>
            </w:r>
            <w:r w:rsidRPr="00FF20BF">
              <w:rPr>
                <w:rFonts w:ascii="Arial Narrow" w:eastAsia="Times New Roman" w:hAnsi="Arial Narrow" w:cs="Times New Roman"/>
                <w:color w:val="000000"/>
                <w:kern w:val="0"/>
                <w:sz w:val="19"/>
                <w:szCs w:val="19"/>
                <w:lang w:bidi="es-419"/>
                <w14:ligatures w14:val="none"/>
              </w:rPr>
              <w:t xml:space="preserve">y adolescentes (de 3 a 6 años </w:t>
            </w:r>
            <w:r w:rsidR="00144503" w:rsidRPr="00FF20BF">
              <w:rPr>
                <w:rFonts w:ascii="Arial Narrow" w:eastAsia="Times New Roman" w:hAnsi="Arial Narrow" w:cs="Times New Roman"/>
                <w:color w:val="000000"/>
                <w:kern w:val="0"/>
                <w:sz w:val="19"/>
                <w:szCs w:val="19"/>
                <w:lang w:bidi="es-419"/>
                <w14:ligatures w14:val="none"/>
              </w:rPr>
              <w:br/>
            </w:r>
            <w:r w:rsidRPr="00FF20BF">
              <w:rPr>
                <w:rFonts w:ascii="Arial Narrow" w:eastAsia="Times New Roman" w:hAnsi="Arial Narrow" w:cs="Times New Roman"/>
                <w:color w:val="000000"/>
                <w:kern w:val="0"/>
                <w:sz w:val="19"/>
                <w:szCs w:val="19"/>
                <w:lang w:bidi="es-419"/>
                <w14:ligatures w14:val="none"/>
              </w:rPr>
              <w:t>de edad)^</w:t>
            </w:r>
          </w:p>
        </w:tc>
        <w:tc>
          <w:tcPr>
            <w:tcW w:w="458" w:type="dxa"/>
            <w:shd w:val="clear" w:color="auto" w:fill="FFFFFF" w:themeFill="background1"/>
            <w:vAlign w:val="center"/>
            <w:hideMark/>
          </w:tcPr>
          <w:p w14:paraId="6068FCA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36B2645F"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74C15D1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391D0742"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29AC48F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51780B57"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0557D9C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1649901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1F298711"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72F604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0F8E74F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6729FF6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5137B376"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60EC93A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6EEA3D9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B48EF3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280D0D09"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14</w:t>
            </w:r>
          </w:p>
        </w:tc>
      </w:tr>
      <w:tr w:rsidR="00ED698D" w:rsidRPr="001A2D42" w14:paraId="460677EB" w14:textId="77777777" w:rsidTr="6713373D">
        <w:trPr>
          <w:trHeight w:val="504"/>
        </w:trPr>
        <w:tc>
          <w:tcPr>
            <w:tcW w:w="2736" w:type="dxa"/>
            <w:vAlign w:val="center"/>
            <w:hideMark/>
          </w:tcPr>
          <w:p w14:paraId="4DA49965"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Estado de vacunación infantil: combinación 3</w:t>
            </w:r>
          </w:p>
        </w:tc>
        <w:tc>
          <w:tcPr>
            <w:tcW w:w="458" w:type="dxa"/>
            <w:shd w:val="clear" w:color="auto" w:fill="FFFFFF" w:themeFill="background1"/>
            <w:vAlign w:val="center"/>
            <w:hideMark/>
          </w:tcPr>
          <w:p w14:paraId="3E9D898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CB14DEB"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7906F65A"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1B25CD9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144BD25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BD078CB"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47B6D7E4"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4C851EFE"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2A02D5F5"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49D6F01F"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55C6A01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FF963F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5D7D802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32AA4E8E"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4A94772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3CAAE2CA"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vAlign w:val="center"/>
            <w:hideMark/>
          </w:tcPr>
          <w:p w14:paraId="02CB22E6"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r>
      <w:tr w:rsidR="00ED698D" w:rsidRPr="001A2D42" w14:paraId="527E236B" w14:textId="77777777" w:rsidTr="6713373D">
        <w:trPr>
          <w:trHeight w:val="504"/>
        </w:trPr>
        <w:tc>
          <w:tcPr>
            <w:tcW w:w="2736" w:type="dxa"/>
            <w:vAlign w:val="center"/>
            <w:hideMark/>
          </w:tcPr>
          <w:p w14:paraId="01334C37"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Diabetes: control deficiente de HbA1c^</w:t>
            </w:r>
          </w:p>
        </w:tc>
        <w:tc>
          <w:tcPr>
            <w:tcW w:w="458" w:type="dxa"/>
            <w:shd w:val="clear" w:color="auto" w:fill="FFFFFF" w:themeFill="background1"/>
            <w:vAlign w:val="center"/>
            <w:hideMark/>
          </w:tcPr>
          <w:p w14:paraId="27FF9C4B"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141BB99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06AAF098"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66DCAB2E"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3A9FEF7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24B3ACF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1BFF1A55"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24A1F4D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743B8EC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BE1A05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09D02177"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10A0842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78F9E52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25D87949"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7CB1ABE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71B9FB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vAlign w:val="center"/>
            <w:hideMark/>
          </w:tcPr>
          <w:p w14:paraId="09CB2CB0"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9</w:t>
            </w:r>
          </w:p>
        </w:tc>
      </w:tr>
      <w:tr w:rsidR="00ED698D" w:rsidRPr="001A2D42" w14:paraId="5CED4D80" w14:textId="77777777" w:rsidTr="6713373D">
        <w:trPr>
          <w:trHeight w:val="504"/>
        </w:trPr>
        <w:tc>
          <w:tcPr>
            <w:tcW w:w="2736" w:type="dxa"/>
            <w:vAlign w:val="center"/>
            <w:hideMark/>
          </w:tcPr>
          <w:p w14:paraId="4C21A4A6"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Vacunación para adolescentes: combinación 2</w:t>
            </w:r>
          </w:p>
        </w:tc>
        <w:tc>
          <w:tcPr>
            <w:tcW w:w="458" w:type="dxa"/>
            <w:shd w:val="clear" w:color="auto" w:fill="4779B1"/>
            <w:vAlign w:val="center"/>
            <w:hideMark/>
          </w:tcPr>
          <w:p w14:paraId="41B659E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0BA3FED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2D7329C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3615DA2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7F5F12D5"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002B4A"/>
            <w:vAlign w:val="center"/>
            <w:hideMark/>
          </w:tcPr>
          <w:p w14:paraId="7D628191"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4711922F"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0821EE5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18C059B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263E957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49F9348C"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7861C6C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5A13E462"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82D7C0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13FB54F6"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2BF71AFD"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41D32989"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12</w:t>
            </w:r>
          </w:p>
        </w:tc>
      </w:tr>
      <w:tr w:rsidR="00ED698D" w:rsidRPr="001A2D42" w14:paraId="6ACD95F5" w14:textId="77777777" w:rsidTr="0095234A">
        <w:trPr>
          <w:trHeight w:val="504"/>
        </w:trPr>
        <w:tc>
          <w:tcPr>
            <w:tcW w:w="2736" w:type="dxa"/>
            <w:vAlign w:val="center"/>
            <w:hideMark/>
          </w:tcPr>
          <w:p w14:paraId="16C31473"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Inicio y participación en el tratamiento del SUD: participación‡</w:t>
            </w:r>
          </w:p>
        </w:tc>
        <w:tc>
          <w:tcPr>
            <w:tcW w:w="458" w:type="dxa"/>
            <w:shd w:val="clear" w:color="auto" w:fill="FFFFFF" w:themeFill="background1"/>
            <w:vAlign w:val="center"/>
            <w:hideMark/>
          </w:tcPr>
          <w:p w14:paraId="54F4374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FFFFFF" w:themeFill="background1"/>
            <w:vAlign w:val="center"/>
            <w:hideMark/>
          </w:tcPr>
          <w:p w14:paraId="37FA4F4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18C11E0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43A8EED2"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42DEBBB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5D34120"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47661E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0C97EAAA"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B123142"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43F87EFA"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2F2C1A0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9EF7D3F"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03A4B9A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6172CE0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0C56A94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73A8CE4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vAlign w:val="center"/>
            <w:hideMark/>
          </w:tcPr>
          <w:p w14:paraId="2DFD55B4"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r>
      <w:tr w:rsidR="00ED698D" w:rsidRPr="001A2D42" w14:paraId="4564E12A" w14:textId="77777777" w:rsidTr="0095234A">
        <w:trPr>
          <w:trHeight w:val="504"/>
        </w:trPr>
        <w:tc>
          <w:tcPr>
            <w:tcW w:w="2736" w:type="dxa"/>
            <w:vAlign w:val="center"/>
            <w:hideMark/>
          </w:tcPr>
          <w:p w14:paraId="6BFEC15A"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Inicio y participación en el tratamiento del SUD: inicio‡</w:t>
            </w:r>
          </w:p>
        </w:tc>
        <w:tc>
          <w:tcPr>
            <w:tcW w:w="458" w:type="dxa"/>
            <w:tcBorders>
              <w:bottom w:val="single" w:sz="4" w:space="0" w:color="A6A6A6" w:themeColor="background1" w:themeShade="A6"/>
            </w:tcBorders>
            <w:shd w:val="clear" w:color="auto" w:fill="FFFFFF" w:themeFill="background1"/>
            <w:vAlign w:val="center"/>
            <w:hideMark/>
          </w:tcPr>
          <w:p w14:paraId="274C828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4779B1"/>
            <w:vAlign w:val="center"/>
            <w:hideMark/>
          </w:tcPr>
          <w:p w14:paraId="3D3806A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29640272"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FFFFFF" w:themeFill="background1"/>
            <w:vAlign w:val="center"/>
            <w:hideMark/>
          </w:tcPr>
          <w:p w14:paraId="7CBE97B7"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FFFFFF" w:themeFill="background1"/>
            <w:vAlign w:val="center"/>
            <w:hideMark/>
          </w:tcPr>
          <w:p w14:paraId="36CF528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bottom w:val="single" w:sz="4" w:space="0" w:color="A6A6A6" w:themeColor="background1" w:themeShade="A6"/>
            </w:tcBorders>
            <w:shd w:val="clear" w:color="auto" w:fill="FFFFFF" w:themeFill="background1"/>
            <w:vAlign w:val="center"/>
            <w:hideMark/>
          </w:tcPr>
          <w:p w14:paraId="4A9EA37E"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4779B1"/>
            <w:vAlign w:val="center"/>
            <w:hideMark/>
          </w:tcPr>
          <w:p w14:paraId="42F3026C"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FFFFFF" w:themeFill="background1"/>
            <w:vAlign w:val="center"/>
            <w:hideMark/>
          </w:tcPr>
          <w:p w14:paraId="7FB0C76A"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FFFFFF" w:themeFill="background1"/>
            <w:vAlign w:val="center"/>
            <w:hideMark/>
          </w:tcPr>
          <w:p w14:paraId="3BDF3A1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7DC3BB72"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4779B1"/>
            <w:vAlign w:val="center"/>
            <w:hideMark/>
          </w:tcPr>
          <w:p w14:paraId="58FB0EBB"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FFFFFF" w:themeFill="background1"/>
            <w:vAlign w:val="center"/>
            <w:hideMark/>
          </w:tcPr>
          <w:p w14:paraId="327101C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345D69E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bottom w:val="single" w:sz="4" w:space="0" w:color="A6A6A6" w:themeColor="background1" w:themeShade="A6"/>
            </w:tcBorders>
            <w:shd w:val="clear" w:color="auto" w:fill="FFFFFF" w:themeFill="background1"/>
            <w:vAlign w:val="center"/>
            <w:hideMark/>
          </w:tcPr>
          <w:p w14:paraId="7EB4E1D6"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7C48D8E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4779B1"/>
            <w:vAlign w:val="center"/>
            <w:hideMark/>
          </w:tcPr>
          <w:p w14:paraId="11B63A64"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vAlign w:val="center"/>
            <w:hideMark/>
          </w:tcPr>
          <w:p w14:paraId="16EAB66B"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r>
      <w:tr w:rsidR="00ED698D" w:rsidRPr="001A2D42" w14:paraId="6B5C779C" w14:textId="77777777" w:rsidTr="0095234A">
        <w:trPr>
          <w:trHeight w:val="504"/>
        </w:trPr>
        <w:tc>
          <w:tcPr>
            <w:tcW w:w="2736" w:type="dxa"/>
            <w:vAlign w:val="center"/>
            <w:hideMark/>
          </w:tcPr>
          <w:p w14:paraId="4A1EEE3C" w14:textId="1BCE11F4" w:rsidR="00ED698D" w:rsidRPr="00FF20BF" w:rsidRDefault="00ED698D" w:rsidP="00FF20BF">
            <w:pPr>
              <w:spacing w:after="0" w:line="216" w:lineRule="auto"/>
              <w:ind w:right="-69"/>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Acceso significativo al idioma (equidad en salud): componente 1‡</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1FA655CE"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tcBorders>
            <w:shd w:val="clear" w:color="auto" w:fill="002B4A"/>
            <w:vAlign w:val="center"/>
            <w:hideMark/>
          </w:tcPr>
          <w:p w14:paraId="4B3689C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0650EEF1"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69EB3DE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00B1F8F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46AA05B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03A9DE01"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26B684D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4313C41D"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8575E5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ACBB06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33A8BF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817B5EE"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30AB3E68"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3485F88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129CC16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22B3EB74"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16</w:t>
            </w:r>
          </w:p>
        </w:tc>
      </w:tr>
      <w:tr w:rsidR="00ED698D" w:rsidRPr="001A2D42" w14:paraId="0E968D11" w14:textId="77777777" w:rsidTr="6713373D">
        <w:trPr>
          <w:trHeight w:val="504"/>
        </w:trPr>
        <w:tc>
          <w:tcPr>
            <w:tcW w:w="2736" w:type="dxa"/>
            <w:vAlign w:val="center"/>
            <w:hideMark/>
          </w:tcPr>
          <w:p w14:paraId="55659DE5" w14:textId="665607EF" w:rsidR="00ED698D" w:rsidRPr="00FF20BF" w:rsidRDefault="00ED698D" w:rsidP="00FF20BF">
            <w:pPr>
              <w:spacing w:after="0" w:line="216" w:lineRule="auto"/>
              <w:ind w:right="-69"/>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Acceso significativo al idioma (equidad en salud): componente 2‡</w:t>
            </w:r>
          </w:p>
        </w:tc>
        <w:tc>
          <w:tcPr>
            <w:tcW w:w="458" w:type="dxa"/>
            <w:tcBorders>
              <w:top w:val="single" w:sz="4" w:space="0" w:color="A6A6A6" w:themeColor="background1" w:themeShade="A6"/>
            </w:tcBorders>
            <w:shd w:val="clear" w:color="auto" w:fill="FFFFFF" w:themeFill="background1"/>
            <w:vAlign w:val="center"/>
            <w:hideMark/>
          </w:tcPr>
          <w:p w14:paraId="36674EB5"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34433A8A"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1229903C"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tcBorders>
            <w:shd w:val="clear" w:color="auto" w:fill="FFFFFF" w:themeFill="background1"/>
            <w:vAlign w:val="center"/>
            <w:hideMark/>
          </w:tcPr>
          <w:p w14:paraId="5F8F07F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0D30809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18C20B1B"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6730D40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574262B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28D0CD7C"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6D67D5D3"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tcBorders>
            <w:shd w:val="clear" w:color="auto" w:fill="FFFFFF" w:themeFill="background1"/>
            <w:vAlign w:val="center"/>
            <w:hideMark/>
          </w:tcPr>
          <w:p w14:paraId="4383004E"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tcBorders>
            <w:shd w:val="clear" w:color="auto" w:fill="FFFFFF" w:themeFill="background1"/>
            <w:vAlign w:val="center"/>
            <w:hideMark/>
          </w:tcPr>
          <w:p w14:paraId="13AF858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4FA27A09"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tcBorders>
            <w:shd w:val="clear" w:color="auto" w:fill="FFFFFF" w:themeFill="background1"/>
            <w:vAlign w:val="center"/>
            <w:hideMark/>
          </w:tcPr>
          <w:p w14:paraId="27309DF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0F29A9E9"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tcBorders>
            <w:shd w:val="clear" w:color="auto" w:fill="FFFFFF" w:themeFill="background1"/>
            <w:vAlign w:val="center"/>
            <w:hideMark/>
          </w:tcPr>
          <w:p w14:paraId="4C680F8F"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vAlign w:val="center"/>
            <w:hideMark/>
          </w:tcPr>
          <w:p w14:paraId="4F29B877"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5</w:t>
            </w:r>
          </w:p>
        </w:tc>
      </w:tr>
      <w:tr w:rsidR="00ED698D" w:rsidRPr="001A2D42" w14:paraId="349D01E9" w14:textId="77777777" w:rsidTr="6713373D">
        <w:trPr>
          <w:trHeight w:val="504"/>
        </w:trPr>
        <w:tc>
          <w:tcPr>
            <w:tcW w:w="2736" w:type="dxa"/>
            <w:vAlign w:val="center"/>
            <w:hideMark/>
          </w:tcPr>
          <w:p w14:paraId="40AE84DD"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Cuidados prenatales y posparto: cuidados posparto^</w:t>
            </w:r>
          </w:p>
        </w:tc>
        <w:tc>
          <w:tcPr>
            <w:tcW w:w="458" w:type="dxa"/>
            <w:shd w:val="clear" w:color="auto" w:fill="002B4A"/>
            <w:vAlign w:val="center"/>
            <w:hideMark/>
          </w:tcPr>
          <w:p w14:paraId="022BFB4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C52FF2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7141FE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A19382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648D5DA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1E4ED62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17AE4D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bottom w:val="single" w:sz="4" w:space="0" w:color="A6A6A6" w:themeColor="background1" w:themeShade="A6"/>
            </w:tcBorders>
            <w:shd w:val="clear" w:color="auto" w:fill="002B4A"/>
            <w:vAlign w:val="center"/>
            <w:hideMark/>
          </w:tcPr>
          <w:p w14:paraId="72A924C7"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DF4D3FD"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47567C1"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771A1E98"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01491F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7031C95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bottom w:val="single" w:sz="4" w:space="0" w:color="A6A6A6" w:themeColor="background1" w:themeShade="A6"/>
            </w:tcBorders>
            <w:shd w:val="clear" w:color="auto" w:fill="002B4A"/>
            <w:vAlign w:val="center"/>
            <w:hideMark/>
          </w:tcPr>
          <w:p w14:paraId="4104EE8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7540BE6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FD4BF0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2FB101C0"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16</w:t>
            </w:r>
          </w:p>
        </w:tc>
      </w:tr>
      <w:tr w:rsidR="00ED698D" w:rsidRPr="001A2D42" w14:paraId="6BFABD73" w14:textId="77777777" w:rsidTr="0095234A">
        <w:trPr>
          <w:trHeight w:val="504"/>
        </w:trPr>
        <w:tc>
          <w:tcPr>
            <w:tcW w:w="2736" w:type="dxa"/>
            <w:vAlign w:val="center"/>
            <w:hideMark/>
          </w:tcPr>
          <w:p w14:paraId="065F1559"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Servicios de salud dental o bucal preventivos (niños de 1 a 5 años de edad)‡^</w:t>
            </w:r>
          </w:p>
        </w:tc>
        <w:tc>
          <w:tcPr>
            <w:tcW w:w="458" w:type="dxa"/>
            <w:shd w:val="clear" w:color="auto" w:fill="002B4A"/>
            <w:vAlign w:val="center"/>
            <w:hideMark/>
          </w:tcPr>
          <w:p w14:paraId="08C2B8A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313360F2"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bottom w:val="single" w:sz="4" w:space="0" w:color="A6A6A6" w:themeColor="background1" w:themeShade="A6"/>
            </w:tcBorders>
            <w:shd w:val="clear" w:color="auto" w:fill="FFFFFF" w:themeFill="background1"/>
            <w:vAlign w:val="center"/>
            <w:hideMark/>
          </w:tcPr>
          <w:p w14:paraId="1B1B022D"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762F3F27"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0D96ADF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89C745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527C30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1720828"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3EAFE935"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7D9267B3"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74A128D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5A9F41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4406D52D"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552CF49D"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bottom w:val="single" w:sz="4" w:space="0" w:color="A6A6A6" w:themeColor="background1" w:themeShade="A6"/>
            </w:tcBorders>
            <w:shd w:val="clear" w:color="auto" w:fill="FFFFFF" w:themeFill="background1"/>
            <w:vAlign w:val="center"/>
            <w:hideMark/>
          </w:tcPr>
          <w:p w14:paraId="38B1200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7E25683A"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7C1C7D2A"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r>
      <w:tr w:rsidR="00ED698D" w:rsidRPr="001A2D42" w14:paraId="3A76790E" w14:textId="77777777" w:rsidTr="0095234A">
        <w:trPr>
          <w:trHeight w:val="504"/>
        </w:trPr>
        <w:tc>
          <w:tcPr>
            <w:tcW w:w="2736" w:type="dxa"/>
            <w:vAlign w:val="center"/>
            <w:hideMark/>
          </w:tcPr>
          <w:p w14:paraId="0D42D519"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Servicios de salud dental o bucal preventivos (niños de 6 a 14 años de edad)‡^</w:t>
            </w:r>
          </w:p>
        </w:tc>
        <w:tc>
          <w:tcPr>
            <w:tcW w:w="458" w:type="dxa"/>
            <w:shd w:val="clear" w:color="auto" w:fill="002B4A"/>
            <w:vAlign w:val="center"/>
            <w:hideMark/>
          </w:tcPr>
          <w:p w14:paraId="57F5DE5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0E5FD40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4779B1"/>
            <w:vAlign w:val="center"/>
            <w:hideMark/>
          </w:tcPr>
          <w:p w14:paraId="0D54CB69"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090C329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33FDB49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270576EC"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17AFF77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tcBorders>
            <w:shd w:val="clear" w:color="auto" w:fill="FFFFFF" w:themeFill="background1"/>
            <w:vAlign w:val="center"/>
            <w:hideMark/>
          </w:tcPr>
          <w:p w14:paraId="54B4EE1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C1DBC3F"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5BCB8DF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B11DE60"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78CD1B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2055D583"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tcBorders>
              <w:top w:val="single" w:sz="4" w:space="0" w:color="A6A6A6" w:themeColor="background1" w:themeShade="A6"/>
            </w:tcBorders>
            <w:shd w:val="clear" w:color="auto" w:fill="FFFFFF" w:themeFill="background1"/>
            <w:vAlign w:val="center"/>
            <w:hideMark/>
          </w:tcPr>
          <w:p w14:paraId="17ECC461"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tcBorders>
              <w:top w:val="single" w:sz="4" w:space="0" w:color="A6A6A6" w:themeColor="background1" w:themeShade="A6"/>
              <w:bottom w:val="single" w:sz="4" w:space="0" w:color="A6A6A6" w:themeColor="background1" w:themeShade="A6"/>
            </w:tcBorders>
            <w:shd w:val="thinReverseDiagStripe" w:color="FFFFFF" w:themeColor="background1" w:fill="002B4A"/>
            <w:vAlign w:val="center"/>
            <w:hideMark/>
          </w:tcPr>
          <w:p w14:paraId="71368325"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53520E56"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vAlign w:val="center"/>
            <w:hideMark/>
          </w:tcPr>
          <w:p w14:paraId="0DFCE8AA"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r>
      <w:tr w:rsidR="00ED698D" w:rsidRPr="001A2D42" w14:paraId="2E3B7F0F" w14:textId="77777777" w:rsidTr="6713373D">
        <w:trPr>
          <w:trHeight w:val="504"/>
        </w:trPr>
        <w:tc>
          <w:tcPr>
            <w:tcW w:w="2736" w:type="dxa"/>
            <w:vAlign w:val="center"/>
            <w:hideMark/>
          </w:tcPr>
          <w:p w14:paraId="6E0EE9DF"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Prueba de detección de depresión y plan de seguimiento</w:t>
            </w:r>
          </w:p>
        </w:tc>
        <w:tc>
          <w:tcPr>
            <w:tcW w:w="458" w:type="dxa"/>
            <w:shd w:val="clear" w:color="auto" w:fill="FFFFFF" w:themeFill="background1"/>
            <w:vAlign w:val="center"/>
            <w:hideMark/>
          </w:tcPr>
          <w:p w14:paraId="4D2EFD68"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1EBC601E"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tcBorders>
            <w:shd w:val="clear" w:color="auto" w:fill="4779B1"/>
            <w:vAlign w:val="center"/>
            <w:hideMark/>
          </w:tcPr>
          <w:p w14:paraId="3BC01080"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5245E1C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5DF382F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61F4C26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05D2E6DA"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06EEEF3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75C0FC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4779B1"/>
            <w:vAlign w:val="center"/>
            <w:hideMark/>
          </w:tcPr>
          <w:p w14:paraId="41D56C34"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33A4E1D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FFFFFF" w:themeFill="background1"/>
            <w:vAlign w:val="center"/>
            <w:hideMark/>
          </w:tcPr>
          <w:p w14:paraId="577955AA"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002B4A"/>
            <w:vAlign w:val="center"/>
            <w:hideMark/>
          </w:tcPr>
          <w:p w14:paraId="64D8430E"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7916A4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tcBorders>
              <w:top w:val="single" w:sz="4" w:space="0" w:color="A6A6A6" w:themeColor="background1" w:themeShade="A6"/>
            </w:tcBorders>
            <w:shd w:val="clear" w:color="auto" w:fill="4779B1"/>
            <w:vAlign w:val="center"/>
            <w:hideMark/>
          </w:tcPr>
          <w:p w14:paraId="00A7A2E8"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002B4A"/>
            <w:vAlign w:val="center"/>
            <w:hideMark/>
          </w:tcPr>
          <w:p w14:paraId="3A2141B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28E32CD4"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14</w:t>
            </w:r>
          </w:p>
        </w:tc>
      </w:tr>
      <w:tr w:rsidR="00ED698D" w:rsidRPr="001A2D42" w14:paraId="1C4EDB12" w14:textId="77777777" w:rsidTr="6713373D">
        <w:trPr>
          <w:trHeight w:val="504"/>
        </w:trPr>
        <w:tc>
          <w:tcPr>
            <w:tcW w:w="2736" w:type="dxa"/>
            <w:vAlign w:val="center"/>
            <w:hideMark/>
          </w:tcPr>
          <w:p w14:paraId="3B862536" w14:textId="77777777"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SDOH: prueba de detección de necesidades sociales y remisión: tasa de informes</w:t>
            </w:r>
          </w:p>
        </w:tc>
        <w:tc>
          <w:tcPr>
            <w:tcW w:w="458" w:type="dxa"/>
            <w:shd w:val="clear" w:color="auto" w:fill="002B4A"/>
            <w:vAlign w:val="center"/>
            <w:hideMark/>
          </w:tcPr>
          <w:p w14:paraId="244E5C6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D3B1EA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013BA9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FEA2F7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362B9E54"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4265DBE6"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8B1E929"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3C4AA53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16B1B26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3A152D4C"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9779253"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5B357290"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C78D42F"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3270C8B2"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2BD0224B"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shd w:val="clear" w:color="auto" w:fill="002B4A"/>
            <w:vAlign w:val="center"/>
            <w:hideMark/>
          </w:tcPr>
          <w:p w14:paraId="6AC0519D" w14:textId="77777777" w:rsidR="00ED698D" w:rsidRPr="001A2D42" w:rsidRDefault="00ED698D" w:rsidP="003B32F9">
            <w:pPr>
              <w:spacing w:after="0" w:line="240" w:lineRule="auto"/>
              <w:rPr>
                <w:rFonts w:ascii="Arial Narrow" w:eastAsia="Times New Roman" w:hAnsi="Arial Narrow" w:cs="Times New Roman"/>
                <w:color w:val="002B4A"/>
                <w:kern w:val="0"/>
                <w:sz w:val="2"/>
                <w:szCs w:val="2"/>
                <w14:ligatures w14:val="none"/>
              </w:rPr>
            </w:pPr>
            <w:r w:rsidRPr="001A2D42">
              <w:rPr>
                <w:rFonts w:ascii="Arial Narrow" w:eastAsia="Times New Roman" w:hAnsi="Arial Narrow" w:cs="Times New Roman"/>
                <w:color w:val="002B4A"/>
                <w:kern w:val="0"/>
                <w:sz w:val="2"/>
                <w:szCs w:val="2"/>
                <w:lang w:bidi="es-419"/>
                <w14:ligatures w14:val="none"/>
              </w:rPr>
              <w:t>Cumplió con el punto de referencia</w:t>
            </w:r>
          </w:p>
        </w:tc>
        <w:tc>
          <w:tcPr>
            <w:tcW w:w="458" w:type="dxa"/>
            <w:vAlign w:val="center"/>
            <w:hideMark/>
          </w:tcPr>
          <w:p w14:paraId="6F07E0FA"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16</w:t>
            </w:r>
          </w:p>
        </w:tc>
      </w:tr>
      <w:tr w:rsidR="00ED698D" w:rsidRPr="001A2D42" w14:paraId="59202FE4" w14:textId="77777777" w:rsidTr="6713373D">
        <w:trPr>
          <w:trHeight w:val="504"/>
        </w:trPr>
        <w:tc>
          <w:tcPr>
            <w:tcW w:w="2736" w:type="dxa"/>
            <w:vAlign w:val="center"/>
            <w:hideMark/>
          </w:tcPr>
          <w:p w14:paraId="18370BF2" w14:textId="0351C6CA" w:rsidR="00ED698D" w:rsidRPr="00FF20BF" w:rsidRDefault="00ED698D" w:rsidP="00FF20BF">
            <w:pPr>
              <w:spacing w:after="0" w:line="216" w:lineRule="auto"/>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 xml:space="preserve">Niños pequeños que reciben intervención o tratamiento socioemocional </w:t>
            </w:r>
          </w:p>
        </w:tc>
        <w:tc>
          <w:tcPr>
            <w:tcW w:w="458" w:type="dxa"/>
            <w:shd w:val="clear" w:color="auto" w:fill="4779B1"/>
            <w:vAlign w:val="center"/>
            <w:hideMark/>
          </w:tcPr>
          <w:p w14:paraId="12D2048E"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1E05738F"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522F02B9"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708861E0"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FFFFFF" w:themeFill="background1"/>
            <w:vAlign w:val="center"/>
            <w:hideMark/>
          </w:tcPr>
          <w:p w14:paraId="3B1FB314"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4A25E4E6"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2ACB3535"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50C4EA13"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2D54C11B"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Segoe UI Symbol" w:eastAsia="Times New Roman" w:hAnsi="Segoe UI Symbol" w:cs="Segoe UI Symbol"/>
                <w:color w:val="FFFFFF" w:themeColor="background1"/>
                <w:sz w:val="18"/>
                <w:szCs w:val="18"/>
                <w:lang w:bidi="es-419"/>
              </w:rPr>
              <w:t>✱</w:t>
            </w: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2780F95C"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19EAFC04"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66D2E4C4"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FFFFFF" w:themeFill="background1"/>
            <w:vAlign w:val="center"/>
            <w:hideMark/>
          </w:tcPr>
          <w:p w14:paraId="439F1FB3" w14:textId="77777777" w:rsidR="00ED698D" w:rsidRPr="001A2D42" w:rsidRDefault="00ED698D" w:rsidP="003B32F9">
            <w:pPr>
              <w:spacing w:after="0" w:line="240" w:lineRule="auto"/>
              <w:rPr>
                <w:rFonts w:ascii="Arial Narrow" w:eastAsia="Times New Roman" w:hAnsi="Arial Narrow" w:cs="Times New Roman"/>
                <w:color w:val="FFFFFF"/>
                <w:kern w:val="0"/>
                <w:sz w:val="2"/>
                <w:szCs w:val="2"/>
                <w14:ligatures w14:val="none"/>
              </w:rPr>
            </w:pPr>
            <w:r w:rsidRPr="001A2D42">
              <w:rPr>
                <w:rFonts w:ascii="Arial Narrow" w:eastAsia="Times New Roman" w:hAnsi="Arial Narrow" w:cs="Times New Roman"/>
                <w:color w:val="FFFFFF"/>
                <w:kern w:val="0"/>
                <w:sz w:val="2"/>
                <w:szCs w:val="2"/>
                <w:lang w:bidi="es-419"/>
                <w14:ligatures w14:val="none"/>
              </w:rPr>
              <w:t>No cumplió</w:t>
            </w:r>
          </w:p>
        </w:tc>
        <w:tc>
          <w:tcPr>
            <w:tcW w:w="458" w:type="dxa"/>
            <w:shd w:val="clear" w:color="auto" w:fill="4779B1"/>
            <w:vAlign w:val="center"/>
            <w:hideMark/>
          </w:tcPr>
          <w:p w14:paraId="4A8FF077"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0F08E84A"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shd w:val="clear" w:color="auto" w:fill="4779B1"/>
            <w:vAlign w:val="center"/>
            <w:hideMark/>
          </w:tcPr>
          <w:p w14:paraId="63C4174D" w14:textId="77777777" w:rsidR="00ED698D" w:rsidRPr="001A2D42" w:rsidRDefault="00ED698D" w:rsidP="003B32F9">
            <w:pPr>
              <w:spacing w:after="0" w:line="240" w:lineRule="auto"/>
              <w:rPr>
                <w:rFonts w:ascii="Arial Narrow" w:eastAsia="Times New Roman" w:hAnsi="Arial Narrow" w:cs="Times New Roman"/>
                <w:color w:val="4779B1"/>
                <w:kern w:val="0"/>
                <w:sz w:val="2"/>
                <w:szCs w:val="2"/>
                <w14:ligatures w14:val="none"/>
              </w:rPr>
            </w:pPr>
            <w:r w:rsidRPr="001A2D42">
              <w:rPr>
                <w:rFonts w:ascii="Arial Narrow" w:eastAsia="Times New Roman" w:hAnsi="Arial Narrow" w:cs="Times New Roman"/>
                <w:color w:val="4779B1"/>
                <w:kern w:val="0"/>
                <w:sz w:val="2"/>
                <w:szCs w:val="2"/>
                <w:lang w:bidi="es-419"/>
                <w14:ligatures w14:val="none"/>
              </w:rPr>
              <w:t>Cumplió con el objetivo</w:t>
            </w:r>
          </w:p>
        </w:tc>
        <w:tc>
          <w:tcPr>
            <w:tcW w:w="458" w:type="dxa"/>
            <w:vAlign w:val="center"/>
            <w:hideMark/>
          </w:tcPr>
          <w:p w14:paraId="74BEDC8E"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r>
      <w:tr w:rsidR="00ED698D" w:rsidRPr="001A2D42" w14:paraId="49A78A8D" w14:textId="77777777">
        <w:trPr>
          <w:trHeight w:val="504"/>
        </w:trPr>
        <w:tc>
          <w:tcPr>
            <w:tcW w:w="2736" w:type="dxa"/>
            <w:noWrap/>
            <w:vAlign w:val="center"/>
            <w:hideMark/>
          </w:tcPr>
          <w:p w14:paraId="42DA24DB" w14:textId="77777777" w:rsidR="00ED698D" w:rsidRPr="00FF20BF" w:rsidRDefault="00ED698D" w:rsidP="00FF20BF">
            <w:pPr>
              <w:spacing w:after="0" w:line="240" w:lineRule="auto"/>
              <w:ind w:hanging="109"/>
              <w:jc w:val="right"/>
              <w:rPr>
                <w:rFonts w:ascii="Arial Narrow" w:eastAsia="Times New Roman" w:hAnsi="Arial Narrow" w:cs="Times New Roman"/>
                <w:color w:val="000000"/>
                <w:kern w:val="0"/>
                <w:sz w:val="19"/>
                <w:szCs w:val="19"/>
                <w14:ligatures w14:val="none"/>
              </w:rPr>
            </w:pPr>
            <w:bookmarkStart w:id="18" w:name="RANGE!A18"/>
            <w:r w:rsidRPr="00FF20BF">
              <w:rPr>
                <w:rFonts w:ascii="Arial Narrow" w:eastAsia="Times New Roman" w:hAnsi="Arial Narrow" w:cs="Times New Roman"/>
                <w:color w:val="000000"/>
                <w:kern w:val="0"/>
                <w:sz w:val="19"/>
                <w:szCs w:val="19"/>
                <w:lang w:bidi="es-419"/>
                <w14:ligatures w14:val="none"/>
              </w:rPr>
              <w:t>N.° de medidas cumplidas (de 13)</w:t>
            </w:r>
            <w:bookmarkEnd w:id="18"/>
            <w:r w:rsidRPr="00FF20BF">
              <w:rPr>
                <w:rStyle w:val="FootnoteReference"/>
                <w:rFonts w:ascii="Arial Narrow" w:eastAsia="Times New Roman" w:hAnsi="Arial Narrow" w:cs="Times New Roman"/>
                <w:color w:val="000000"/>
                <w:kern w:val="0"/>
                <w:sz w:val="19"/>
                <w:szCs w:val="19"/>
                <w:lang w:bidi="es-419"/>
                <w14:ligatures w14:val="none"/>
              </w:rPr>
              <w:footnoteReference w:id="13"/>
            </w:r>
          </w:p>
        </w:tc>
        <w:tc>
          <w:tcPr>
            <w:tcW w:w="458" w:type="dxa"/>
            <w:noWrap/>
            <w:vAlign w:val="center"/>
            <w:hideMark/>
          </w:tcPr>
          <w:p w14:paraId="45C4B608"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6</w:t>
            </w:r>
          </w:p>
        </w:tc>
        <w:tc>
          <w:tcPr>
            <w:tcW w:w="458" w:type="dxa"/>
            <w:noWrap/>
            <w:vAlign w:val="center"/>
            <w:hideMark/>
          </w:tcPr>
          <w:p w14:paraId="26882DE5"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c>
          <w:tcPr>
            <w:tcW w:w="458" w:type="dxa"/>
            <w:noWrap/>
            <w:vAlign w:val="center"/>
            <w:hideMark/>
          </w:tcPr>
          <w:p w14:paraId="51556DA0"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c>
          <w:tcPr>
            <w:tcW w:w="458" w:type="dxa"/>
            <w:noWrap/>
            <w:vAlign w:val="center"/>
            <w:hideMark/>
          </w:tcPr>
          <w:p w14:paraId="555B7F3F"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6</w:t>
            </w:r>
          </w:p>
        </w:tc>
        <w:tc>
          <w:tcPr>
            <w:tcW w:w="458" w:type="dxa"/>
            <w:noWrap/>
            <w:vAlign w:val="center"/>
            <w:hideMark/>
          </w:tcPr>
          <w:p w14:paraId="322D71D9"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8</w:t>
            </w:r>
          </w:p>
        </w:tc>
        <w:tc>
          <w:tcPr>
            <w:tcW w:w="458" w:type="dxa"/>
            <w:noWrap/>
            <w:vAlign w:val="center"/>
            <w:hideMark/>
          </w:tcPr>
          <w:p w14:paraId="14756322"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9</w:t>
            </w:r>
          </w:p>
        </w:tc>
        <w:tc>
          <w:tcPr>
            <w:tcW w:w="458" w:type="dxa"/>
            <w:noWrap/>
            <w:vAlign w:val="center"/>
            <w:hideMark/>
          </w:tcPr>
          <w:p w14:paraId="7668C5E5"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9</w:t>
            </w:r>
          </w:p>
        </w:tc>
        <w:tc>
          <w:tcPr>
            <w:tcW w:w="458" w:type="dxa"/>
            <w:noWrap/>
            <w:vAlign w:val="center"/>
            <w:hideMark/>
          </w:tcPr>
          <w:p w14:paraId="2C7CEB63"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c>
          <w:tcPr>
            <w:tcW w:w="458" w:type="dxa"/>
            <w:noWrap/>
            <w:vAlign w:val="center"/>
            <w:hideMark/>
          </w:tcPr>
          <w:p w14:paraId="4F5EFEEB"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c>
          <w:tcPr>
            <w:tcW w:w="458" w:type="dxa"/>
            <w:noWrap/>
            <w:vAlign w:val="center"/>
            <w:hideMark/>
          </w:tcPr>
          <w:p w14:paraId="0A6661EE"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12</w:t>
            </w:r>
          </w:p>
        </w:tc>
        <w:tc>
          <w:tcPr>
            <w:tcW w:w="458" w:type="dxa"/>
            <w:noWrap/>
            <w:vAlign w:val="center"/>
            <w:hideMark/>
          </w:tcPr>
          <w:p w14:paraId="14C791CC"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10</w:t>
            </w:r>
          </w:p>
        </w:tc>
        <w:tc>
          <w:tcPr>
            <w:tcW w:w="458" w:type="dxa"/>
            <w:noWrap/>
            <w:vAlign w:val="center"/>
            <w:hideMark/>
          </w:tcPr>
          <w:p w14:paraId="47310AA3"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7</w:t>
            </w:r>
          </w:p>
        </w:tc>
        <w:tc>
          <w:tcPr>
            <w:tcW w:w="458" w:type="dxa"/>
            <w:noWrap/>
            <w:vAlign w:val="center"/>
            <w:hideMark/>
          </w:tcPr>
          <w:p w14:paraId="3F71ECA7"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c>
          <w:tcPr>
            <w:tcW w:w="458" w:type="dxa"/>
            <w:noWrap/>
            <w:vAlign w:val="center"/>
            <w:hideMark/>
          </w:tcPr>
          <w:p w14:paraId="1090898E"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6</w:t>
            </w:r>
          </w:p>
        </w:tc>
        <w:tc>
          <w:tcPr>
            <w:tcW w:w="458" w:type="dxa"/>
            <w:noWrap/>
            <w:vAlign w:val="center"/>
            <w:hideMark/>
          </w:tcPr>
          <w:p w14:paraId="13F9B99F"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11</w:t>
            </w:r>
          </w:p>
        </w:tc>
        <w:tc>
          <w:tcPr>
            <w:tcW w:w="458" w:type="dxa"/>
            <w:noWrap/>
            <w:vAlign w:val="center"/>
            <w:hideMark/>
          </w:tcPr>
          <w:p w14:paraId="6E52C29B"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r w:rsidRPr="00FF20BF">
              <w:rPr>
                <w:rFonts w:ascii="Arial Narrow" w:eastAsia="Times New Roman" w:hAnsi="Arial Narrow" w:cs="Times New Roman"/>
                <w:color w:val="000000"/>
                <w:kern w:val="0"/>
                <w:sz w:val="19"/>
                <w:szCs w:val="19"/>
                <w:lang w:bidi="es-419"/>
                <w14:ligatures w14:val="none"/>
              </w:rPr>
              <w:t>10</w:t>
            </w:r>
          </w:p>
        </w:tc>
        <w:tc>
          <w:tcPr>
            <w:tcW w:w="458" w:type="dxa"/>
            <w:noWrap/>
            <w:vAlign w:val="bottom"/>
            <w:hideMark/>
          </w:tcPr>
          <w:p w14:paraId="780096D6" w14:textId="77777777" w:rsidR="00ED698D" w:rsidRPr="00FF20BF" w:rsidRDefault="00ED698D" w:rsidP="003B32F9">
            <w:pPr>
              <w:spacing w:after="0" w:line="240" w:lineRule="auto"/>
              <w:jc w:val="center"/>
              <w:rPr>
                <w:rFonts w:ascii="Arial Narrow" w:eastAsia="Times New Roman" w:hAnsi="Arial Narrow" w:cs="Times New Roman"/>
                <w:color w:val="000000"/>
                <w:kern w:val="0"/>
                <w:sz w:val="19"/>
                <w:szCs w:val="19"/>
                <w14:ligatures w14:val="none"/>
              </w:rPr>
            </w:pPr>
          </w:p>
        </w:tc>
      </w:tr>
    </w:tbl>
    <w:p w14:paraId="3B7B11F9" w14:textId="77777777" w:rsidR="00ED698D" w:rsidRPr="001A2D42" w:rsidRDefault="00ED698D" w:rsidP="003B32F9">
      <w:pPr>
        <w:pStyle w:val="Heading2"/>
        <w:spacing w:line="240" w:lineRule="auto"/>
        <w:sectPr w:rsidR="00ED698D" w:rsidRPr="001A2D42" w:rsidSect="00ED698D">
          <w:footnotePr>
            <w:numFmt w:val="lowerLetter"/>
          </w:footnotePr>
          <w:type w:val="continuous"/>
          <w:pgSz w:w="12240" w:h="15840"/>
          <w:pgMar w:top="1440" w:right="1080" w:bottom="1440" w:left="1080" w:header="86" w:footer="720" w:gutter="0"/>
          <w:cols w:space="720"/>
          <w:titlePg/>
          <w:docGrid w:linePitch="360"/>
        </w:sectPr>
      </w:pPr>
    </w:p>
    <w:p w14:paraId="7B6D539F" w14:textId="77777777" w:rsidR="00ED698D" w:rsidRPr="001A2D42" w:rsidRDefault="00ED698D" w:rsidP="003B32F9">
      <w:pPr>
        <w:pStyle w:val="Heading2"/>
        <w:spacing w:line="240" w:lineRule="auto"/>
      </w:pPr>
      <w:bookmarkStart w:id="19" w:name="_Toc241770412"/>
      <w:r w:rsidRPr="001A2D42">
        <w:rPr>
          <w:lang w:bidi="es-419"/>
        </w:rPr>
        <w:lastRenderedPageBreak/>
        <w:t>Acerca de los fondos de bonos</w:t>
      </w:r>
      <w:bookmarkEnd w:id="19"/>
    </w:p>
    <w:p w14:paraId="2C2DF69F" w14:textId="5A9DF854" w:rsidR="00ED698D" w:rsidRPr="001A2D42" w:rsidRDefault="00ED698D" w:rsidP="003B32F9">
      <w:pPr>
        <w:spacing w:before="120" w:after="240" w:line="240" w:lineRule="auto"/>
      </w:pPr>
      <w:r w:rsidRPr="001A2D42">
        <w:rPr>
          <w:lang w:bidi="es-419"/>
        </w:rPr>
        <w:t xml:space="preserve">El objetivo del Programa de Incentivos de Calidad de las CCO es mejorar la calidad de la atención para los miembros del Plan de Salud de Oregon (OHP). Para obtener bonos del Programa de Incentivos de Calidad de las CCO, las mismas deben proporcionar una mejor atención cada año. </w:t>
      </w:r>
    </w:p>
    <w:p w14:paraId="7A5AEEFA" w14:textId="77777777" w:rsidR="00ED698D" w:rsidRPr="001A2D42" w:rsidRDefault="00ED698D" w:rsidP="003B32F9">
      <w:pPr>
        <w:pStyle w:val="Heading3"/>
        <w:spacing w:line="240" w:lineRule="auto"/>
      </w:pPr>
      <w:r w:rsidRPr="001A2D42">
        <w:rPr>
          <w:lang w:bidi="es-419"/>
        </w:rPr>
        <w:t>Los bonos se suman a los pagos mensuales que cubren el costo de la atención.</w:t>
      </w:r>
    </w:p>
    <w:p w14:paraId="0D8ED606" w14:textId="3B38B6ED" w:rsidR="00ED698D" w:rsidRPr="001A2D42" w:rsidRDefault="00ED698D" w:rsidP="003B32F9">
      <w:pPr>
        <w:spacing w:line="240" w:lineRule="auto"/>
      </w:pPr>
      <w:r w:rsidRPr="001A2D42">
        <w:rPr>
          <w:lang w:bidi="es-419"/>
        </w:rPr>
        <w:t xml:space="preserve">Estos pagos por costo de atención se denominan pagos por miembro al mes (PMPM) </w:t>
      </w:r>
      <w:r w:rsidR="009521C1">
        <w:rPr>
          <w:lang w:bidi="es-419"/>
        </w:rPr>
        <w:br/>
      </w:r>
      <w:r w:rsidRPr="001A2D42">
        <w:rPr>
          <w:lang w:bidi="es-419"/>
        </w:rPr>
        <w:t>o tasas de capitación. La cantidad que las CCO pueden obtener del fondo de incentivos por calidad está determinada por:</w:t>
      </w:r>
    </w:p>
    <w:p w14:paraId="3BB5588E" w14:textId="77777777" w:rsidR="00ED698D" w:rsidRPr="001A2D42" w:rsidRDefault="00ED698D" w:rsidP="003B32F9">
      <w:pPr>
        <w:spacing w:before="120" w:after="120" w:line="240" w:lineRule="auto"/>
        <w:ind w:left="990" w:hanging="270"/>
      </w:pPr>
      <w:r w:rsidRPr="001A2D42">
        <w:rPr>
          <w:lang w:bidi="es-419"/>
        </w:rPr>
        <w:t>a) Capacidad y composición de la CCO (número de miembros inscritos y su estado de elegibilidad).</w:t>
      </w:r>
    </w:p>
    <w:p w14:paraId="37131827" w14:textId="77777777" w:rsidR="00ED698D" w:rsidRPr="001A2D42" w:rsidRDefault="00ED698D" w:rsidP="003B32F9">
      <w:pPr>
        <w:spacing w:before="120" w:after="120" w:line="240" w:lineRule="auto"/>
        <w:ind w:firstLine="720"/>
      </w:pPr>
      <w:r w:rsidRPr="001A2D42">
        <w:rPr>
          <w:lang w:bidi="es-419"/>
        </w:rPr>
        <w:t>b) Rendimiento en las medidas de incentivo.</w:t>
      </w:r>
    </w:p>
    <w:p w14:paraId="72925E77" w14:textId="09CE87EE" w:rsidR="00ED698D" w:rsidRPr="001A2D42" w:rsidRDefault="00ED698D" w:rsidP="003B32F9">
      <w:pPr>
        <w:spacing w:before="120" w:after="240" w:line="240" w:lineRule="auto"/>
        <w:rPr>
          <w:rStyle w:val="Heading4Char"/>
          <w:rFonts w:eastAsiaTheme="minorHAnsi" w:cstheme="minorBidi"/>
          <w:iCs w:val="0"/>
          <w:color w:val="auto"/>
          <w:sz w:val="22"/>
        </w:rPr>
      </w:pPr>
      <w:r w:rsidRPr="001A2D42">
        <w:rPr>
          <w:lang w:bidi="es-419"/>
        </w:rPr>
        <w:t xml:space="preserve">Debido a que estos son bonos, </w:t>
      </w:r>
      <w:r w:rsidRPr="001A2D42">
        <w:rPr>
          <w:b/>
          <w:lang w:bidi="es-419"/>
        </w:rPr>
        <w:t>los fondos de incentivos no están garantizados.</w:t>
      </w:r>
      <w:r w:rsidRPr="001A2D42">
        <w:rPr>
          <w:lang w:bidi="es-419"/>
        </w:rPr>
        <w:t xml:space="preserve"> </w:t>
      </w:r>
      <w:r w:rsidR="009521C1">
        <w:rPr>
          <w:lang w:bidi="es-419"/>
        </w:rPr>
        <w:br/>
      </w:r>
      <w:r w:rsidRPr="001A2D42">
        <w:rPr>
          <w:lang w:bidi="es-419"/>
        </w:rPr>
        <w:t>Los fondos del Programa de Incentivos de Calidad de las CCO se calculan en dos fases.</w:t>
      </w:r>
    </w:p>
    <w:p w14:paraId="743EF450" w14:textId="3C9F287D" w:rsidR="00ED698D" w:rsidRPr="001A2D42" w:rsidRDefault="00ED698D" w:rsidP="003B32F9">
      <w:pPr>
        <w:pStyle w:val="Heading3"/>
        <w:spacing w:line="240" w:lineRule="auto"/>
      </w:pPr>
      <w:r w:rsidRPr="001A2D42">
        <w:rPr>
          <w:lang w:bidi="es-419"/>
        </w:rPr>
        <w:t>En 2025, el fondo de incentivos por calidad superó los $238 millones.</w:t>
      </w:r>
    </w:p>
    <w:p w14:paraId="61F49EC5" w14:textId="299732F3" w:rsidR="00467A0C" w:rsidRPr="001A2D42" w:rsidRDefault="00ED698D" w:rsidP="003B32F9">
      <w:pPr>
        <w:spacing w:line="240" w:lineRule="auto"/>
      </w:pPr>
      <w:r w:rsidRPr="001A2D42">
        <w:rPr>
          <w:lang w:bidi="es-419"/>
        </w:rPr>
        <w:t xml:space="preserve">Cada año, la OHA y la Legislatura del estado de Oregon deciden la capacidad del fondo </w:t>
      </w:r>
      <w:r w:rsidR="00FB08F7">
        <w:rPr>
          <w:lang w:bidi="es-419"/>
        </w:rPr>
        <w:br/>
      </w:r>
      <w:r w:rsidRPr="001A2D42">
        <w:rPr>
          <w:lang w:bidi="es-419"/>
        </w:rPr>
        <w:t>de incentivos por calidad considerando factores presupuestarios y de otro tipo. Según el Código de Regulaciones Federales (Code of Federal Regulations, CFR, por sus siglas en inglés), el total de los pagos de las CCO no pueden ser mayores al 105% del total de los pagos PMPM. Esto significa que el bono de cada CCO está limitado al 5% del total de sus pagos PMPM.</w:t>
      </w:r>
    </w:p>
    <w:p w14:paraId="2E2F8F49" w14:textId="1268967D" w:rsidR="00ED698D" w:rsidRDefault="00ED698D" w:rsidP="003B32F9">
      <w:pPr>
        <w:spacing w:line="240" w:lineRule="auto"/>
        <w:rPr>
          <w:lang w:bidi="es-419"/>
        </w:rPr>
      </w:pPr>
      <w:r w:rsidRPr="001A2D42">
        <w:rPr>
          <w:lang w:bidi="es-419"/>
        </w:rPr>
        <w:t xml:space="preserve">En 2025, el total del fondo de incentivos por calidad se estableció en el 3% de pagos PMPM (capitación) agregados de ese año para las CCO. Esta reducción en el porcentaje con respecto a años anteriores se debió a la disminución de los presupuestos estatales y al aumento de los pagos PMPM (consulte los </w:t>
      </w:r>
      <w:hyperlink w:anchor="_Quality_Pool_decreased," w:history="1">
        <w:r w:rsidR="007F7214" w:rsidRPr="001A2D42">
          <w:rPr>
            <w:rStyle w:val="Hyperlink"/>
            <w:lang w:bidi="es-419"/>
          </w:rPr>
          <w:t>Puntos destacados del programa</w:t>
        </w:r>
      </w:hyperlink>
      <w:r w:rsidRPr="001A2D42">
        <w:rPr>
          <w:lang w:bidi="es-419"/>
        </w:rPr>
        <w:t xml:space="preserve"> para obtener más información). La siguiente tabla muestra las cantidades del fondo de incentivos por calidad y el porcentaje del total de los pagos PMPM en todos los años del programa.</w:t>
      </w:r>
    </w:p>
    <w:p w14:paraId="126A346A" w14:textId="77777777" w:rsidR="00DA1168" w:rsidRDefault="00DA1168" w:rsidP="003B32F9">
      <w:pPr>
        <w:spacing w:line="240" w:lineRule="auto"/>
        <w:rPr>
          <w:lang w:bidi="es-419"/>
        </w:rPr>
      </w:pPr>
    </w:p>
    <w:p w14:paraId="60399F06" w14:textId="77777777" w:rsidR="00DA1168" w:rsidRDefault="00DA1168" w:rsidP="003B32F9">
      <w:pPr>
        <w:spacing w:line="240" w:lineRule="auto"/>
        <w:rPr>
          <w:lang w:bidi="es-419"/>
        </w:rPr>
      </w:pPr>
    </w:p>
    <w:p w14:paraId="32CE213F" w14:textId="77777777" w:rsidR="00DA1168" w:rsidRPr="001A2D42" w:rsidRDefault="00DA1168" w:rsidP="003B32F9">
      <w:pPr>
        <w:spacing w:line="240" w:lineRule="auto"/>
      </w:pPr>
    </w:p>
    <w:p w14:paraId="71989E7C" w14:textId="77777777" w:rsidR="00ED698D" w:rsidRPr="001A2D42" w:rsidRDefault="00ED698D" w:rsidP="003B32F9">
      <w:pPr>
        <w:pStyle w:val="Heading4"/>
        <w:spacing w:line="240" w:lineRule="auto"/>
      </w:pPr>
      <w:r w:rsidRPr="001A2D42">
        <w:rPr>
          <w:lang w:bidi="es-419"/>
        </w:rPr>
        <w:lastRenderedPageBreak/>
        <w:t>Tabla 1: cantidades del fondo de incentivos por calidad y porcentaje del total de los pagos PMPM a lo largo del tiempo.</w:t>
      </w:r>
    </w:p>
    <w:tbl>
      <w:tblPr>
        <w:tblStyle w:val="HPAGridTable"/>
        <w:tblW w:w="0" w:type="auto"/>
        <w:tblLayout w:type="fixed"/>
        <w:tblLook w:val="0620" w:firstRow="1" w:lastRow="0" w:firstColumn="0" w:lastColumn="0" w:noHBand="1" w:noVBand="1"/>
      </w:tblPr>
      <w:tblGrid>
        <w:gridCol w:w="3116"/>
        <w:gridCol w:w="3117"/>
        <w:gridCol w:w="3117"/>
      </w:tblGrid>
      <w:tr w:rsidR="00ED698D" w:rsidRPr="001A2D42" w14:paraId="7D69228F" w14:textId="77777777" w:rsidTr="00FB08F7">
        <w:trPr>
          <w:cnfStyle w:val="100000000000" w:firstRow="1" w:lastRow="0" w:firstColumn="0" w:lastColumn="0" w:oddVBand="0" w:evenVBand="0" w:oddHBand="0" w:evenHBand="0" w:firstRowFirstColumn="0" w:firstRowLastColumn="0" w:lastRowFirstColumn="0" w:lastRowLastColumn="0"/>
        </w:trPr>
        <w:tc>
          <w:tcPr>
            <w:tcW w:w="3116" w:type="dxa"/>
          </w:tcPr>
          <w:p w14:paraId="0704F961" w14:textId="77777777" w:rsidR="00ED698D" w:rsidRPr="001A2D42" w:rsidRDefault="00ED698D"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Año de medición</w:t>
            </w:r>
          </w:p>
        </w:tc>
        <w:tc>
          <w:tcPr>
            <w:tcW w:w="3117" w:type="dxa"/>
          </w:tcPr>
          <w:p w14:paraId="64DFBB4E" w14:textId="5341632B" w:rsidR="00ED698D" w:rsidRPr="001A2D42" w:rsidRDefault="00ED698D"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 xml:space="preserve">Cantidad del fondo de incentivos por calidad </w:t>
            </w:r>
            <w:r w:rsidR="009521C1">
              <w:rPr>
                <w:rFonts w:asciiTheme="minorHAnsi" w:hAnsiTheme="minorHAnsi" w:cstheme="minorHAnsi"/>
                <w:szCs w:val="24"/>
                <w:lang w:bidi="es-419"/>
              </w:rPr>
              <w:br/>
            </w:r>
            <w:r w:rsidRPr="001A2D42">
              <w:rPr>
                <w:rFonts w:asciiTheme="minorHAnsi" w:hAnsiTheme="minorHAnsi" w:cstheme="minorHAnsi"/>
                <w:szCs w:val="24"/>
                <w:lang w:bidi="es-419"/>
              </w:rPr>
              <w:t>en millones</w:t>
            </w:r>
          </w:p>
        </w:tc>
        <w:tc>
          <w:tcPr>
            <w:tcW w:w="3117" w:type="dxa"/>
          </w:tcPr>
          <w:p w14:paraId="76217A98" w14:textId="77777777" w:rsidR="00ED698D" w:rsidRPr="001A2D42" w:rsidRDefault="00ED698D"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Porcentaje del total de los pagos PMPM</w:t>
            </w:r>
          </w:p>
        </w:tc>
      </w:tr>
      <w:tr w:rsidR="00E75353" w:rsidRPr="001A2D42" w14:paraId="6C85BF8F" w14:textId="77777777" w:rsidTr="00FB08F7">
        <w:tc>
          <w:tcPr>
            <w:tcW w:w="3116" w:type="dxa"/>
          </w:tcPr>
          <w:p w14:paraId="0F904EEF" w14:textId="4A6B99FB"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2013</w:t>
            </w:r>
          </w:p>
        </w:tc>
        <w:tc>
          <w:tcPr>
            <w:tcW w:w="3117" w:type="dxa"/>
          </w:tcPr>
          <w:p w14:paraId="2E30D13C" w14:textId="10328BC7"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$46.9</w:t>
            </w:r>
          </w:p>
        </w:tc>
        <w:tc>
          <w:tcPr>
            <w:tcW w:w="3117" w:type="dxa"/>
          </w:tcPr>
          <w:p w14:paraId="21D7BD4C" w14:textId="74631F1C"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2%</w:t>
            </w:r>
          </w:p>
        </w:tc>
      </w:tr>
      <w:tr w:rsidR="00E75353" w:rsidRPr="001A2D42" w14:paraId="7F362F81" w14:textId="77777777" w:rsidTr="00FB08F7">
        <w:tc>
          <w:tcPr>
            <w:tcW w:w="3116" w:type="dxa"/>
          </w:tcPr>
          <w:p w14:paraId="4610B8F9" w14:textId="676F80F7"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2014</w:t>
            </w:r>
          </w:p>
        </w:tc>
        <w:tc>
          <w:tcPr>
            <w:tcW w:w="3117" w:type="dxa"/>
          </w:tcPr>
          <w:p w14:paraId="0A951375" w14:textId="45A324A2"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$128</w:t>
            </w:r>
          </w:p>
        </w:tc>
        <w:tc>
          <w:tcPr>
            <w:tcW w:w="3117" w:type="dxa"/>
          </w:tcPr>
          <w:p w14:paraId="141831AB" w14:textId="7E664065" w:rsidR="00E75353" w:rsidRPr="001A2D42" w:rsidRDefault="00E75353" w:rsidP="003B32F9">
            <w:pPr>
              <w:spacing w:before="40" w:after="40" w:line="240" w:lineRule="auto"/>
              <w:rPr>
                <w:rFonts w:asciiTheme="minorHAnsi" w:hAnsiTheme="minorHAnsi" w:cstheme="minorHAnsi"/>
                <w:szCs w:val="24"/>
              </w:rPr>
            </w:pPr>
            <w:r w:rsidRPr="001A2D42">
              <w:rPr>
                <w:rFonts w:asciiTheme="minorHAnsi" w:hAnsiTheme="minorHAnsi" w:cstheme="minorHAnsi"/>
                <w:szCs w:val="24"/>
                <w:lang w:bidi="es-419"/>
              </w:rPr>
              <w:t>3%</w:t>
            </w:r>
          </w:p>
        </w:tc>
      </w:tr>
      <w:tr w:rsidR="00ED698D" w:rsidRPr="001A2D42" w14:paraId="6A15E0FA" w14:textId="77777777" w:rsidTr="00FB08F7">
        <w:tc>
          <w:tcPr>
            <w:tcW w:w="3116" w:type="dxa"/>
          </w:tcPr>
          <w:p w14:paraId="455FC634"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2015</w:t>
            </w:r>
          </w:p>
        </w:tc>
        <w:tc>
          <w:tcPr>
            <w:tcW w:w="3117" w:type="dxa"/>
          </w:tcPr>
          <w:p w14:paraId="06439548"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$168</w:t>
            </w:r>
          </w:p>
        </w:tc>
        <w:tc>
          <w:tcPr>
            <w:tcW w:w="3117" w:type="dxa"/>
          </w:tcPr>
          <w:p w14:paraId="69C29D35"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w:t>
            </w:r>
          </w:p>
        </w:tc>
      </w:tr>
      <w:tr w:rsidR="00ED698D" w:rsidRPr="001A2D42" w14:paraId="478CD1C2" w14:textId="77777777" w:rsidTr="00FB08F7">
        <w:tc>
          <w:tcPr>
            <w:tcW w:w="3116" w:type="dxa"/>
          </w:tcPr>
          <w:p w14:paraId="6464D825"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2016</w:t>
            </w:r>
          </w:p>
        </w:tc>
        <w:tc>
          <w:tcPr>
            <w:tcW w:w="3117" w:type="dxa"/>
          </w:tcPr>
          <w:p w14:paraId="0BC4F0EA"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$178.8</w:t>
            </w:r>
          </w:p>
        </w:tc>
        <w:tc>
          <w:tcPr>
            <w:tcW w:w="3117" w:type="dxa"/>
          </w:tcPr>
          <w:p w14:paraId="1D5B02F2"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ED698D" w:rsidRPr="001A2D42" w14:paraId="137BDB22" w14:textId="77777777" w:rsidTr="00FB08F7">
        <w:tc>
          <w:tcPr>
            <w:tcW w:w="3116" w:type="dxa"/>
          </w:tcPr>
          <w:p w14:paraId="0057E323"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2017</w:t>
            </w:r>
          </w:p>
        </w:tc>
        <w:tc>
          <w:tcPr>
            <w:tcW w:w="3117" w:type="dxa"/>
          </w:tcPr>
          <w:p w14:paraId="46B15928" w14:textId="119099C6"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$178</w:t>
            </w:r>
          </w:p>
        </w:tc>
        <w:tc>
          <w:tcPr>
            <w:tcW w:w="3117" w:type="dxa"/>
          </w:tcPr>
          <w:p w14:paraId="1CB62A27"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ED698D" w:rsidRPr="001A2D42" w14:paraId="005C03D4" w14:textId="77777777" w:rsidTr="00FB08F7">
        <w:tc>
          <w:tcPr>
            <w:tcW w:w="3116" w:type="dxa"/>
          </w:tcPr>
          <w:p w14:paraId="11926D56"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2018</w:t>
            </w:r>
          </w:p>
        </w:tc>
        <w:tc>
          <w:tcPr>
            <w:tcW w:w="3117" w:type="dxa"/>
          </w:tcPr>
          <w:p w14:paraId="397948BF"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$188</w:t>
            </w:r>
          </w:p>
        </w:tc>
        <w:tc>
          <w:tcPr>
            <w:tcW w:w="3117" w:type="dxa"/>
          </w:tcPr>
          <w:p w14:paraId="7CE88C51"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ED698D" w:rsidRPr="001A2D42" w14:paraId="448D1C2D" w14:textId="77777777" w:rsidTr="00FB08F7">
        <w:tc>
          <w:tcPr>
            <w:tcW w:w="3116" w:type="dxa"/>
          </w:tcPr>
          <w:p w14:paraId="650B8DFE"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2019</w:t>
            </w:r>
          </w:p>
        </w:tc>
        <w:tc>
          <w:tcPr>
            <w:tcW w:w="3117" w:type="dxa"/>
          </w:tcPr>
          <w:p w14:paraId="07532909"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$166.7</w:t>
            </w:r>
          </w:p>
        </w:tc>
        <w:tc>
          <w:tcPr>
            <w:tcW w:w="3117" w:type="dxa"/>
          </w:tcPr>
          <w:p w14:paraId="1C5A0561"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3.5%</w:t>
            </w:r>
          </w:p>
        </w:tc>
      </w:tr>
      <w:tr w:rsidR="00ED698D" w:rsidRPr="001A2D42" w14:paraId="11A94010" w14:textId="77777777" w:rsidTr="00FB08F7">
        <w:tc>
          <w:tcPr>
            <w:tcW w:w="3116" w:type="dxa"/>
          </w:tcPr>
          <w:p w14:paraId="747EBE31"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2020</w:t>
            </w:r>
            <w:r w:rsidRPr="001A2D42">
              <w:rPr>
                <w:rStyle w:val="FootnoteReference"/>
                <w:rFonts w:asciiTheme="minorHAnsi" w:hAnsiTheme="minorHAnsi" w:cstheme="minorHAnsi"/>
                <w:color w:val="auto"/>
                <w:szCs w:val="24"/>
                <w:lang w:bidi="es-419"/>
              </w:rPr>
              <w:footnoteReference w:id="14"/>
            </w:r>
          </w:p>
        </w:tc>
        <w:tc>
          <w:tcPr>
            <w:tcW w:w="3117" w:type="dxa"/>
          </w:tcPr>
          <w:p w14:paraId="3D534175"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$52.8</w:t>
            </w:r>
          </w:p>
        </w:tc>
        <w:tc>
          <w:tcPr>
            <w:tcW w:w="3117" w:type="dxa"/>
          </w:tcPr>
          <w:p w14:paraId="3E02EF75"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 (solo el primer trimestre)</w:t>
            </w:r>
          </w:p>
        </w:tc>
      </w:tr>
      <w:tr w:rsidR="00ED698D" w:rsidRPr="001A2D42" w14:paraId="6AC7914E" w14:textId="77777777" w:rsidTr="00FB08F7">
        <w:tc>
          <w:tcPr>
            <w:tcW w:w="3116" w:type="dxa"/>
          </w:tcPr>
          <w:p w14:paraId="250B5026"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2021</w:t>
            </w:r>
          </w:p>
        </w:tc>
        <w:tc>
          <w:tcPr>
            <w:tcW w:w="3117" w:type="dxa"/>
          </w:tcPr>
          <w:p w14:paraId="3E0E8D55" w14:textId="77A45E39"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$266</w:t>
            </w:r>
          </w:p>
        </w:tc>
        <w:tc>
          <w:tcPr>
            <w:tcW w:w="3117" w:type="dxa"/>
          </w:tcPr>
          <w:p w14:paraId="4F50D350"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3.75%</w:t>
            </w:r>
          </w:p>
        </w:tc>
      </w:tr>
      <w:tr w:rsidR="00ED698D" w:rsidRPr="001A2D42" w14:paraId="0C3A57C0" w14:textId="77777777" w:rsidTr="00FB08F7">
        <w:tc>
          <w:tcPr>
            <w:tcW w:w="3116" w:type="dxa"/>
          </w:tcPr>
          <w:p w14:paraId="051E5719"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2022</w:t>
            </w:r>
          </w:p>
        </w:tc>
        <w:tc>
          <w:tcPr>
            <w:tcW w:w="3117" w:type="dxa"/>
          </w:tcPr>
          <w:p w14:paraId="78001400"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$300.8</w:t>
            </w:r>
          </w:p>
        </w:tc>
        <w:tc>
          <w:tcPr>
            <w:tcW w:w="3117" w:type="dxa"/>
          </w:tcPr>
          <w:p w14:paraId="360C2D80"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ED698D" w:rsidRPr="001A2D42" w14:paraId="471C187E" w14:textId="77777777" w:rsidTr="00FB08F7">
        <w:tc>
          <w:tcPr>
            <w:tcW w:w="3116" w:type="dxa"/>
          </w:tcPr>
          <w:p w14:paraId="354528D5"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2023</w:t>
            </w:r>
          </w:p>
        </w:tc>
        <w:tc>
          <w:tcPr>
            <w:tcW w:w="3117" w:type="dxa"/>
          </w:tcPr>
          <w:p w14:paraId="393C432E" w14:textId="77777777" w:rsidR="00ED698D" w:rsidRPr="001A2D42" w:rsidRDefault="00ED698D" w:rsidP="003B32F9">
            <w:pPr>
              <w:spacing w:before="40" w:after="40" w:line="240" w:lineRule="auto"/>
              <w:rPr>
                <w:rFonts w:asciiTheme="minorHAnsi" w:hAnsiTheme="minorHAnsi" w:cstheme="minorBidi"/>
                <w:color w:val="auto"/>
                <w:szCs w:val="24"/>
              </w:rPr>
            </w:pPr>
            <w:r w:rsidRPr="001A2D42">
              <w:rPr>
                <w:rFonts w:asciiTheme="minorHAnsi" w:hAnsiTheme="minorHAnsi" w:cstheme="minorBidi"/>
                <w:color w:val="auto"/>
                <w:szCs w:val="24"/>
                <w:lang w:bidi="es-419"/>
              </w:rPr>
              <w:t>$327</w:t>
            </w:r>
          </w:p>
        </w:tc>
        <w:tc>
          <w:tcPr>
            <w:tcW w:w="3117" w:type="dxa"/>
          </w:tcPr>
          <w:p w14:paraId="57EA0058"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ED698D" w:rsidRPr="001A2D42" w14:paraId="12AF7E05" w14:textId="77777777" w:rsidTr="00FB08F7">
        <w:tc>
          <w:tcPr>
            <w:tcW w:w="3116" w:type="dxa"/>
          </w:tcPr>
          <w:p w14:paraId="1BE48287"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2024</w:t>
            </w:r>
          </w:p>
        </w:tc>
        <w:tc>
          <w:tcPr>
            <w:tcW w:w="3117" w:type="dxa"/>
          </w:tcPr>
          <w:p w14:paraId="287025F9"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$325</w:t>
            </w:r>
          </w:p>
        </w:tc>
        <w:tc>
          <w:tcPr>
            <w:tcW w:w="3117" w:type="dxa"/>
          </w:tcPr>
          <w:p w14:paraId="716D8C62" w14:textId="77777777" w:rsidR="00ED698D" w:rsidRPr="001A2D42" w:rsidRDefault="00ED698D" w:rsidP="003B32F9">
            <w:pPr>
              <w:spacing w:before="40" w:after="40" w:line="240" w:lineRule="auto"/>
              <w:rPr>
                <w:rFonts w:asciiTheme="minorHAnsi" w:hAnsiTheme="minorHAnsi" w:cstheme="minorHAnsi"/>
                <w:color w:val="auto"/>
                <w:szCs w:val="24"/>
              </w:rPr>
            </w:pPr>
            <w:r w:rsidRPr="001A2D42">
              <w:rPr>
                <w:rFonts w:asciiTheme="minorHAnsi" w:hAnsiTheme="minorHAnsi" w:cstheme="minorHAnsi"/>
                <w:color w:val="auto"/>
                <w:szCs w:val="24"/>
                <w:lang w:bidi="es-419"/>
              </w:rPr>
              <w:t>4.25%</w:t>
            </w:r>
          </w:p>
        </w:tc>
      </w:tr>
      <w:tr w:rsidR="00467A0C" w:rsidRPr="001A2D42" w14:paraId="361ABA08" w14:textId="77777777" w:rsidTr="00FB08F7">
        <w:tc>
          <w:tcPr>
            <w:tcW w:w="3116" w:type="dxa"/>
          </w:tcPr>
          <w:p w14:paraId="0B23D1BE" w14:textId="1C595716" w:rsidR="00467A0C" w:rsidRPr="001A2D42" w:rsidRDefault="00467A0C" w:rsidP="003B32F9">
            <w:pPr>
              <w:spacing w:before="40" w:after="40" w:line="240" w:lineRule="auto"/>
              <w:rPr>
                <w:rFonts w:asciiTheme="minorHAnsi" w:hAnsiTheme="minorHAnsi"/>
                <w:szCs w:val="24"/>
              </w:rPr>
            </w:pPr>
            <w:r w:rsidRPr="001A2D42">
              <w:rPr>
                <w:rFonts w:asciiTheme="minorHAnsi" w:hAnsiTheme="minorHAnsi"/>
                <w:szCs w:val="24"/>
                <w:lang w:bidi="es-419"/>
              </w:rPr>
              <w:t>2025</w:t>
            </w:r>
          </w:p>
        </w:tc>
        <w:tc>
          <w:tcPr>
            <w:tcW w:w="3117" w:type="dxa"/>
          </w:tcPr>
          <w:p w14:paraId="78322A48" w14:textId="4D901BA2" w:rsidR="00467A0C" w:rsidRPr="001A2D42" w:rsidRDefault="00467A0C" w:rsidP="003B32F9">
            <w:pPr>
              <w:spacing w:before="40" w:after="40" w:line="240" w:lineRule="auto"/>
              <w:rPr>
                <w:rFonts w:asciiTheme="minorHAnsi" w:hAnsiTheme="minorHAnsi"/>
                <w:szCs w:val="24"/>
              </w:rPr>
            </w:pPr>
            <w:r w:rsidRPr="001A2D42">
              <w:rPr>
                <w:rFonts w:asciiTheme="minorHAnsi" w:hAnsiTheme="minorHAnsi"/>
                <w:szCs w:val="24"/>
                <w:lang w:bidi="es-419"/>
              </w:rPr>
              <w:t>$238</w:t>
            </w:r>
          </w:p>
        </w:tc>
        <w:tc>
          <w:tcPr>
            <w:tcW w:w="3117" w:type="dxa"/>
          </w:tcPr>
          <w:p w14:paraId="378CF834" w14:textId="70837510" w:rsidR="00467A0C" w:rsidRPr="001A2D42" w:rsidRDefault="00467A0C" w:rsidP="003B32F9">
            <w:pPr>
              <w:spacing w:before="40" w:after="40" w:line="240" w:lineRule="auto"/>
              <w:rPr>
                <w:rFonts w:asciiTheme="minorHAnsi" w:hAnsiTheme="minorHAnsi"/>
                <w:szCs w:val="24"/>
              </w:rPr>
            </w:pPr>
            <w:r w:rsidRPr="001A2D42">
              <w:rPr>
                <w:rFonts w:asciiTheme="minorHAnsi" w:hAnsiTheme="minorHAnsi"/>
                <w:szCs w:val="24"/>
                <w:lang w:bidi="es-419"/>
              </w:rPr>
              <w:t>3%</w:t>
            </w:r>
          </w:p>
        </w:tc>
      </w:tr>
    </w:tbl>
    <w:p w14:paraId="71824760" w14:textId="77777777" w:rsidR="00ED698D" w:rsidRPr="001A2D42" w:rsidRDefault="00ED698D" w:rsidP="003B32F9">
      <w:pPr>
        <w:pStyle w:val="Heading3"/>
        <w:spacing w:before="360" w:line="240" w:lineRule="auto"/>
      </w:pPr>
      <w:r w:rsidRPr="001A2D42">
        <w:rPr>
          <w:lang w:bidi="es-419"/>
        </w:rPr>
        <w:t>Fase 1: fondo de incentivos por calidad</w:t>
      </w:r>
    </w:p>
    <w:p w14:paraId="4B0AAB5B" w14:textId="786A7FBB" w:rsidR="00ED698D" w:rsidRPr="001A2D42" w:rsidRDefault="00ED698D" w:rsidP="003B32F9">
      <w:pPr>
        <w:pStyle w:val="Heading4"/>
        <w:spacing w:line="240" w:lineRule="auto"/>
      </w:pPr>
      <w:r w:rsidRPr="001A2D42">
        <w:rPr>
          <w:lang w:bidi="es-419"/>
        </w:rPr>
        <w:t xml:space="preserve">Las CCO no tienen que cumplir con todas las medidas de incentivos para obtener el </w:t>
      </w:r>
      <w:r w:rsidR="00FB08F7">
        <w:rPr>
          <w:lang w:bidi="es-419"/>
        </w:rPr>
        <w:br/>
      </w:r>
      <w:r w:rsidRPr="001A2D42">
        <w:rPr>
          <w:lang w:bidi="es-419"/>
        </w:rPr>
        <w:t>100% del fondo de incentivos por calidad.</w:t>
      </w:r>
    </w:p>
    <w:p w14:paraId="735C97EC" w14:textId="7CD33876" w:rsidR="00ED698D" w:rsidRPr="001A2D42" w:rsidRDefault="00ED698D" w:rsidP="003B32F9">
      <w:pPr>
        <w:spacing w:line="240" w:lineRule="auto"/>
        <w:rPr>
          <w:b/>
          <w:color w:val="156082" w:themeColor="accent1"/>
          <w:sz w:val="20"/>
          <w:szCs w:val="18"/>
        </w:rPr>
      </w:pPr>
      <w:r w:rsidRPr="001A2D42">
        <w:rPr>
          <w:lang w:bidi="es-419"/>
        </w:rPr>
        <w:t>Las CCO obtienen el 100% de su fondo de incentivos por calidad al cumplir con el punto de referencia o el objetivo de mejora para el 75% de los indicadores de incentivos (10 de 13 indicadores en 2025). Para las CCO que cumplen con menos del 75% de las medidas de incentivos, los pagos del fondo de incentivos por calidad se reducen en un porcentaje establecido (consulte la tabla a continuación).</w:t>
      </w:r>
    </w:p>
    <w:p w14:paraId="38B0D793" w14:textId="734AE490" w:rsidR="00D0122A" w:rsidRPr="001A2D42" w:rsidRDefault="00D0122A" w:rsidP="003B32F9">
      <w:pPr>
        <w:pStyle w:val="Heading5"/>
        <w:spacing w:line="240" w:lineRule="auto"/>
      </w:pPr>
      <w:r w:rsidRPr="001A2D42">
        <w:rPr>
          <w:lang w:bidi="es-419"/>
        </w:rPr>
        <w:lastRenderedPageBreak/>
        <w:t>Tabla 2: número de medidas que las CCO deben cumplir para obtener un porcentaje del fondo de incentivos por calidad.</w:t>
      </w:r>
    </w:p>
    <w:tbl>
      <w:tblPr>
        <w:tblStyle w:val="HPAGridTable"/>
        <w:tblW w:w="0" w:type="auto"/>
        <w:tblLook w:val="0620" w:firstRow="1" w:lastRow="0" w:firstColumn="0" w:lastColumn="0" w:noHBand="1" w:noVBand="1"/>
      </w:tblPr>
      <w:tblGrid>
        <w:gridCol w:w="4495"/>
        <w:gridCol w:w="4855"/>
      </w:tblGrid>
      <w:tr w:rsidR="00D0122A" w:rsidRPr="001A2D42" w14:paraId="5285714B" w14:textId="77777777" w:rsidTr="007403AF">
        <w:trPr>
          <w:cnfStyle w:val="100000000000" w:firstRow="1" w:lastRow="0" w:firstColumn="0" w:lastColumn="0" w:oddVBand="0" w:evenVBand="0" w:oddHBand="0" w:evenHBand="0" w:firstRowFirstColumn="0" w:firstRowLastColumn="0" w:lastRowFirstColumn="0" w:lastRowLastColumn="0"/>
          <w:tblHeader/>
        </w:trPr>
        <w:tc>
          <w:tcPr>
            <w:tcW w:w="4495" w:type="dxa"/>
          </w:tcPr>
          <w:p w14:paraId="6A6F4D0D" w14:textId="2299ED3A" w:rsidR="00D0122A" w:rsidRPr="001A2D42" w:rsidRDefault="00D0122A" w:rsidP="003B32F9">
            <w:pPr>
              <w:spacing w:before="40" w:after="40" w:line="240" w:lineRule="auto"/>
              <w:rPr>
                <w:rStyle w:val="Heading5Char"/>
                <w:rFonts w:hint="eastAsia"/>
              </w:rPr>
            </w:pPr>
            <w:r w:rsidRPr="001A2D42">
              <w:rPr>
                <w:rFonts w:asciiTheme="minorHAnsi" w:hAnsiTheme="minorHAnsi" w:cstheme="minorHAnsi"/>
                <w:color w:val="E8E8E8" w:themeColor="background2"/>
                <w:lang w:bidi="es-419"/>
              </w:rPr>
              <w:t>Número de medidas cumplidas (de 13)</w:t>
            </w:r>
          </w:p>
        </w:tc>
        <w:tc>
          <w:tcPr>
            <w:tcW w:w="4855" w:type="dxa"/>
          </w:tcPr>
          <w:p w14:paraId="4AEBC8DC" w14:textId="28B3205F" w:rsidR="00D0122A" w:rsidRPr="001A2D42" w:rsidRDefault="00D0122A" w:rsidP="003B32F9">
            <w:pPr>
              <w:spacing w:before="40" w:after="40" w:line="240" w:lineRule="auto"/>
              <w:rPr>
                <w:rStyle w:val="Heading5Char"/>
                <w:rFonts w:hint="eastAsia"/>
              </w:rPr>
            </w:pPr>
            <w:r w:rsidRPr="001A2D42">
              <w:rPr>
                <w:rFonts w:asciiTheme="minorHAnsi" w:hAnsiTheme="minorHAnsi" w:cstheme="minorHAnsi"/>
                <w:color w:val="E8E8E8" w:themeColor="background2"/>
                <w:lang w:bidi="es-419"/>
              </w:rPr>
              <w:t xml:space="preserve">Porcentaje del fondo de incentivos </w:t>
            </w:r>
            <w:r w:rsidR="00FB08F7">
              <w:rPr>
                <w:rFonts w:asciiTheme="minorHAnsi" w:hAnsiTheme="minorHAnsi" w:cstheme="minorHAnsi"/>
                <w:color w:val="E8E8E8" w:themeColor="background2"/>
                <w:lang w:bidi="es-419"/>
              </w:rPr>
              <w:br/>
            </w:r>
            <w:r w:rsidRPr="001A2D42">
              <w:rPr>
                <w:rFonts w:asciiTheme="minorHAnsi" w:hAnsiTheme="minorHAnsi" w:cstheme="minorHAnsi"/>
                <w:color w:val="E8E8E8" w:themeColor="background2"/>
                <w:lang w:bidi="es-419"/>
              </w:rPr>
              <w:t>por calidad</w:t>
            </w:r>
          </w:p>
        </w:tc>
      </w:tr>
      <w:tr w:rsidR="00D0122A" w:rsidRPr="001A2D42" w14:paraId="44F28D7F" w14:textId="77777777" w:rsidTr="007403AF">
        <w:tc>
          <w:tcPr>
            <w:tcW w:w="4495" w:type="dxa"/>
          </w:tcPr>
          <w:p w14:paraId="64582E20" w14:textId="4F3395D6"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10</w:t>
            </w:r>
          </w:p>
        </w:tc>
        <w:tc>
          <w:tcPr>
            <w:tcW w:w="4855" w:type="dxa"/>
          </w:tcPr>
          <w:p w14:paraId="25EE6056" w14:textId="09081653"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100%</w:t>
            </w:r>
          </w:p>
        </w:tc>
      </w:tr>
      <w:tr w:rsidR="00D0122A" w:rsidRPr="001A2D42" w14:paraId="7FF08AD5" w14:textId="77777777" w:rsidTr="007403AF">
        <w:tc>
          <w:tcPr>
            <w:tcW w:w="4495" w:type="dxa"/>
          </w:tcPr>
          <w:p w14:paraId="282B1B34" w14:textId="2A5D34A6"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9</w:t>
            </w:r>
          </w:p>
        </w:tc>
        <w:tc>
          <w:tcPr>
            <w:tcW w:w="4855" w:type="dxa"/>
          </w:tcPr>
          <w:p w14:paraId="18BF5A1B" w14:textId="54B99CDE"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90%</w:t>
            </w:r>
          </w:p>
        </w:tc>
      </w:tr>
      <w:tr w:rsidR="00D0122A" w:rsidRPr="001A2D42" w14:paraId="5E352F0A" w14:textId="77777777" w:rsidTr="007403AF">
        <w:tc>
          <w:tcPr>
            <w:tcW w:w="4495" w:type="dxa"/>
          </w:tcPr>
          <w:p w14:paraId="4A0B0317" w14:textId="6FC3E54F"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8</w:t>
            </w:r>
          </w:p>
        </w:tc>
        <w:tc>
          <w:tcPr>
            <w:tcW w:w="4855" w:type="dxa"/>
          </w:tcPr>
          <w:p w14:paraId="238270FC" w14:textId="494100C8"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80%</w:t>
            </w:r>
          </w:p>
        </w:tc>
      </w:tr>
      <w:tr w:rsidR="00D0122A" w:rsidRPr="001A2D42" w14:paraId="068B346B" w14:textId="77777777" w:rsidTr="007403AF">
        <w:tc>
          <w:tcPr>
            <w:tcW w:w="4495" w:type="dxa"/>
          </w:tcPr>
          <w:p w14:paraId="395A7504" w14:textId="5DC7E6E0"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7</w:t>
            </w:r>
          </w:p>
        </w:tc>
        <w:tc>
          <w:tcPr>
            <w:tcW w:w="4855" w:type="dxa"/>
          </w:tcPr>
          <w:p w14:paraId="5E47E0E2" w14:textId="58F100A1"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70%</w:t>
            </w:r>
          </w:p>
        </w:tc>
      </w:tr>
      <w:tr w:rsidR="00D0122A" w:rsidRPr="001A2D42" w14:paraId="0E83085D" w14:textId="77777777" w:rsidTr="007403AF">
        <w:tc>
          <w:tcPr>
            <w:tcW w:w="4495" w:type="dxa"/>
          </w:tcPr>
          <w:p w14:paraId="25669915" w14:textId="30B217DA"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6</w:t>
            </w:r>
          </w:p>
        </w:tc>
        <w:tc>
          <w:tcPr>
            <w:tcW w:w="4855" w:type="dxa"/>
          </w:tcPr>
          <w:p w14:paraId="6C0B748C" w14:textId="3B49C73C"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60%</w:t>
            </w:r>
          </w:p>
        </w:tc>
      </w:tr>
      <w:tr w:rsidR="00D0122A" w:rsidRPr="001A2D42" w14:paraId="01DE697B" w14:textId="77777777" w:rsidTr="007403AF">
        <w:tc>
          <w:tcPr>
            <w:tcW w:w="4495" w:type="dxa"/>
          </w:tcPr>
          <w:p w14:paraId="53E481AB" w14:textId="186D15C0"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5</w:t>
            </w:r>
          </w:p>
        </w:tc>
        <w:tc>
          <w:tcPr>
            <w:tcW w:w="4855" w:type="dxa"/>
          </w:tcPr>
          <w:p w14:paraId="004F6B92" w14:textId="2BE82F22"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50%</w:t>
            </w:r>
          </w:p>
        </w:tc>
      </w:tr>
      <w:tr w:rsidR="00D0122A" w:rsidRPr="001A2D42" w14:paraId="57C61629" w14:textId="77777777" w:rsidTr="007403AF">
        <w:tc>
          <w:tcPr>
            <w:tcW w:w="4495" w:type="dxa"/>
          </w:tcPr>
          <w:p w14:paraId="4C8131F5" w14:textId="0564F0AA"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4</w:t>
            </w:r>
          </w:p>
        </w:tc>
        <w:tc>
          <w:tcPr>
            <w:tcW w:w="4855" w:type="dxa"/>
          </w:tcPr>
          <w:p w14:paraId="1366548B" w14:textId="0C715DE9"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40%</w:t>
            </w:r>
          </w:p>
        </w:tc>
      </w:tr>
      <w:tr w:rsidR="00D0122A" w:rsidRPr="001A2D42" w14:paraId="112B9B0B" w14:textId="77777777" w:rsidTr="007403AF">
        <w:tc>
          <w:tcPr>
            <w:tcW w:w="4495" w:type="dxa"/>
          </w:tcPr>
          <w:p w14:paraId="654D0F8A" w14:textId="742C774D"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3</w:t>
            </w:r>
          </w:p>
        </w:tc>
        <w:tc>
          <w:tcPr>
            <w:tcW w:w="4855" w:type="dxa"/>
          </w:tcPr>
          <w:p w14:paraId="585A0982" w14:textId="68E9C5FF"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30%</w:t>
            </w:r>
          </w:p>
        </w:tc>
      </w:tr>
      <w:tr w:rsidR="00D0122A" w:rsidRPr="001A2D42" w14:paraId="2F479892" w14:textId="77777777" w:rsidTr="007403AF">
        <w:tc>
          <w:tcPr>
            <w:tcW w:w="4495" w:type="dxa"/>
          </w:tcPr>
          <w:p w14:paraId="50E7AE2A" w14:textId="6B5DBFBF"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2</w:t>
            </w:r>
          </w:p>
        </w:tc>
        <w:tc>
          <w:tcPr>
            <w:tcW w:w="4855" w:type="dxa"/>
          </w:tcPr>
          <w:p w14:paraId="631171CC" w14:textId="0691E2C0"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20%</w:t>
            </w:r>
          </w:p>
        </w:tc>
      </w:tr>
      <w:tr w:rsidR="00D0122A" w:rsidRPr="001A2D42" w14:paraId="1D25A5EB" w14:textId="77777777" w:rsidTr="007403AF">
        <w:tc>
          <w:tcPr>
            <w:tcW w:w="4495" w:type="dxa"/>
          </w:tcPr>
          <w:p w14:paraId="68B4DD5F" w14:textId="25B483A5"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Al menos 1</w:t>
            </w:r>
          </w:p>
        </w:tc>
        <w:tc>
          <w:tcPr>
            <w:tcW w:w="4855" w:type="dxa"/>
          </w:tcPr>
          <w:p w14:paraId="7D9D7886" w14:textId="192B04A5"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10%</w:t>
            </w:r>
          </w:p>
        </w:tc>
      </w:tr>
      <w:tr w:rsidR="00D0122A" w:rsidRPr="001A2D42" w14:paraId="1713DCF1" w14:textId="77777777" w:rsidTr="007403AF">
        <w:tc>
          <w:tcPr>
            <w:tcW w:w="4495" w:type="dxa"/>
          </w:tcPr>
          <w:p w14:paraId="485AD7F3" w14:textId="225DEE28"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0</w:t>
            </w:r>
          </w:p>
        </w:tc>
        <w:tc>
          <w:tcPr>
            <w:tcW w:w="4855" w:type="dxa"/>
          </w:tcPr>
          <w:p w14:paraId="601B6C3A" w14:textId="08864190" w:rsidR="00D0122A" w:rsidRPr="001A2D42" w:rsidRDefault="00D0122A" w:rsidP="003B32F9">
            <w:pPr>
              <w:spacing w:before="40" w:after="40" w:line="240" w:lineRule="auto"/>
              <w:rPr>
                <w:rStyle w:val="Heading5Char"/>
                <w:rFonts w:asciiTheme="minorHAnsi" w:hAnsiTheme="minorHAnsi"/>
                <w:color w:val="auto"/>
              </w:rPr>
            </w:pPr>
            <w:r w:rsidRPr="001A2D42">
              <w:rPr>
                <w:rFonts w:asciiTheme="minorHAnsi" w:hAnsiTheme="minorHAnsi"/>
                <w:lang w:bidi="es-419"/>
              </w:rPr>
              <w:t>Sin pago del fondo de incentivos por calidad</w:t>
            </w:r>
          </w:p>
        </w:tc>
      </w:tr>
    </w:tbl>
    <w:p w14:paraId="70B25690" w14:textId="1D6BD174" w:rsidR="00226EA5" w:rsidRPr="001A2D42" w:rsidRDefault="00ED698D" w:rsidP="003B32F9">
      <w:pPr>
        <w:spacing w:before="360" w:line="240" w:lineRule="auto"/>
        <w:rPr>
          <w:noProof/>
        </w:rPr>
      </w:pPr>
      <w:r w:rsidRPr="001A2D42">
        <w:rPr>
          <w:rStyle w:val="Heading5Char"/>
          <w:lang w:bidi="es-419"/>
        </w:rPr>
        <w:t xml:space="preserve">La proporción de las CCO que cumplieron con el 90% al 100%, el 75 al 89% y menos del 75% de las medidas por año </w:t>
      </w:r>
      <w:r w:rsidRPr="001A2D42">
        <w:rPr>
          <w:rStyle w:val="FootnoteReference"/>
          <w:sz w:val="22"/>
          <w:lang w:bidi="es-419"/>
        </w:rPr>
        <w:footnoteReference w:id="15"/>
      </w:r>
      <w:r w:rsidR="004F086A" w:rsidRPr="001A2D42">
        <w:rPr>
          <w:noProof/>
          <w:lang w:bidi="es-419"/>
        </w:rPr>
        <w:drawing>
          <wp:inline distT="0" distB="0" distL="0" distR="0" wp14:anchorId="158742C3" wp14:editId="04375541">
            <wp:extent cx="5943600" cy="2781300"/>
            <wp:effectExtent l="0" t="0" r="0" b="0"/>
            <wp:docPr id="733409225" name="Chart 1" descr="Area chart for proportion of CCOs who met 90-100%, 75-89% and less than 75% of measures from 2013 to 2025. 2020 is not in this chart. In 2020, all benchmarks were changed to report only, which all CCOs met.">
              <a:extLst xmlns:a="http://schemas.openxmlformats.org/drawingml/2006/main">
                <a:ext uri="{FF2B5EF4-FFF2-40B4-BE49-F238E27FC236}">
                  <a16:creationId xmlns:a16="http://schemas.microsoft.com/office/drawing/2014/main" id="{26F6257E-E2C5-4A47-9A0D-1902241A9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0ED0F56" w14:textId="77777777" w:rsidR="00ED698D" w:rsidRPr="001A2D42" w:rsidRDefault="00ED698D" w:rsidP="003B32F9">
      <w:pPr>
        <w:pStyle w:val="Heading3"/>
        <w:spacing w:line="240" w:lineRule="auto"/>
      </w:pPr>
      <w:r w:rsidRPr="001A2D42">
        <w:rPr>
          <w:shd w:val="clear" w:color="auto" w:fill="FFFFFF"/>
          <w:lang w:bidi="es-419"/>
        </w:rPr>
        <w:lastRenderedPageBreak/>
        <w:t>Fase 2: fondo de incentivos por desafíos</w:t>
      </w:r>
    </w:p>
    <w:p w14:paraId="253B6572" w14:textId="77777777" w:rsidR="00DA1168" w:rsidRDefault="00ED698D" w:rsidP="00DA1168">
      <w:pPr>
        <w:spacing w:before="120" w:after="240" w:line="240" w:lineRule="auto"/>
        <w:rPr>
          <w:lang w:bidi="es-419"/>
        </w:rPr>
      </w:pPr>
      <w:r w:rsidRPr="001A2D42">
        <w:rPr>
          <w:lang w:bidi="es-419"/>
        </w:rPr>
        <w:t>Los fondos no derivados del fondo de incentivos por calidad</w:t>
      </w:r>
      <w:r w:rsidR="00916005">
        <w:rPr>
          <w:lang w:bidi="es-419"/>
        </w:rPr>
        <w:t xml:space="preserve"> </w:t>
      </w:r>
      <w:r w:rsidRPr="001A2D42">
        <w:rPr>
          <w:lang w:bidi="es-419"/>
        </w:rPr>
        <w:t xml:space="preserve">se transfieren al fondo de incentivos por desafíos. Todas las CCO pueden obtener fondos adicionales a través </w:t>
      </w:r>
      <w:r w:rsidR="00FB08F7">
        <w:rPr>
          <w:lang w:bidi="es-419"/>
        </w:rPr>
        <w:br/>
      </w:r>
      <w:r w:rsidRPr="001A2D42">
        <w:rPr>
          <w:lang w:bidi="es-419"/>
        </w:rPr>
        <w:t>del fondo de incentivos por desafíos. Para obtener fondos del fondo de incentivos por desafíos, las CCO deben cumplir con un subconjunto de medidas de incentivos.</w:t>
      </w:r>
    </w:p>
    <w:p w14:paraId="40FB58F9" w14:textId="724A3E0D" w:rsidR="00072FA7" w:rsidRPr="001A2D42" w:rsidRDefault="00ED698D" w:rsidP="00DA1168">
      <w:pPr>
        <w:spacing w:before="120" w:after="240" w:line="240" w:lineRule="auto"/>
        <w:rPr>
          <w:rStyle w:val="Heading3Char"/>
          <w:sz w:val="22"/>
          <w:szCs w:val="22"/>
        </w:rPr>
      </w:pPr>
      <w:r w:rsidRPr="001A2D42">
        <w:rPr>
          <w:rStyle w:val="Heading4Char"/>
          <w:lang w:bidi="es-419"/>
        </w:rPr>
        <w:t>En 2025, el fondo de incentivos por desafíos cubrió varias áreas.</w:t>
      </w:r>
    </w:p>
    <w:p w14:paraId="65663EE5" w14:textId="5EBAD7F2" w:rsidR="00ED698D" w:rsidRPr="001A2D42" w:rsidRDefault="00ED698D" w:rsidP="003B32F9">
      <w:pPr>
        <w:spacing w:before="120" w:after="240" w:line="240" w:lineRule="auto"/>
      </w:pPr>
      <w:r w:rsidRPr="001A2D42">
        <w:rPr>
          <w:szCs w:val="20"/>
          <w:lang w:bidi="es-419"/>
        </w:rPr>
        <w:t xml:space="preserve">Los fondos del fondo de incentivos por desafíos se distribuyeron a las CCO según su rendimiento en cada uno de los 4 indicadores del fondo de incentivos por desafíos: </w:t>
      </w:r>
    </w:p>
    <w:p w14:paraId="1E87B142" w14:textId="77777777" w:rsidR="00ED698D" w:rsidRPr="001A2D42" w:rsidRDefault="00ED698D" w:rsidP="003B32F9">
      <w:pPr>
        <w:pStyle w:val="BodyTextindent"/>
        <w:numPr>
          <w:ilvl w:val="0"/>
          <w:numId w:val="6"/>
        </w:numPr>
        <w:spacing w:before="120" w:after="120" w:line="240" w:lineRule="auto"/>
        <w:ind w:left="720" w:right="0"/>
        <w:rPr>
          <w:rFonts w:asciiTheme="minorHAnsi" w:hAnsiTheme="minorHAnsi"/>
          <w:color w:val="auto"/>
          <w:szCs w:val="24"/>
        </w:rPr>
      </w:pPr>
      <w:r w:rsidRPr="001A2D42">
        <w:rPr>
          <w:rFonts w:asciiTheme="minorHAnsi" w:hAnsiTheme="minorHAnsi"/>
          <w:color w:val="auto"/>
          <w:szCs w:val="24"/>
          <w:lang w:bidi="es-419"/>
        </w:rPr>
        <w:t>Visitas de bienestar para niños y adolescentes (de 3 a 6 años de edad).</w:t>
      </w:r>
    </w:p>
    <w:p w14:paraId="56A7F130" w14:textId="165F3F5C" w:rsidR="00ED698D" w:rsidRPr="001A2D42" w:rsidRDefault="00072FA7" w:rsidP="003B32F9">
      <w:pPr>
        <w:pStyle w:val="BodyTextindent"/>
        <w:numPr>
          <w:ilvl w:val="0"/>
          <w:numId w:val="6"/>
        </w:numPr>
        <w:spacing w:before="120" w:after="120" w:line="240" w:lineRule="auto"/>
        <w:ind w:left="720" w:right="0"/>
        <w:rPr>
          <w:rFonts w:asciiTheme="minorHAnsi" w:hAnsiTheme="minorHAnsi"/>
          <w:color w:val="auto"/>
          <w:szCs w:val="24"/>
        </w:rPr>
      </w:pPr>
      <w:r w:rsidRPr="001A2D42">
        <w:rPr>
          <w:rFonts w:asciiTheme="minorHAnsi" w:hAnsiTheme="minorHAnsi"/>
          <w:color w:val="auto"/>
          <w:szCs w:val="24"/>
          <w:lang w:bidi="es-419"/>
        </w:rPr>
        <w:t>Cuidados de la diabetes: control deficiente de la hemoglobina A1c (HbA1c).</w:t>
      </w:r>
    </w:p>
    <w:p w14:paraId="4E4B76D2" w14:textId="401A3BAB" w:rsidR="00072FA7" w:rsidRPr="001A2D42" w:rsidRDefault="00072FA7" w:rsidP="003B32F9">
      <w:pPr>
        <w:pStyle w:val="BodyTextindent"/>
        <w:numPr>
          <w:ilvl w:val="0"/>
          <w:numId w:val="6"/>
        </w:numPr>
        <w:spacing w:before="120" w:after="120" w:line="240" w:lineRule="auto"/>
        <w:ind w:left="720" w:right="0"/>
        <w:rPr>
          <w:rStyle w:val="Heading3Char"/>
          <w:rFonts w:asciiTheme="minorHAnsi" w:hAnsiTheme="minorHAnsi"/>
          <w:color w:val="auto"/>
          <w:sz w:val="24"/>
          <w:szCs w:val="24"/>
        </w:rPr>
      </w:pPr>
      <w:r w:rsidRPr="001A2D42">
        <w:rPr>
          <w:rFonts w:asciiTheme="minorHAnsi" w:hAnsiTheme="minorHAnsi"/>
          <w:color w:val="auto"/>
          <w:szCs w:val="24"/>
          <w:lang w:bidi="es-419"/>
        </w:rPr>
        <w:t>Cuidados prenatales y posparto: cuidados posparto.</w:t>
      </w:r>
    </w:p>
    <w:p w14:paraId="03DCB1D5" w14:textId="0D1D2342" w:rsidR="00ED698D" w:rsidRPr="001A2D42" w:rsidRDefault="00ED698D" w:rsidP="003B32F9">
      <w:pPr>
        <w:pStyle w:val="BodyTextindent"/>
        <w:numPr>
          <w:ilvl w:val="0"/>
          <w:numId w:val="6"/>
        </w:numPr>
        <w:spacing w:before="120" w:after="120" w:line="240" w:lineRule="auto"/>
        <w:ind w:left="720" w:right="0"/>
        <w:rPr>
          <w:rFonts w:asciiTheme="minorHAnsi" w:hAnsiTheme="minorHAnsi"/>
          <w:color w:val="auto"/>
          <w:szCs w:val="24"/>
        </w:rPr>
      </w:pPr>
      <w:r w:rsidRPr="001A2D42">
        <w:rPr>
          <w:rFonts w:asciiTheme="minorHAnsi" w:hAnsiTheme="minorHAnsi"/>
          <w:color w:val="auto"/>
          <w:szCs w:val="24"/>
          <w:lang w:bidi="es-419"/>
        </w:rPr>
        <w:t>Servicios de salud dental o bucal preventivos (niños de 1 a 5 años y de 6 a 14 años de edad).</w:t>
      </w:r>
    </w:p>
    <w:p w14:paraId="5E366A5B" w14:textId="360B83A7" w:rsidR="00AE31EC" w:rsidRPr="001A2D42" w:rsidRDefault="00ED698D" w:rsidP="003B32F9">
      <w:pPr>
        <w:spacing w:before="240" w:after="120" w:line="240" w:lineRule="auto"/>
        <w:rPr>
          <w:rStyle w:val="Heading4Char"/>
          <w:rFonts w:eastAsiaTheme="minorHAnsi" w:cstheme="minorBidi"/>
          <w:color w:val="auto"/>
          <w:sz w:val="22"/>
        </w:rPr>
      </w:pPr>
      <w:r w:rsidRPr="001A2D42">
        <w:rPr>
          <w:szCs w:val="24"/>
          <w:lang w:bidi="es-419"/>
        </w:rPr>
        <w:t xml:space="preserve">Los fondos del fondo de incentivos por desafíos se distribuyen en proporciones iguales según la cantidad de veces que se cumplen las medidas del fondo de incentivos por desafíos. Para obtener más información, consulte la </w:t>
      </w:r>
      <w:hyperlink r:id="rId64" w:history="1">
        <w:r w:rsidRPr="001A2D42">
          <w:rPr>
            <w:rStyle w:val="Hyperlink"/>
            <w:lang w:bidi="es-419"/>
          </w:rPr>
          <w:t>Metodología del fondo de incentivos por calidad de 2025 (Instrucciones de referencia)</w:t>
        </w:r>
      </w:hyperlink>
      <w:r w:rsidRPr="00FB08F7">
        <w:rPr>
          <w:lang w:bidi="es-419"/>
        </w:rPr>
        <w:t>.</w:t>
      </w:r>
    </w:p>
    <w:p w14:paraId="3DEF1E14" w14:textId="77777777" w:rsidR="002B714E" w:rsidRPr="001A2D42" w:rsidRDefault="002B714E" w:rsidP="003B32F9">
      <w:pPr>
        <w:spacing w:line="240" w:lineRule="auto"/>
        <w:rPr>
          <w:rStyle w:val="Heading4Char"/>
        </w:rPr>
      </w:pPr>
      <w:r w:rsidRPr="001A2D42">
        <w:rPr>
          <w:rStyle w:val="Heading4Char"/>
          <w:lang w:bidi="es-419"/>
        </w:rPr>
        <w:br w:type="page"/>
      </w:r>
    </w:p>
    <w:p w14:paraId="7B9F8220" w14:textId="188C6CCB" w:rsidR="00ED698D" w:rsidRPr="001A2D42" w:rsidRDefault="00ED698D" w:rsidP="003B32F9">
      <w:pPr>
        <w:spacing w:before="240" w:after="0" w:line="240" w:lineRule="auto"/>
        <w:rPr>
          <w:rStyle w:val="Heading3Char"/>
          <w:color w:val="0A2F41" w:themeColor="accent1" w:themeShade="80"/>
        </w:rPr>
      </w:pPr>
      <w:r w:rsidRPr="001A2D42">
        <w:rPr>
          <w:rStyle w:val="Heading4Char"/>
          <w:lang w:bidi="es-419"/>
        </w:rPr>
        <w:lastRenderedPageBreak/>
        <w:t xml:space="preserve">Con el fondo de incentivos por desafíos, las CCO pueden obtener más del 100% de los fondos de bonos elegibles. </w:t>
      </w:r>
    </w:p>
    <w:p w14:paraId="3150127E" w14:textId="0FCCFD8E" w:rsidR="00ED698D" w:rsidRPr="001A2D42" w:rsidRDefault="00ED698D" w:rsidP="003B32F9">
      <w:pPr>
        <w:spacing w:after="120" w:line="240" w:lineRule="auto"/>
        <w:rPr>
          <w:rFonts w:asciiTheme="majorHAnsi" w:eastAsiaTheme="majorEastAsia" w:hAnsiTheme="majorHAnsi" w:cstheme="majorBidi"/>
          <w:color w:val="0A2F41" w:themeColor="accent1" w:themeShade="80"/>
        </w:rPr>
      </w:pPr>
      <w:r w:rsidRPr="001A2D42">
        <w:rPr>
          <w:lang w:bidi="es-419"/>
        </w:rPr>
        <w:t>Todas las CCO, incluso aquellas que obtuvieron todo su fondo de incentivos por calidad en la Fase 1, pueden obtener fondos de bonos adicionales del fondo de incentivos por desafíos. En todos los años del programa, excepto en uno, la mayoría de las CCO obtuvieron más del 100% de su bono mediante la adición del fondo de incentivos por desafíos.</w:t>
      </w:r>
    </w:p>
    <w:p w14:paraId="67E231D4" w14:textId="01E0967B" w:rsidR="00ED698D" w:rsidRPr="001A2D42" w:rsidRDefault="00ED698D" w:rsidP="003B32F9">
      <w:pPr>
        <w:spacing w:before="120" w:after="240" w:line="240" w:lineRule="auto"/>
      </w:pPr>
      <w:r w:rsidRPr="001A2D42">
        <w:rPr>
          <w:lang w:bidi="es-419"/>
        </w:rPr>
        <w:t xml:space="preserve">Independientemente del rendimiento de las CCO, </w:t>
      </w:r>
      <w:r w:rsidRPr="001A2D42">
        <w:rPr>
          <w:b/>
          <w:lang w:bidi="es-419"/>
        </w:rPr>
        <w:t xml:space="preserve">la OHA paga todos los fondos del Programa de Incentivos de Calidad de las CCO </w:t>
      </w:r>
      <w:r w:rsidRPr="001A2D42">
        <w:rPr>
          <w:lang w:bidi="es-419"/>
        </w:rPr>
        <w:t xml:space="preserve">cada año a las CCO a través del fondo de incentivos por desafíos. No se ahorran fondos de bonos, no se transfieren al año siguiente ni se devuelven a los fondos generales del estado. </w:t>
      </w:r>
    </w:p>
    <w:p w14:paraId="3C67EB02" w14:textId="3A4673A0" w:rsidR="00ED698D" w:rsidRPr="001A2D42" w:rsidRDefault="00ED698D" w:rsidP="003B32F9">
      <w:pPr>
        <w:spacing w:before="120" w:after="0" w:line="240" w:lineRule="auto"/>
        <w:rPr>
          <w:rFonts w:asciiTheme="majorHAnsi" w:hAnsiTheme="majorHAnsi" w:cstheme="majorBidi"/>
          <w:color w:val="0F4761" w:themeColor="accent1" w:themeShade="BF"/>
          <w:sz w:val="26"/>
          <w:szCs w:val="26"/>
        </w:rPr>
      </w:pPr>
      <w:r w:rsidRPr="001A2D42">
        <w:rPr>
          <w:rFonts w:asciiTheme="majorHAnsi" w:hAnsiTheme="majorHAnsi" w:cstheme="majorBidi"/>
          <w:color w:val="0F4761" w:themeColor="accent1" w:themeShade="BF"/>
          <w:sz w:val="26"/>
          <w:szCs w:val="26"/>
          <w:lang w:bidi="es-419"/>
        </w:rPr>
        <w:t>En 2025, ninguna CCO cumplió con el 100% de las medidas de incentivos de calidad.</w:t>
      </w:r>
    </w:p>
    <w:p w14:paraId="79AF8A35" w14:textId="0678A80E" w:rsidR="00ED698D" w:rsidRDefault="00ED698D" w:rsidP="003B32F9">
      <w:pPr>
        <w:pStyle w:val="NoSpacing"/>
        <w:spacing w:after="120"/>
        <w:rPr>
          <w:color w:val="auto"/>
          <w:sz w:val="22"/>
          <w:szCs w:val="20"/>
          <w:lang w:bidi="es-419"/>
        </w:rPr>
      </w:pPr>
      <w:r w:rsidRPr="001A2D42">
        <w:rPr>
          <w:color w:val="auto"/>
          <w:sz w:val="22"/>
          <w:szCs w:val="20"/>
          <w:lang w:bidi="es-419"/>
        </w:rPr>
        <w:t>Sin embargo, en la Fase 1, a 6 CCO se les pagó el 100% de los fondos elegibles del fondo de incentivos por calidad al cumplir con al menos 10 de las 13 medidas de incentivos.</w:t>
      </w:r>
    </w:p>
    <w:p w14:paraId="354F728C" w14:textId="12A7724D" w:rsidR="00440281" w:rsidRPr="001A2D42" w:rsidRDefault="00440281" w:rsidP="003B32F9">
      <w:pPr>
        <w:pStyle w:val="NoSpacing"/>
        <w:spacing w:after="120"/>
        <w:rPr>
          <w:color w:val="auto"/>
          <w:sz w:val="22"/>
          <w:szCs w:val="20"/>
        </w:rPr>
      </w:pPr>
      <w:r>
        <w:rPr>
          <w:noProof/>
        </w:rPr>
        <mc:AlternateContent>
          <mc:Choice Requires="wpg">
            <w:drawing>
              <wp:inline distT="0" distB="0" distL="0" distR="0" wp14:anchorId="3CD89D7C" wp14:editId="4F613BEF">
                <wp:extent cx="5943600" cy="5248275"/>
                <wp:effectExtent l="0" t="0" r="0" b="9525"/>
                <wp:docPr id="2" name="Group 1">
                  <a:extLst xmlns:a="http://schemas.openxmlformats.org/drawingml/2006/main">
                    <a:ext uri="{FF2B5EF4-FFF2-40B4-BE49-F238E27FC236}">
                      <a16:creationId xmlns:a16="http://schemas.microsoft.com/office/drawing/2014/main" id="{FDF63A5F-094C-490A-87D8-0DBD465B3891}"/>
                    </a:ext>
                  </a:extLst>
                </wp:docPr>
                <wp:cNvGraphicFramePr/>
                <a:graphic xmlns:a="http://schemas.openxmlformats.org/drawingml/2006/main">
                  <a:graphicData uri="http://schemas.microsoft.com/office/word/2010/wordprocessingGroup">
                    <wpg:wgp>
                      <wpg:cNvGrpSpPr/>
                      <wpg:grpSpPr>
                        <a:xfrm>
                          <a:off x="0" y="0"/>
                          <a:ext cx="5943600" cy="5248275"/>
                          <a:chOff x="0" y="0"/>
                          <a:chExt cx="5486400" cy="5943600"/>
                        </a:xfrm>
                      </wpg:grpSpPr>
                      <wpg:graphicFrame>
                        <wpg:cNvPr id="232828334" name="Chart 232828334">
                          <a:extLst>
                            <a:ext uri="{FF2B5EF4-FFF2-40B4-BE49-F238E27FC236}">
                              <a16:creationId xmlns:a16="http://schemas.microsoft.com/office/drawing/2014/main" id="{3B310E85-F2AF-DC9A-BF51-6CC45DA48D03}"/>
                            </a:ext>
                          </a:extLst>
                        </wpg:cNvPr>
                        <wpg:cNvFrPr/>
                        <wpg:xfrm>
                          <a:off x="0" y="0"/>
                          <a:ext cx="5486400" cy="5943600"/>
                        </wpg:xfrm>
                        <a:graphic>
                          <a:graphicData uri="http://schemas.openxmlformats.org/drawingml/2006/chart">
                            <c:chart xmlns:c="http://schemas.openxmlformats.org/drawingml/2006/chart" xmlns:r="http://schemas.openxmlformats.org/officeDocument/2006/relationships" r:id="rId65"/>
                          </a:graphicData>
                        </a:graphic>
                      </wpg:graphicFrame>
                      <wps:wsp>
                        <wps:cNvPr id="214273150" name="Straight Connector 214273150">
                          <a:extLst>
                            <a:ext uri="{FF2B5EF4-FFF2-40B4-BE49-F238E27FC236}">
                              <a16:creationId xmlns:a16="http://schemas.microsoft.com/office/drawing/2014/main" id="{A1289F12-CF77-8FD5-7EB7-08F8BE441A31}"/>
                            </a:ext>
                          </a:extLst>
                        </wps:cNvPr>
                        <wps:cNvCnPr/>
                        <wps:spPr>
                          <a:xfrm flipH="1">
                            <a:off x="3592392" y="66676"/>
                            <a:ext cx="9525" cy="5857875"/>
                          </a:xfrm>
                          <a:prstGeom prst="line">
                            <a:avLst/>
                          </a:prstGeom>
                          <a:ln w="15875">
                            <a:solidFill>
                              <a:schemeClr val="accent5"/>
                            </a:solidFill>
                          </a:ln>
                        </wps:spPr>
                        <wps:style>
                          <a:lnRef idx="1">
                            <a:schemeClr val="accent1"/>
                          </a:lnRef>
                          <a:fillRef idx="0">
                            <a:schemeClr val="accent1"/>
                          </a:fillRef>
                          <a:effectRef idx="0">
                            <a:schemeClr val="accent1"/>
                          </a:effectRef>
                          <a:fontRef idx="minor">
                            <a:schemeClr val="tx1"/>
                          </a:fontRef>
                        </wps:style>
                        <wps:bodyPr/>
                      </wps:wsp>
                      <wps:wsp>
                        <wps:cNvPr id="1977319744" name="TextBox 4">
                          <a:extLst>
                            <a:ext uri="{FF2B5EF4-FFF2-40B4-BE49-F238E27FC236}">
                              <a16:creationId xmlns:a16="http://schemas.microsoft.com/office/drawing/2014/main" id="{77534F61-B12A-E821-D030-84A806B67B70}"/>
                            </a:ext>
                          </a:extLst>
                        </wps:cNvPr>
                        <wps:cNvSpPr txBox="1"/>
                        <wps:spPr>
                          <a:xfrm>
                            <a:off x="3627560" y="75566"/>
                            <a:ext cx="482405" cy="402336"/>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4B42836" w14:textId="77777777" w:rsidR="00440281" w:rsidRDefault="00440281" w:rsidP="00440281">
                              <w:pPr>
                                <w:rPr>
                                  <w:rFonts w:ascii="Aptos" w:hAnsi="Aptos" w:cs="Arial"/>
                                  <w:color w:val="000000"/>
                                  <w:kern w:val="0"/>
                                  <w:sz w:val="22"/>
                                  <w14:ligatures w14:val="none"/>
                                </w:rPr>
                              </w:pPr>
                              <w:r>
                                <w:rPr>
                                  <w:rFonts w:ascii="Aptos" w:hAnsi="Aptos" w:cs="Arial"/>
                                  <w:color w:val="000000"/>
                                  <w:sz w:val="22"/>
                                </w:rPr>
                                <w:t>100%</w:t>
                              </w:r>
                            </w:p>
                          </w:txbxContent>
                        </wps:txbx>
                        <wps:bodyPr wrap="square" rtlCol="0" anchor="t">
                          <a:noAutofit/>
                        </wps:bodyPr>
                      </wps:wsp>
                    </wpg:wgp>
                  </a:graphicData>
                </a:graphic>
              </wp:inline>
            </w:drawing>
          </mc:Choice>
          <mc:Fallback>
            <w:pict>
              <v:group w14:anchorId="3CD89D7C" id="Group 1" o:spid="_x0000_s1044" style="width:468pt;height:413.25pt;mso-position-horizontal-relative:char;mso-position-vertical-relative:line" coordsize="54864,5943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">
                <v:shape id="Chart 232828334" o:spid="_x0000_s1045" type="#_x0000_t75" style="position:absolute;width:54864;height:59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">
                  <v:imagedata r:id="rId66" o:title=""/>
                  <o:lock v:ext="edit" aspectratio="f"/>
                </v:shape>
                <v:line id="Straight Connector 214273150" o:spid="_x0000_s1046" style="position:absolute;flip:x;visibility:visible;mso-wrap-style:square" from="35923,666" to="36019,59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" strokecolor="#a02b93 [3208]" strokeweight="1.25pt">
                  <v:stroke joinstyle="miter"/>
                </v:line>
                <v:shape id="TextBox 4" o:spid="_x0000_s1047" type="#_x0000_t202" style="position:absolute;left:36275;top:755;width:4824;height:4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" filled="f" stroked="f">
                  <v:textbox>
                    <w:txbxContent>
                      <w:p w14:paraId="04B42836" w14:textId="77777777" w:rsidR="00440281" w:rsidRDefault="00440281" w:rsidP="00440281">
                        <w:pPr>
                          <w:rPr>
                            <w:rFonts w:ascii="Aptos" w:hAnsi="Aptos" w:cs="Arial"/>
                            <w:color w:val="000000"/>
                            <w:kern w:val="0"/>
                            <w:sz w:val="22"/>
                            <w14:ligatures w14:val="none"/>
                          </w:rPr>
                        </w:pPr>
                        <w:r>
                          <w:rPr>
                            <w:rFonts w:ascii="Aptos" w:hAnsi="Aptos" w:cs="Arial"/>
                            <w:color w:val="000000"/>
                            <w:sz w:val="22"/>
                          </w:rPr>
                          <w:t>100%</w:t>
                        </w:r>
                      </w:p>
                    </w:txbxContent>
                  </v:textbox>
                </v:shape>
                <w10:anchorlock/>
              </v:group>
            </w:pict>
          </mc:Fallback>
        </mc:AlternateContent>
      </w:r>
    </w:p>
    <w:p w14:paraId="5E561554" w14:textId="2FB7B60F" w:rsidR="00ED698D" w:rsidRPr="001A2D42" w:rsidRDefault="00ED698D" w:rsidP="003B32F9">
      <w:pPr>
        <w:spacing w:line="240" w:lineRule="auto"/>
        <w:sectPr w:rsidR="00ED698D" w:rsidRPr="001A2D42" w:rsidSect="009521C1">
          <w:footnotePr>
            <w:numFmt w:val="lowerLetter"/>
          </w:footnotePr>
          <w:pgSz w:w="12240" w:h="15840"/>
          <w:pgMar w:top="1440" w:right="1440" w:bottom="1440" w:left="1440" w:header="86" w:footer="720" w:gutter="0"/>
          <w:cols w:space="720"/>
          <w:titlePg/>
          <w:docGrid w:linePitch="360"/>
        </w:sectPr>
      </w:pPr>
    </w:p>
    <w:p w14:paraId="650C4F8B" w14:textId="0ED71840" w:rsidR="00ED698D" w:rsidRPr="001A2D42" w:rsidRDefault="00ED698D" w:rsidP="003B32F9">
      <w:pPr>
        <w:pStyle w:val="Heading3"/>
        <w:spacing w:before="0" w:line="240" w:lineRule="auto"/>
        <w:rPr>
          <w:noProof/>
        </w:rPr>
      </w:pPr>
      <w:r w:rsidRPr="001A2D42">
        <w:rPr>
          <w:noProof/>
          <w:lang w:bidi="es-419"/>
        </w:rPr>
        <w:lastRenderedPageBreak/>
        <w:t xml:space="preserve">Total de dinero en dólares del fondo de incentivos </w:t>
      </w:r>
      <w:r w:rsidR="00795A01">
        <w:rPr>
          <w:noProof/>
          <w:lang w:bidi="es-419"/>
        </w:rPr>
        <w:br/>
      </w:r>
      <w:r w:rsidRPr="001A2D42">
        <w:rPr>
          <w:noProof/>
          <w:lang w:bidi="es-419"/>
        </w:rPr>
        <w:t>por calidad pagados a las CCO</w:t>
      </w:r>
    </w:p>
    <w:p w14:paraId="486A2773" w14:textId="529204F3" w:rsidR="00ED698D" w:rsidRPr="001A2D42" w:rsidRDefault="00795A01" w:rsidP="003B32F9">
      <w:pPr>
        <w:spacing w:after="80" w:line="240" w:lineRule="auto"/>
        <w:rPr>
          <w:rStyle w:val="Heading3Char"/>
          <w:rFonts w:eastAsiaTheme="minorHAnsi" w:cstheme="minorBidi"/>
          <w:color w:val="auto"/>
          <w:sz w:val="24"/>
          <w:szCs w:val="22"/>
        </w:rPr>
      </w:pPr>
      <w:r w:rsidRPr="001A2D42">
        <w:rPr>
          <w:noProof/>
          <w:lang w:bidi="es-419"/>
        </w:rPr>
        <w:drawing>
          <wp:anchor distT="0" distB="0" distL="114300" distR="114300" simplePos="0" relativeHeight="251659267" behindDoc="1" locked="0" layoutInCell="1" allowOverlap="1" wp14:anchorId="5BB5F899" wp14:editId="5F74E71C">
            <wp:simplePos x="0" y="0"/>
            <wp:positionH relativeFrom="column">
              <wp:posOffset>4486274</wp:posOffset>
            </wp:positionH>
            <wp:positionV relativeFrom="paragraph">
              <wp:posOffset>635</wp:posOffset>
            </wp:positionV>
            <wp:extent cx="4505325" cy="4551680"/>
            <wp:effectExtent l="0" t="0" r="0" b="0"/>
            <wp:wrapNone/>
            <wp:docPr id="2128251703" name="Chart 1" descr="Bar chart of total members enrolled in each CCO in 2025. Total enrollment is the average of monthly members in 2025. These estimates come from OHA's Office of Financial and Actuarial Services (OAFA) and are used to calculate Quality Pool payments.">
              <a:extLst xmlns:a="http://schemas.openxmlformats.org/drawingml/2006/main">
                <a:ext uri="{FF2B5EF4-FFF2-40B4-BE49-F238E27FC236}">
                  <a16:creationId xmlns:a16="http://schemas.microsoft.com/office/drawing/2014/main" id="{9A79BD36-E8AC-4A55-A05A-44D99EFD5A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r w:rsidR="00186F6A" w:rsidRPr="001A2D42">
        <w:rPr>
          <w:noProof/>
          <w:lang w:bidi="es-419"/>
        </w:rPr>
        <w:drawing>
          <wp:inline distT="0" distB="0" distL="0" distR="0" wp14:anchorId="26FD4548" wp14:editId="5BEB2C7C">
            <wp:extent cx="4225636" cy="4648200"/>
            <wp:effectExtent l="0" t="0" r="0" b="0"/>
            <wp:docPr id="1164334786" name="Chart 1" descr="Bar chart of total Quality Pool dollars paid to each CCO for 2025.">
              <a:extLst xmlns:a="http://schemas.openxmlformats.org/drawingml/2006/main">
                <a:ext uri="{FF2B5EF4-FFF2-40B4-BE49-F238E27FC236}">
                  <a16:creationId xmlns:a16="http://schemas.microsoft.com/office/drawing/2014/main" id="{EF84FB56-AFC5-4ED4-9FA3-21BC901C5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00ED698D" w:rsidRPr="001A2D42">
        <w:rPr>
          <w:rStyle w:val="Heading3Char"/>
          <w:lang w:bidi="es-419"/>
        </w:rPr>
        <w:br w:type="column"/>
      </w:r>
      <w:r w:rsidR="00ED698D" w:rsidRPr="001A2D42">
        <w:rPr>
          <w:rStyle w:val="Heading3Char"/>
          <w:lang w:bidi="es-419"/>
        </w:rPr>
        <w:t xml:space="preserve">Total de personas inscritas por las CCO </w:t>
      </w:r>
      <w:r>
        <w:rPr>
          <w:rStyle w:val="Heading3Char"/>
          <w:lang w:bidi="es-419"/>
        </w:rPr>
        <w:br/>
      </w:r>
      <w:r w:rsidR="00ED698D" w:rsidRPr="001A2D42">
        <w:rPr>
          <w:rStyle w:val="Heading3Char"/>
          <w:lang w:bidi="es-419"/>
        </w:rPr>
        <w:t>(n = 1,275,873)</w:t>
      </w:r>
      <w:r w:rsidR="00ED698D" w:rsidRPr="001A2D42">
        <w:rPr>
          <w:rStyle w:val="FootnoteReference"/>
          <w:rFonts w:asciiTheme="majorHAnsi" w:eastAsiaTheme="majorEastAsia" w:hAnsiTheme="majorHAnsi" w:cstheme="majorBidi"/>
          <w:b/>
          <w:color w:val="0F4761" w:themeColor="accent1" w:themeShade="BF"/>
          <w:sz w:val="28"/>
          <w:szCs w:val="24"/>
          <w:lang w:bidi="es-419"/>
        </w:rPr>
        <w:footnoteReference w:id="16"/>
      </w:r>
    </w:p>
    <w:p w14:paraId="6FDCC269" w14:textId="05B120B3" w:rsidR="00251F8D" w:rsidRPr="001A2D42" w:rsidRDefault="00251F8D" w:rsidP="003B32F9">
      <w:pPr>
        <w:spacing w:after="0" w:line="240" w:lineRule="auto"/>
        <w:rPr>
          <w:rFonts w:eastAsiaTheme="majorEastAsia" w:cstheme="majorBidi"/>
          <w:color w:val="0F4761" w:themeColor="accent1" w:themeShade="BF"/>
          <w:sz w:val="28"/>
          <w:szCs w:val="28"/>
        </w:rPr>
        <w:sectPr w:rsidR="00251F8D" w:rsidRPr="001A2D42" w:rsidSect="008060E3">
          <w:footnotePr>
            <w:numFmt w:val="lowerLetter"/>
          </w:footnotePr>
          <w:type w:val="continuous"/>
          <w:pgSz w:w="15840" w:h="12240" w:orient="landscape"/>
          <w:pgMar w:top="1440" w:right="1440" w:bottom="1440" w:left="1440" w:header="86" w:footer="720" w:gutter="0"/>
          <w:cols w:num="2" w:space="144" w:equalWidth="0">
            <w:col w:w="6912" w:space="144"/>
            <w:col w:w="5904"/>
          </w:cols>
          <w:docGrid w:linePitch="360"/>
          <w15:footnoteColumns w:val="1"/>
        </w:sectPr>
      </w:pPr>
    </w:p>
    <w:p w14:paraId="031B2B56" w14:textId="7167D880" w:rsidR="00251F8D" w:rsidRPr="001A2D42" w:rsidRDefault="00251F8D" w:rsidP="003B32F9">
      <w:pPr>
        <w:pStyle w:val="Heading2"/>
        <w:spacing w:line="240" w:lineRule="auto"/>
        <w:rPr>
          <w:noProof/>
        </w:rPr>
      </w:pPr>
      <w:bookmarkStart w:id="20" w:name="_Toc241770413"/>
      <w:r w:rsidRPr="001A2D42">
        <w:rPr>
          <w:noProof/>
          <w:lang w:bidi="es-419"/>
        </w:rPr>
        <w:lastRenderedPageBreak/>
        <w:t>Tablas de distribución del fondo de incentivos por calidad de 2025</w:t>
      </w:r>
      <w:bookmarkEnd w:id="20"/>
    </w:p>
    <w:tbl>
      <w:tblPr>
        <w:tblW w:w="13495" w:type="dxa"/>
        <w:tblLook w:val="04A0" w:firstRow="1" w:lastRow="0" w:firstColumn="1" w:lastColumn="0" w:noHBand="0" w:noVBand="1"/>
      </w:tblPr>
      <w:tblGrid>
        <w:gridCol w:w="3349"/>
        <w:gridCol w:w="1330"/>
        <w:gridCol w:w="1448"/>
        <w:gridCol w:w="1517"/>
        <w:gridCol w:w="1330"/>
        <w:gridCol w:w="1400"/>
        <w:gridCol w:w="1501"/>
        <w:gridCol w:w="1620"/>
      </w:tblGrid>
      <w:tr w:rsidR="00251F8D" w:rsidRPr="001A2D42" w14:paraId="372868D6" w14:textId="77777777">
        <w:trPr>
          <w:trHeight w:val="1200"/>
        </w:trPr>
        <w:tc>
          <w:tcPr>
            <w:tcW w:w="3349" w:type="dxa"/>
            <w:tcBorders>
              <w:top w:val="single" w:sz="4" w:space="0" w:color="A6A6A6"/>
              <w:left w:val="single" w:sz="4" w:space="0" w:color="A6A6A6"/>
              <w:bottom w:val="single" w:sz="4" w:space="0" w:color="A6A6A6"/>
              <w:right w:val="single" w:sz="4" w:space="0" w:color="A6A6A6"/>
            </w:tcBorders>
            <w:vAlign w:val="center"/>
            <w:hideMark/>
          </w:tcPr>
          <w:p w14:paraId="445A448E" w14:textId="77777777" w:rsidR="00251F8D" w:rsidRPr="001A2D42" w:rsidRDefault="00251F8D" w:rsidP="003B32F9">
            <w:pPr>
              <w:spacing w:after="0" w:line="240" w:lineRule="auto"/>
              <w:rPr>
                <w:rFonts w:eastAsia="Times New Roman" w:cs="Arial"/>
                <w:kern w:val="0"/>
                <w:sz w:val="22"/>
                <w14:ligatures w14:val="none"/>
              </w:rPr>
            </w:pPr>
            <w:r w:rsidRPr="001A2D42">
              <w:rPr>
                <w:rFonts w:eastAsia="Times New Roman" w:cs="Arial"/>
                <w:kern w:val="0"/>
                <w:sz w:val="22"/>
                <w:lang w:bidi="es-419"/>
                <w14:ligatures w14:val="none"/>
              </w:rPr>
              <w:t>Identificación</w:t>
            </w:r>
          </w:p>
          <w:p w14:paraId="5604CBE9" w14:textId="77777777" w:rsidR="00251F8D" w:rsidRPr="001A2D42" w:rsidRDefault="00251F8D" w:rsidP="003B32F9">
            <w:pPr>
              <w:pStyle w:val="NormalWeb"/>
              <w:spacing w:before="0" w:beforeAutospacing="0" w:after="0" w:afterAutospacing="0"/>
              <w:contextualSpacing/>
              <w:rPr>
                <w:sz w:val="22"/>
                <w:szCs w:val="22"/>
              </w:rPr>
            </w:pPr>
            <w:r w:rsidRPr="001A2D42">
              <w:rPr>
                <w:rFonts w:ascii="Wingdings 2" w:eastAsia="Wingdings 2" w:hAnsi="Wingdings 2" w:cs="Wingdings 2"/>
                <w:color w:val="6799BF"/>
                <w:sz w:val="22"/>
                <w:szCs w:val="22"/>
                <w:lang w:bidi="es-419"/>
              </w:rPr>
              <w:t>¢</w:t>
            </w:r>
            <w:r w:rsidRPr="001A2D42">
              <w:rPr>
                <w:rFonts w:asciiTheme="minorHAnsi" w:hAnsiTheme="minorHAnsi" w:cstheme="minorHAnsi"/>
                <w:sz w:val="22"/>
                <w:szCs w:val="22"/>
                <w:lang w:bidi="es-419"/>
              </w:rPr>
              <w:t xml:space="preserve"> Fase 1 </w:t>
            </w:r>
          </w:p>
          <w:p w14:paraId="110F8FB3" w14:textId="508621D0" w:rsidR="00251F8D" w:rsidRPr="001A2D42" w:rsidRDefault="00251F8D" w:rsidP="00795A01">
            <w:pPr>
              <w:spacing w:line="240" w:lineRule="auto"/>
              <w:ind w:left="255" w:hanging="255"/>
              <w:contextualSpacing/>
              <w:rPr>
                <w:rFonts w:eastAsia="Times New Roman" w:cstheme="minorHAnsi"/>
                <w:color w:val="071004" w:themeColor="accent6" w:themeShade="1A"/>
                <w:sz w:val="22"/>
              </w:rPr>
            </w:pPr>
            <w:r w:rsidRPr="001A2D42">
              <w:rPr>
                <w:rFonts w:ascii="Wingdings 2" w:eastAsia="Times New Roman" w:hAnsi="Wingdings 2" w:cs="Times New Roman"/>
                <w:color w:val="005595"/>
                <w:sz w:val="22"/>
                <w:lang w:bidi="es-419"/>
              </w:rPr>
              <w:t>¢</w:t>
            </w:r>
            <w:r w:rsidRPr="001A2D42">
              <w:rPr>
                <w:rFonts w:eastAsia="Times New Roman" w:cstheme="minorHAnsi"/>
                <w:sz w:val="22"/>
                <w:lang w:bidi="es-419"/>
              </w:rPr>
              <w:t xml:space="preserve"> Fondo de incentivos </w:t>
            </w:r>
            <w:r w:rsidR="00637340">
              <w:rPr>
                <w:rFonts w:eastAsia="Times New Roman" w:cstheme="minorHAnsi"/>
                <w:sz w:val="22"/>
                <w:lang w:bidi="es-419"/>
              </w:rPr>
              <w:br/>
            </w:r>
            <w:r w:rsidRPr="001A2D42">
              <w:rPr>
                <w:rFonts w:eastAsia="Times New Roman" w:cstheme="minorHAnsi"/>
                <w:sz w:val="22"/>
                <w:lang w:bidi="es-419"/>
              </w:rPr>
              <w:t>por desafíos</w:t>
            </w:r>
          </w:p>
          <w:p w14:paraId="1D0888A4" w14:textId="44CC0540" w:rsidR="00251F8D" w:rsidRPr="001A2D42" w:rsidRDefault="00251F8D" w:rsidP="00795A01">
            <w:pPr>
              <w:spacing w:line="240" w:lineRule="auto"/>
              <w:ind w:left="255" w:hanging="255"/>
              <w:contextualSpacing/>
              <w:rPr>
                <w:rFonts w:ascii="Arial Narrow" w:eastAsia="Times New Roman" w:hAnsi="Arial Narrow" w:cs="Times New Roman"/>
                <w:color w:val="071004" w:themeColor="accent6" w:themeShade="1A"/>
                <w:sz w:val="20"/>
                <w:szCs w:val="20"/>
              </w:rPr>
            </w:pPr>
            <w:r w:rsidRPr="001A2D42">
              <w:rPr>
                <w:rFonts w:ascii="Wingdings 2" w:eastAsia="Times New Roman" w:hAnsi="Wingdings 2" w:cs="Times New Roman"/>
                <w:color w:val="002B4A"/>
                <w:sz w:val="22"/>
                <w:lang w:bidi="es-419"/>
              </w:rPr>
              <w:t>¢</w:t>
            </w:r>
            <w:r w:rsidRPr="001A2D42">
              <w:rPr>
                <w:rFonts w:eastAsia="Times New Roman" w:cstheme="minorHAnsi"/>
                <w:sz w:val="22"/>
                <w:lang w:bidi="es-419"/>
              </w:rPr>
              <w:t xml:space="preserve"> Fondo de incentivos </w:t>
            </w:r>
            <w:r w:rsidR="00637340">
              <w:rPr>
                <w:rFonts w:eastAsia="Times New Roman" w:cstheme="minorHAnsi"/>
                <w:sz w:val="22"/>
                <w:lang w:bidi="es-419"/>
              </w:rPr>
              <w:br/>
            </w:r>
            <w:r w:rsidRPr="001A2D42">
              <w:rPr>
                <w:rFonts w:eastAsia="Times New Roman" w:cstheme="minorHAnsi"/>
                <w:sz w:val="22"/>
                <w:lang w:bidi="es-419"/>
              </w:rPr>
              <w:t>por calidad</w:t>
            </w:r>
          </w:p>
        </w:tc>
        <w:tc>
          <w:tcPr>
            <w:tcW w:w="1330" w:type="dxa"/>
            <w:tcBorders>
              <w:top w:val="single" w:sz="4" w:space="0" w:color="A6A6A6"/>
              <w:left w:val="nil"/>
              <w:bottom w:val="nil"/>
              <w:right w:val="single" w:sz="4" w:space="0" w:color="A6A6A6"/>
            </w:tcBorders>
            <w:shd w:val="clear" w:color="000000" w:fill="97CBFF"/>
            <w:vAlign w:val="center"/>
            <w:hideMark/>
          </w:tcPr>
          <w:p w14:paraId="6B6EC169" w14:textId="384B28FE"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Medidas cumplidas</w:t>
            </w:r>
            <w:r w:rsidR="00795A01">
              <w:rPr>
                <w:rFonts w:ascii="Aptos" w:eastAsia="Times New Roman" w:hAnsi="Aptos" w:cs="Arial"/>
                <w:kern w:val="0"/>
                <w:sz w:val="22"/>
                <w:lang w:bidi="es-419"/>
                <w14:ligatures w14:val="none"/>
              </w:rPr>
              <w:t xml:space="preserve"> </w:t>
            </w:r>
            <w:r w:rsidRPr="001A2D42">
              <w:rPr>
                <w:rFonts w:ascii="Aptos" w:eastAsia="Times New Roman" w:hAnsi="Aptos" w:cs="Arial"/>
                <w:kern w:val="0"/>
                <w:sz w:val="22"/>
                <w:lang w:bidi="es-419"/>
                <w14:ligatures w14:val="none"/>
              </w:rPr>
              <w:t>(de 13 posibles)</w:t>
            </w:r>
          </w:p>
        </w:tc>
        <w:tc>
          <w:tcPr>
            <w:tcW w:w="1448" w:type="dxa"/>
            <w:tcBorders>
              <w:top w:val="single" w:sz="4" w:space="0" w:color="A6A6A6"/>
              <w:left w:val="nil"/>
              <w:bottom w:val="nil"/>
              <w:right w:val="single" w:sz="4" w:space="0" w:color="A6A6A6"/>
            </w:tcBorders>
            <w:shd w:val="clear" w:color="000000" w:fill="97CBFF"/>
            <w:vAlign w:val="center"/>
            <w:hideMark/>
          </w:tcPr>
          <w:p w14:paraId="12FEBE13"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Obtenido en la Fase 1 </w:t>
            </w:r>
            <w:r w:rsidRPr="001A2D42">
              <w:rPr>
                <w:rFonts w:ascii="Aptos" w:eastAsia="Times New Roman" w:hAnsi="Aptos" w:cs="Arial"/>
                <w:kern w:val="0"/>
                <w:sz w:val="22"/>
                <w:lang w:bidi="es-419"/>
                <w14:ligatures w14:val="none"/>
              </w:rPr>
              <w:br/>
              <w:t>(% del bono elegible)</w:t>
            </w:r>
          </w:p>
        </w:tc>
        <w:tc>
          <w:tcPr>
            <w:tcW w:w="1517" w:type="dxa"/>
            <w:tcBorders>
              <w:top w:val="single" w:sz="4" w:space="0" w:color="A6A6A6"/>
              <w:left w:val="nil"/>
              <w:bottom w:val="nil"/>
              <w:right w:val="single" w:sz="4" w:space="0" w:color="A6A6A6"/>
            </w:tcBorders>
            <w:shd w:val="clear" w:color="000000" w:fill="97CBFF"/>
            <w:vAlign w:val="center"/>
            <w:hideMark/>
          </w:tcPr>
          <w:p w14:paraId="51CEAC27"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Pagado en la Fase 1</w:t>
            </w:r>
          </w:p>
        </w:tc>
        <w:tc>
          <w:tcPr>
            <w:tcW w:w="1330" w:type="dxa"/>
            <w:tcBorders>
              <w:top w:val="single" w:sz="4" w:space="0" w:color="A6A6A6"/>
              <w:left w:val="nil"/>
              <w:bottom w:val="nil"/>
              <w:right w:val="single" w:sz="4" w:space="0" w:color="A6A6A6"/>
            </w:tcBorders>
            <w:shd w:val="clear" w:color="000000" w:fill="0063C6"/>
            <w:vAlign w:val="center"/>
            <w:hideMark/>
          </w:tcPr>
          <w:p w14:paraId="00AF386D" w14:textId="53F88390" w:rsidR="00251F8D" w:rsidRPr="001A2D42" w:rsidRDefault="00251F8D" w:rsidP="003B32F9">
            <w:pPr>
              <w:spacing w:after="0" w:line="240"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Medidas cumplidas (de 4 posibles)</w:t>
            </w:r>
          </w:p>
        </w:tc>
        <w:tc>
          <w:tcPr>
            <w:tcW w:w="1400" w:type="dxa"/>
            <w:tcBorders>
              <w:top w:val="single" w:sz="4" w:space="0" w:color="A6A6A6"/>
              <w:left w:val="nil"/>
              <w:bottom w:val="nil"/>
              <w:right w:val="single" w:sz="4" w:space="0" w:color="A6A6A6"/>
            </w:tcBorders>
            <w:shd w:val="clear" w:color="000000" w:fill="0063C6"/>
            <w:vAlign w:val="center"/>
            <w:hideMark/>
          </w:tcPr>
          <w:p w14:paraId="5D14626C" w14:textId="77777777" w:rsidR="00251F8D" w:rsidRPr="001A2D42" w:rsidRDefault="00251F8D" w:rsidP="003B32F9">
            <w:pPr>
              <w:spacing w:after="0" w:line="240"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Fondos de incentivos por desafíos pagados en la Fase 2</w:t>
            </w:r>
          </w:p>
        </w:tc>
        <w:tc>
          <w:tcPr>
            <w:tcW w:w="1501" w:type="dxa"/>
            <w:tcBorders>
              <w:top w:val="single" w:sz="4" w:space="0" w:color="A6A6A6"/>
              <w:left w:val="nil"/>
              <w:bottom w:val="nil"/>
              <w:right w:val="single" w:sz="4" w:space="0" w:color="A6A6A6"/>
            </w:tcBorders>
            <w:shd w:val="clear" w:color="000000" w:fill="0063C6"/>
            <w:vAlign w:val="center"/>
            <w:hideMark/>
          </w:tcPr>
          <w:p w14:paraId="7210A53F" w14:textId="77777777" w:rsidR="00251F8D" w:rsidRPr="001A2D42" w:rsidRDefault="00251F8D" w:rsidP="003B32F9">
            <w:pPr>
              <w:spacing w:after="0" w:line="240"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 xml:space="preserve">Obtenido en la Fase 2 </w:t>
            </w:r>
            <w:r w:rsidRPr="001A2D42">
              <w:rPr>
                <w:rFonts w:ascii="Aptos" w:eastAsia="Times New Roman" w:hAnsi="Aptos" w:cs="Arial"/>
                <w:color w:val="FFFFFF"/>
                <w:kern w:val="0"/>
                <w:sz w:val="22"/>
                <w:lang w:bidi="es-419"/>
                <w14:ligatures w14:val="none"/>
              </w:rPr>
              <w:br/>
              <w:t>(% del bono elegible)</w:t>
            </w:r>
          </w:p>
        </w:tc>
        <w:tc>
          <w:tcPr>
            <w:tcW w:w="1620" w:type="dxa"/>
            <w:tcBorders>
              <w:top w:val="single" w:sz="4" w:space="0" w:color="A6A6A6"/>
              <w:left w:val="nil"/>
              <w:bottom w:val="nil"/>
              <w:right w:val="single" w:sz="4" w:space="0" w:color="A6A6A6"/>
            </w:tcBorders>
            <w:shd w:val="clear" w:color="000000" w:fill="00305E"/>
            <w:vAlign w:val="center"/>
            <w:hideMark/>
          </w:tcPr>
          <w:p w14:paraId="03A0494B" w14:textId="77777777" w:rsidR="00251F8D" w:rsidRPr="001A2D42" w:rsidRDefault="00251F8D" w:rsidP="003B32F9">
            <w:pPr>
              <w:spacing w:after="0" w:line="240"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Total obtenido del fondo de incentivos por calidad</w:t>
            </w:r>
          </w:p>
        </w:tc>
      </w:tr>
      <w:tr w:rsidR="00251F8D" w:rsidRPr="001A2D42" w14:paraId="0A4F74A4"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44AA220"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Advanced Health</w:t>
            </w:r>
          </w:p>
        </w:tc>
        <w:tc>
          <w:tcPr>
            <w:tcW w:w="1330" w:type="dxa"/>
            <w:tcBorders>
              <w:top w:val="single" w:sz="4" w:space="0" w:color="A6A6A6"/>
              <w:left w:val="nil"/>
              <w:bottom w:val="single" w:sz="4" w:space="0" w:color="A6A6A6"/>
              <w:right w:val="single" w:sz="4" w:space="0" w:color="A6A6A6"/>
            </w:tcBorders>
            <w:vAlign w:val="center"/>
            <w:hideMark/>
          </w:tcPr>
          <w:p w14:paraId="5E3A6AE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w:t>
            </w:r>
          </w:p>
        </w:tc>
        <w:tc>
          <w:tcPr>
            <w:tcW w:w="1448" w:type="dxa"/>
            <w:tcBorders>
              <w:top w:val="single" w:sz="4" w:space="0" w:color="A6A6A6"/>
              <w:left w:val="nil"/>
              <w:bottom w:val="single" w:sz="4" w:space="0" w:color="A6A6A6"/>
              <w:right w:val="single" w:sz="4" w:space="0" w:color="A6A6A6"/>
            </w:tcBorders>
            <w:vAlign w:val="center"/>
            <w:hideMark/>
          </w:tcPr>
          <w:p w14:paraId="02252D5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60%</w:t>
            </w:r>
          </w:p>
        </w:tc>
        <w:tc>
          <w:tcPr>
            <w:tcW w:w="1517" w:type="dxa"/>
            <w:tcBorders>
              <w:top w:val="single" w:sz="4" w:space="0" w:color="A6A6A6"/>
              <w:left w:val="nil"/>
              <w:bottom w:val="single" w:sz="4" w:space="0" w:color="A6A6A6"/>
              <w:right w:val="single" w:sz="4" w:space="0" w:color="A6A6A6"/>
            </w:tcBorders>
            <w:vAlign w:val="center"/>
            <w:hideMark/>
          </w:tcPr>
          <w:p w14:paraId="6749264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$3,194,716 </w:t>
            </w:r>
          </w:p>
        </w:tc>
        <w:tc>
          <w:tcPr>
            <w:tcW w:w="1330" w:type="dxa"/>
            <w:tcBorders>
              <w:top w:val="single" w:sz="4" w:space="0" w:color="A6A6A6"/>
              <w:left w:val="nil"/>
              <w:bottom w:val="single" w:sz="4" w:space="0" w:color="A6A6A6"/>
              <w:right w:val="single" w:sz="4" w:space="0" w:color="A6A6A6"/>
            </w:tcBorders>
            <w:vAlign w:val="center"/>
            <w:hideMark/>
          </w:tcPr>
          <w:p w14:paraId="7C4DD95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w:t>
            </w:r>
          </w:p>
        </w:tc>
        <w:tc>
          <w:tcPr>
            <w:tcW w:w="1400" w:type="dxa"/>
            <w:tcBorders>
              <w:top w:val="single" w:sz="4" w:space="0" w:color="A6A6A6"/>
              <w:left w:val="nil"/>
              <w:bottom w:val="single" w:sz="4" w:space="0" w:color="A6A6A6"/>
              <w:right w:val="single" w:sz="4" w:space="0" w:color="A6A6A6"/>
            </w:tcBorders>
            <w:vAlign w:val="center"/>
            <w:hideMark/>
          </w:tcPr>
          <w:p w14:paraId="5198D3B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$483,092</w:t>
            </w:r>
          </w:p>
        </w:tc>
        <w:tc>
          <w:tcPr>
            <w:tcW w:w="1501" w:type="dxa"/>
            <w:tcBorders>
              <w:top w:val="single" w:sz="4" w:space="0" w:color="A6A6A6"/>
              <w:left w:val="nil"/>
              <w:bottom w:val="single" w:sz="4" w:space="0" w:color="A6A6A6"/>
              <w:right w:val="single" w:sz="4" w:space="0" w:color="A6A6A6"/>
            </w:tcBorders>
            <w:vAlign w:val="center"/>
            <w:hideMark/>
          </w:tcPr>
          <w:p w14:paraId="6F00361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69%</w:t>
            </w:r>
          </w:p>
        </w:tc>
        <w:tc>
          <w:tcPr>
            <w:tcW w:w="1620" w:type="dxa"/>
            <w:tcBorders>
              <w:top w:val="single" w:sz="4" w:space="0" w:color="A6A6A6"/>
              <w:left w:val="nil"/>
              <w:bottom w:val="single" w:sz="4" w:space="0" w:color="A6A6A6"/>
              <w:right w:val="single" w:sz="4" w:space="0" w:color="A6A6A6"/>
            </w:tcBorders>
            <w:vAlign w:val="center"/>
            <w:hideMark/>
          </w:tcPr>
          <w:p w14:paraId="76287CF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$3,677,808 </w:t>
            </w:r>
          </w:p>
        </w:tc>
      </w:tr>
      <w:tr w:rsidR="00251F8D" w:rsidRPr="001A2D42" w14:paraId="5C026920"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53A67C2"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Plan de AllCare Health</w:t>
            </w:r>
          </w:p>
        </w:tc>
        <w:tc>
          <w:tcPr>
            <w:tcW w:w="1330" w:type="dxa"/>
            <w:tcBorders>
              <w:top w:val="nil"/>
              <w:left w:val="nil"/>
              <w:bottom w:val="single" w:sz="4" w:space="0" w:color="A6A6A6"/>
              <w:right w:val="single" w:sz="4" w:space="0" w:color="A6A6A6"/>
            </w:tcBorders>
            <w:vAlign w:val="center"/>
            <w:hideMark/>
          </w:tcPr>
          <w:p w14:paraId="4CAB4F7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w:t>
            </w:r>
          </w:p>
        </w:tc>
        <w:tc>
          <w:tcPr>
            <w:tcW w:w="1448" w:type="dxa"/>
            <w:tcBorders>
              <w:top w:val="nil"/>
              <w:left w:val="nil"/>
              <w:bottom w:val="single" w:sz="4" w:space="0" w:color="A6A6A6"/>
              <w:right w:val="single" w:sz="4" w:space="0" w:color="A6A6A6"/>
            </w:tcBorders>
            <w:vAlign w:val="center"/>
            <w:hideMark/>
          </w:tcPr>
          <w:p w14:paraId="6313BDA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70%</w:t>
            </w:r>
          </w:p>
        </w:tc>
        <w:tc>
          <w:tcPr>
            <w:tcW w:w="1517" w:type="dxa"/>
            <w:tcBorders>
              <w:top w:val="nil"/>
              <w:left w:val="nil"/>
              <w:bottom w:val="single" w:sz="4" w:space="0" w:color="A6A6A6"/>
              <w:right w:val="single" w:sz="4" w:space="0" w:color="A6A6A6"/>
            </w:tcBorders>
            <w:vAlign w:val="center"/>
            <w:hideMark/>
          </w:tcPr>
          <w:p w14:paraId="076079F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$7,713,189 </w:t>
            </w:r>
          </w:p>
        </w:tc>
        <w:tc>
          <w:tcPr>
            <w:tcW w:w="1330" w:type="dxa"/>
            <w:tcBorders>
              <w:top w:val="nil"/>
              <w:left w:val="nil"/>
              <w:bottom w:val="single" w:sz="4" w:space="0" w:color="A6A6A6"/>
              <w:right w:val="single" w:sz="4" w:space="0" w:color="A6A6A6"/>
            </w:tcBorders>
            <w:vAlign w:val="center"/>
            <w:hideMark/>
          </w:tcPr>
          <w:p w14:paraId="1B3352E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1AFFD91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$2,100,574</w:t>
            </w:r>
          </w:p>
        </w:tc>
        <w:tc>
          <w:tcPr>
            <w:tcW w:w="1501" w:type="dxa"/>
            <w:tcBorders>
              <w:top w:val="nil"/>
              <w:left w:val="nil"/>
              <w:bottom w:val="single" w:sz="4" w:space="0" w:color="A6A6A6"/>
              <w:right w:val="single" w:sz="4" w:space="0" w:color="A6A6A6"/>
            </w:tcBorders>
            <w:vAlign w:val="center"/>
            <w:hideMark/>
          </w:tcPr>
          <w:p w14:paraId="6437D5D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89%</w:t>
            </w:r>
          </w:p>
        </w:tc>
        <w:tc>
          <w:tcPr>
            <w:tcW w:w="1620" w:type="dxa"/>
            <w:tcBorders>
              <w:top w:val="nil"/>
              <w:left w:val="nil"/>
              <w:bottom w:val="single" w:sz="4" w:space="0" w:color="A6A6A6"/>
              <w:right w:val="single" w:sz="4" w:space="0" w:color="A6A6A6"/>
            </w:tcBorders>
            <w:vAlign w:val="center"/>
            <w:hideMark/>
          </w:tcPr>
          <w:p w14:paraId="4D128EF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$9,813,762 </w:t>
            </w:r>
          </w:p>
        </w:tc>
      </w:tr>
      <w:tr w:rsidR="00251F8D" w:rsidRPr="001A2D42" w14:paraId="3CA6C8E3"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6387C598"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Cascade Health Alliance</w:t>
            </w:r>
          </w:p>
        </w:tc>
        <w:tc>
          <w:tcPr>
            <w:tcW w:w="1330" w:type="dxa"/>
            <w:tcBorders>
              <w:top w:val="nil"/>
              <w:left w:val="nil"/>
              <w:bottom w:val="single" w:sz="4" w:space="0" w:color="A6A6A6"/>
              <w:right w:val="single" w:sz="4" w:space="0" w:color="A6A6A6"/>
            </w:tcBorders>
            <w:vAlign w:val="center"/>
            <w:hideMark/>
          </w:tcPr>
          <w:p w14:paraId="6AB4314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w:t>
            </w:r>
          </w:p>
        </w:tc>
        <w:tc>
          <w:tcPr>
            <w:tcW w:w="1448" w:type="dxa"/>
            <w:tcBorders>
              <w:top w:val="nil"/>
              <w:left w:val="nil"/>
              <w:bottom w:val="single" w:sz="4" w:space="0" w:color="A6A6A6"/>
              <w:right w:val="single" w:sz="4" w:space="0" w:color="A6A6A6"/>
            </w:tcBorders>
            <w:vAlign w:val="center"/>
            <w:hideMark/>
          </w:tcPr>
          <w:p w14:paraId="1DD47C6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7BB5CAB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$4,668,854 </w:t>
            </w:r>
          </w:p>
        </w:tc>
        <w:tc>
          <w:tcPr>
            <w:tcW w:w="1330" w:type="dxa"/>
            <w:tcBorders>
              <w:top w:val="nil"/>
              <w:left w:val="nil"/>
              <w:bottom w:val="single" w:sz="4" w:space="0" w:color="A6A6A6"/>
              <w:right w:val="single" w:sz="4" w:space="0" w:color="A6A6A6"/>
            </w:tcBorders>
            <w:vAlign w:val="center"/>
            <w:hideMark/>
          </w:tcPr>
          <w:p w14:paraId="082FCBD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2CACCC6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$879,580</w:t>
            </w:r>
          </w:p>
        </w:tc>
        <w:tc>
          <w:tcPr>
            <w:tcW w:w="1501" w:type="dxa"/>
            <w:tcBorders>
              <w:top w:val="nil"/>
              <w:left w:val="nil"/>
              <w:bottom w:val="single" w:sz="4" w:space="0" w:color="A6A6A6"/>
              <w:right w:val="single" w:sz="4" w:space="0" w:color="A6A6A6"/>
            </w:tcBorders>
            <w:vAlign w:val="center"/>
            <w:hideMark/>
          </w:tcPr>
          <w:p w14:paraId="7C2A739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119%</w:t>
            </w:r>
          </w:p>
        </w:tc>
        <w:tc>
          <w:tcPr>
            <w:tcW w:w="1620" w:type="dxa"/>
            <w:tcBorders>
              <w:top w:val="nil"/>
              <w:left w:val="nil"/>
              <w:bottom w:val="single" w:sz="4" w:space="0" w:color="A6A6A6"/>
              <w:right w:val="single" w:sz="4" w:space="0" w:color="A6A6A6"/>
            </w:tcBorders>
            <w:vAlign w:val="center"/>
            <w:hideMark/>
          </w:tcPr>
          <w:p w14:paraId="03A06DF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$5,548,434 </w:t>
            </w:r>
          </w:p>
        </w:tc>
      </w:tr>
      <w:tr w:rsidR="00251F8D" w:rsidRPr="001A2D42" w14:paraId="11DA73F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65757C7C"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Columbia Pacific</w:t>
            </w:r>
          </w:p>
        </w:tc>
        <w:tc>
          <w:tcPr>
            <w:tcW w:w="1330" w:type="dxa"/>
            <w:tcBorders>
              <w:top w:val="nil"/>
              <w:left w:val="nil"/>
              <w:bottom w:val="single" w:sz="4" w:space="0" w:color="A6A6A6"/>
              <w:right w:val="single" w:sz="4" w:space="0" w:color="A6A6A6"/>
            </w:tcBorders>
            <w:vAlign w:val="center"/>
            <w:hideMark/>
          </w:tcPr>
          <w:p w14:paraId="6735A0F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w:t>
            </w:r>
          </w:p>
        </w:tc>
        <w:tc>
          <w:tcPr>
            <w:tcW w:w="1448" w:type="dxa"/>
            <w:tcBorders>
              <w:top w:val="nil"/>
              <w:left w:val="nil"/>
              <w:bottom w:val="single" w:sz="4" w:space="0" w:color="A6A6A6"/>
              <w:right w:val="single" w:sz="4" w:space="0" w:color="A6A6A6"/>
            </w:tcBorders>
            <w:vAlign w:val="center"/>
            <w:hideMark/>
          </w:tcPr>
          <w:p w14:paraId="0F6C667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60%</w:t>
            </w:r>
          </w:p>
        </w:tc>
        <w:tc>
          <w:tcPr>
            <w:tcW w:w="1517" w:type="dxa"/>
            <w:tcBorders>
              <w:top w:val="nil"/>
              <w:left w:val="nil"/>
              <w:bottom w:val="single" w:sz="4" w:space="0" w:color="A6A6A6"/>
              <w:right w:val="single" w:sz="4" w:space="0" w:color="A6A6A6"/>
            </w:tcBorders>
            <w:vAlign w:val="center"/>
            <w:hideMark/>
          </w:tcPr>
          <w:p w14:paraId="4CA2C09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$4,624,340 </w:t>
            </w:r>
          </w:p>
        </w:tc>
        <w:tc>
          <w:tcPr>
            <w:tcW w:w="1330" w:type="dxa"/>
            <w:tcBorders>
              <w:top w:val="nil"/>
              <w:left w:val="nil"/>
              <w:bottom w:val="single" w:sz="4" w:space="0" w:color="A6A6A6"/>
              <w:right w:val="single" w:sz="4" w:space="0" w:color="A6A6A6"/>
            </w:tcBorders>
            <w:vAlign w:val="center"/>
            <w:hideMark/>
          </w:tcPr>
          <w:p w14:paraId="1AC2210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w:t>
            </w:r>
          </w:p>
        </w:tc>
        <w:tc>
          <w:tcPr>
            <w:tcW w:w="1400" w:type="dxa"/>
            <w:tcBorders>
              <w:top w:val="nil"/>
              <w:left w:val="nil"/>
              <w:bottom w:val="single" w:sz="4" w:space="0" w:color="A6A6A6"/>
              <w:right w:val="single" w:sz="4" w:space="0" w:color="A6A6A6"/>
            </w:tcBorders>
            <w:vAlign w:val="center"/>
            <w:hideMark/>
          </w:tcPr>
          <w:p w14:paraId="247A567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$697,878</w:t>
            </w:r>
          </w:p>
        </w:tc>
        <w:tc>
          <w:tcPr>
            <w:tcW w:w="1501" w:type="dxa"/>
            <w:tcBorders>
              <w:top w:val="nil"/>
              <w:left w:val="nil"/>
              <w:bottom w:val="single" w:sz="4" w:space="0" w:color="A6A6A6"/>
              <w:right w:val="single" w:sz="4" w:space="0" w:color="A6A6A6"/>
            </w:tcBorders>
            <w:vAlign w:val="center"/>
            <w:hideMark/>
          </w:tcPr>
          <w:p w14:paraId="045431A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69%</w:t>
            </w:r>
          </w:p>
        </w:tc>
        <w:tc>
          <w:tcPr>
            <w:tcW w:w="1620" w:type="dxa"/>
            <w:tcBorders>
              <w:top w:val="nil"/>
              <w:left w:val="nil"/>
              <w:bottom w:val="single" w:sz="4" w:space="0" w:color="A6A6A6"/>
              <w:right w:val="single" w:sz="4" w:space="0" w:color="A6A6A6"/>
            </w:tcBorders>
            <w:vAlign w:val="center"/>
            <w:hideMark/>
          </w:tcPr>
          <w:p w14:paraId="2D00C6E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$5,322,218 </w:t>
            </w:r>
          </w:p>
        </w:tc>
      </w:tr>
      <w:tr w:rsidR="00251F8D" w:rsidRPr="001A2D42" w14:paraId="58DCCC8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049F967D"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EOCCO</w:t>
            </w:r>
          </w:p>
        </w:tc>
        <w:tc>
          <w:tcPr>
            <w:tcW w:w="1330" w:type="dxa"/>
            <w:tcBorders>
              <w:top w:val="nil"/>
              <w:left w:val="nil"/>
              <w:bottom w:val="single" w:sz="4" w:space="0" w:color="A6A6A6"/>
              <w:right w:val="single" w:sz="4" w:space="0" w:color="A6A6A6"/>
            </w:tcBorders>
            <w:vAlign w:val="center"/>
            <w:hideMark/>
          </w:tcPr>
          <w:p w14:paraId="795CDF0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w:t>
            </w:r>
          </w:p>
        </w:tc>
        <w:tc>
          <w:tcPr>
            <w:tcW w:w="1448" w:type="dxa"/>
            <w:tcBorders>
              <w:top w:val="nil"/>
              <w:left w:val="nil"/>
              <w:bottom w:val="single" w:sz="4" w:space="0" w:color="A6A6A6"/>
              <w:right w:val="single" w:sz="4" w:space="0" w:color="A6A6A6"/>
            </w:tcBorders>
            <w:vAlign w:val="center"/>
            <w:hideMark/>
          </w:tcPr>
          <w:p w14:paraId="7AE4CA0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80%</w:t>
            </w:r>
          </w:p>
        </w:tc>
        <w:tc>
          <w:tcPr>
            <w:tcW w:w="1517" w:type="dxa"/>
            <w:tcBorders>
              <w:top w:val="nil"/>
              <w:left w:val="nil"/>
              <w:bottom w:val="single" w:sz="4" w:space="0" w:color="A6A6A6"/>
              <w:right w:val="single" w:sz="4" w:space="0" w:color="A6A6A6"/>
            </w:tcBorders>
            <w:vAlign w:val="center"/>
            <w:hideMark/>
          </w:tcPr>
          <w:p w14:paraId="36289C6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$11,690,879 </w:t>
            </w:r>
          </w:p>
        </w:tc>
        <w:tc>
          <w:tcPr>
            <w:tcW w:w="1330" w:type="dxa"/>
            <w:tcBorders>
              <w:top w:val="nil"/>
              <w:left w:val="nil"/>
              <w:bottom w:val="single" w:sz="4" w:space="0" w:color="A6A6A6"/>
              <w:right w:val="single" w:sz="4" w:space="0" w:color="A6A6A6"/>
            </w:tcBorders>
            <w:vAlign w:val="center"/>
            <w:hideMark/>
          </w:tcPr>
          <w:p w14:paraId="4F051E7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w:t>
            </w:r>
          </w:p>
        </w:tc>
        <w:tc>
          <w:tcPr>
            <w:tcW w:w="1400" w:type="dxa"/>
            <w:tcBorders>
              <w:top w:val="nil"/>
              <w:left w:val="nil"/>
              <w:bottom w:val="single" w:sz="4" w:space="0" w:color="A6A6A6"/>
              <w:right w:val="single" w:sz="4" w:space="0" w:color="A6A6A6"/>
            </w:tcBorders>
            <w:vAlign w:val="center"/>
            <w:hideMark/>
          </w:tcPr>
          <w:p w14:paraId="126EAF8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$2,964,934</w:t>
            </w:r>
          </w:p>
        </w:tc>
        <w:tc>
          <w:tcPr>
            <w:tcW w:w="1501" w:type="dxa"/>
            <w:tcBorders>
              <w:top w:val="nil"/>
              <w:left w:val="nil"/>
              <w:bottom w:val="single" w:sz="4" w:space="0" w:color="A6A6A6"/>
              <w:right w:val="single" w:sz="4" w:space="0" w:color="A6A6A6"/>
            </w:tcBorders>
            <w:vAlign w:val="center"/>
            <w:hideMark/>
          </w:tcPr>
          <w:p w14:paraId="3B50578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620" w:type="dxa"/>
            <w:tcBorders>
              <w:top w:val="nil"/>
              <w:left w:val="nil"/>
              <w:bottom w:val="single" w:sz="4" w:space="0" w:color="A6A6A6"/>
              <w:right w:val="single" w:sz="4" w:space="0" w:color="A6A6A6"/>
            </w:tcBorders>
            <w:vAlign w:val="center"/>
            <w:hideMark/>
          </w:tcPr>
          <w:p w14:paraId="143BE56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$14,655,813 </w:t>
            </w:r>
          </w:p>
        </w:tc>
      </w:tr>
      <w:tr w:rsidR="00251F8D" w:rsidRPr="001A2D42" w14:paraId="59B782AA"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99F39A6"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Health Share of Oregon</w:t>
            </w:r>
          </w:p>
        </w:tc>
        <w:tc>
          <w:tcPr>
            <w:tcW w:w="1330" w:type="dxa"/>
            <w:tcBorders>
              <w:top w:val="nil"/>
              <w:left w:val="nil"/>
              <w:bottom w:val="single" w:sz="4" w:space="0" w:color="A6A6A6"/>
              <w:right w:val="single" w:sz="4" w:space="0" w:color="A6A6A6"/>
            </w:tcBorders>
            <w:vAlign w:val="center"/>
            <w:hideMark/>
          </w:tcPr>
          <w:p w14:paraId="5C7370A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w:t>
            </w:r>
          </w:p>
        </w:tc>
        <w:tc>
          <w:tcPr>
            <w:tcW w:w="1448" w:type="dxa"/>
            <w:tcBorders>
              <w:top w:val="nil"/>
              <w:left w:val="nil"/>
              <w:bottom w:val="single" w:sz="4" w:space="0" w:color="A6A6A6"/>
              <w:right w:val="single" w:sz="4" w:space="0" w:color="A6A6A6"/>
            </w:tcBorders>
            <w:vAlign w:val="center"/>
            <w:hideMark/>
          </w:tcPr>
          <w:p w14:paraId="53B52D8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90%</w:t>
            </w:r>
          </w:p>
        </w:tc>
        <w:tc>
          <w:tcPr>
            <w:tcW w:w="1517" w:type="dxa"/>
            <w:tcBorders>
              <w:top w:val="nil"/>
              <w:left w:val="nil"/>
              <w:bottom w:val="single" w:sz="4" w:space="0" w:color="A6A6A6"/>
              <w:right w:val="single" w:sz="4" w:space="0" w:color="A6A6A6"/>
            </w:tcBorders>
            <w:vAlign w:val="center"/>
            <w:hideMark/>
          </w:tcPr>
          <w:p w14:paraId="68A067B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$67,371,800 </w:t>
            </w:r>
          </w:p>
        </w:tc>
        <w:tc>
          <w:tcPr>
            <w:tcW w:w="1330" w:type="dxa"/>
            <w:tcBorders>
              <w:top w:val="nil"/>
              <w:left w:val="nil"/>
              <w:bottom w:val="single" w:sz="4" w:space="0" w:color="A6A6A6"/>
              <w:right w:val="single" w:sz="4" w:space="0" w:color="A6A6A6"/>
            </w:tcBorders>
            <w:vAlign w:val="center"/>
            <w:hideMark/>
          </w:tcPr>
          <w:p w14:paraId="6CB8936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7FFAC24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$11,344,438</w:t>
            </w:r>
          </w:p>
        </w:tc>
        <w:tc>
          <w:tcPr>
            <w:tcW w:w="1501" w:type="dxa"/>
            <w:tcBorders>
              <w:top w:val="nil"/>
              <w:left w:val="nil"/>
              <w:bottom w:val="single" w:sz="4" w:space="0" w:color="A6A6A6"/>
              <w:right w:val="single" w:sz="4" w:space="0" w:color="A6A6A6"/>
            </w:tcBorders>
            <w:vAlign w:val="center"/>
            <w:hideMark/>
          </w:tcPr>
          <w:p w14:paraId="51FC407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105%</w:t>
            </w:r>
          </w:p>
        </w:tc>
        <w:tc>
          <w:tcPr>
            <w:tcW w:w="1620" w:type="dxa"/>
            <w:tcBorders>
              <w:top w:val="nil"/>
              <w:left w:val="nil"/>
              <w:bottom w:val="single" w:sz="4" w:space="0" w:color="A6A6A6"/>
              <w:right w:val="single" w:sz="4" w:space="0" w:color="A6A6A6"/>
            </w:tcBorders>
            <w:vAlign w:val="center"/>
            <w:hideMark/>
          </w:tcPr>
          <w:p w14:paraId="5541D5E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$78,716,238 </w:t>
            </w:r>
          </w:p>
        </w:tc>
      </w:tr>
      <w:tr w:rsidR="00251F8D" w:rsidRPr="001A2D42" w14:paraId="47E79D4E"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1C90BE"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InterCommunity Health Network</w:t>
            </w:r>
          </w:p>
        </w:tc>
        <w:tc>
          <w:tcPr>
            <w:tcW w:w="1330" w:type="dxa"/>
            <w:tcBorders>
              <w:top w:val="nil"/>
              <w:left w:val="nil"/>
              <w:bottom w:val="single" w:sz="4" w:space="0" w:color="A6A6A6"/>
              <w:right w:val="single" w:sz="4" w:space="0" w:color="A6A6A6"/>
            </w:tcBorders>
            <w:vAlign w:val="center"/>
            <w:hideMark/>
          </w:tcPr>
          <w:p w14:paraId="12E9B2D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w:t>
            </w:r>
          </w:p>
        </w:tc>
        <w:tc>
          <w:tcPr>
            <w:tcW w:w="1448" w:type="dxa"/>
            <w:tcBorders>
              <w:top w:val="nil"/>
              <w:left w:val="nil"/>
              <w:bottom w:val="single" w:sz="4" w:space="0" w:color="A6A6A6"/>
              <w:right w:val="single" w:sz="4" w:space="0" w:color="A6A6A6"/>
            </w:tcBorders>
            <w:vAlign w:val="center"/>
            <w:hideMark/>
          </w:tcPr>
          <w:p w14:paraId="2A7E0E6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90%</w:t>
            </w:r>
          </w:p>
        </w:tc>
        <w:tc>
          <w:tcPr>
            <w:tcW w:w="1517" w:type="dxa"/>
            <w:tcBorders>
              <w:top w:val="nil"/>
              <w:left w:val="nil"/>
              <w:bottom w:val="single" w:sz="4" w:space="0" w:color="A6A6A6"/>
              <w:right w:val="single" w:sz="4" w:space="0" w:color="A6A6A6"/>
            </w:tcBorders>
            <w:vAlign w:val="center"/>
            <w:hideMark/>
          </w:tcPr>
          <w:p w14:paraId="40FBB01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$14,277,018 </w:t>
            </w:r>
          </w:p>
        </w:tc>
        <w:tc>
          <w:tcPr>
            <w:tcW w:w="1330" w:type="dxa"/>
            <w:tcBorders>
              <w:top w:val="nil"/>
              <w:left w:val="nil"/>
              <w:bottom w:val="single" w:sz="4" w:space="0" w:color="A6A6A6"/>
              <w:right w:val="single" w:sz="4" w:space="0" w:color="A6A6A6"/>
            </w:tcBorders>
            <w:vAlign w:val="center"/>
            <w:hideMark/>
          </w:tcPr>
          <w:p w14:paraId="129FCD1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w:t>
            </w:r>
          </w:p>
        </w:tc>
        <w:tc>
          <w:tcPr>
            <w:tcW w:w="1400" w:type="dxa"/>
            <w:tcBorders>
              <w:top w:val="nil"/>
              <w:left w:val="nil"/>
              <w:bottom w:val="single" w:sz="4" w:space="0" w:color="A6A6A6"/>
              <w:right w:val="single" w:sz="4" w:space="0" w:color="A6A6A6"/>
            </w:tcBorders>
            <w:vAlign w:val="center"/>
            <w:hideMark/>
          </w:tcPr>
          <w:p w14:paraId="178C61B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$3,319,185</w:t>
            </w:r>
          </w:p>
        </w:tc>
        <w:tc>
          <w:tcPr>
            <w:tcW w:w="1501" w:type="dxa"/>
            <w:tcBorders>
              <w:top w:val="nil"/>
              <w:left w:val="nil"/>
              <w:bottom w:val="single" w:sz="4" w:space="0" w:color="A6A6A6"/>
              <w:right w:val="single" w:sz="4" w:space="0" w:color="A6A6A6"/>
            </w:tcBorders>
            <w:vAlign w:val="center"/>
            <w:hideMark/>
          </w:tcPr>
          <w:p w14:paraId="7F8DB2A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111%</w:t>
            </w:r>
          </w:p>
        </w:tc>
        <w:tc>
          <w:tcPr>
            <w:tcW w:w="1620" w:type="dxa"/>
            <w:tcBorders>
              <w:top w:val="nil"/>
              <w:left w:val="nil"/>
              <w:bottom w:val="single" w:sz="4" w:space="0" w:color="A6A6A6"/>
              <w:right w:val="single" w:sz="4" w:space="0" w:color="A6A6A6"/>
            </w:tcBorders>
            <w:vAlign w:val="center"/>
            <w:hideMark/>
          </w:tcPr>
          <w:p w14:paraId="7A0C60B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$17,596,203 </w:t>
            </w:r>
          </w:p>
        </w:tc>
      </w:tr>
      <w:tr w:rsidR="00251F8D" w:rsidRPr="001A2D42" w14:paraId="3590037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1B8A9C2B"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Jackson Care Connect</w:t>
            </w:r>
          </w:p>
        </w:tc>
        <w:tc>
          <w:tcPr>
            <w:tcW w:w="1330" w:type="dxa"/>
            <w:tcBorders>
              <w:top w:val="nil"/>
              <w:left w:val="nil"/>
              <w:bottom w:val="single" w:sz="4" w:space="0" w:color="A6A6A6"/>
              <w:right w:val="single" w:sz="4" w:space="0" w:color="A6A6A6"/>
            </w:tcBorders>
            <w:vAlign w:val="center"/>
            <w:hideMark/>
          </w:tcPr>
          <w:p w14:paraId="2F95E78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w:t>
            </w:r>
          </w:p>
        </w:tc>
        <w:tc>
          <w:tcPr>
            <w:tcW w:w="1448" w:type="dxa"/>
            <w:tcBorders>
              <w:top w:val="nil"/>
              <w:left w:val="nil"/>
              <w:bottom w:val="single" w:sz="4" w:space="0" w:color="A6A6A6"/>
              <w:right w:val="single" w:sz="4" w:space="0" w:color="A6A6A6"/>
            </w:tcBorders>
            <w:vAlign w:val="center"/>
            <w:hideMark/>
          </w:tcPr>
          <w:p w14:paraId="24DEF71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70%</w:t>
            </w:r>
          </w:p>
        </w:tc>
        <w:tc>
          <w:tcPr>
            <w:tcW w:w="1517" w:type="dxa"/>
            <w:tcBorders>
              <w:top w:val="nil"/>
              <w:left w:val="nil"/>
              <w:bottom w:val="single" w:sz="4" w:space="0" w:color="A6A6A6"/>
              <w:right w:val="single" w:sz="4" w:space="0" w:color="A6A6A6"/>
            </w:tcBorders>
            <w:vAlign w:val="center"/>
            <w:hideMark/>
          </w:tcPr>
          <w:p w14:paraId="18B9DBD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$7,786,797 </w:t>
            </w:r>
          </w:p>
        </w:tc>
        <w:tc>
          <w:tcPr>
            <w:tcW w:w="1330" w:type="dxa"/>
            <w:tcBorders>
              <w:top w:val="nil"/>
              <w:left w:val="nil"/>
              <w:bottom w:val="single" w:sz="4" w:space="0" w:color="A6A6A6"/>
              <w:right w:val="single" w:sz="4" w:space="0" w:color="A6A6A6"/>
            </w:tcBorders>
            <w:vAlign w:val="center"/>
            <w:hideMark/>
          </w:tcPr>
          <w:p w14:paraId="2D3285B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w:t>
            </w:r>
          </w:p>
        </w:tc>
        <w:tc>
          <w:tcPr>
            <w:tcW w:w="1400" w:type="dxa"/>
            <w:tcBorders>
              <w:top w:val="nil"/>
              <w:left w:val="nil"/>
              <w:bottom w:val="single" w:sz="4" w:space="0" w:color="A6A6A6"/>
              <w:right w:val="single" w:sz="4" w:space="0" w:color="A6A6A6"/>
            </w:tcBorders>
            <w:vAlign w:val="center"/>
            <w:hideMark/>
          </w:tcPr>
          <w:p w14:paraId="06409E7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$1,220,977</w:t>
            </w:r>
          </w:p>
        </w:tc>
        <w:tc>
          <w:tcPr>
            <w:tcW w:w="1501" w:type="dxa"/>
            <w:tcBorders>
              <w:top w:val="nil"/>
              <w:left w:val="nil"/>
              <w:bottom w:val="single" w:sz="4" w:space="0" w:color="A6A6A6"/>
              <w:right w:val="single" w:sz="4" w:space="0" w:color="A6A6A6"/>
            </w:tcBorders>
            <w:vAlign w:val="center"/>
            <w:hideMark/>
          </w:tcPr>
          <w:p w14:paraId="780B0A2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81%</w:t>
            </w:r>
          </w:p>
        </w:tc>
        <w:tc>
          <w:tcPr>
            <w:tcW w:w="1620" w:type="dxa"/>
            <w:tcBorders>
              <w:top w:val="nil"/>
              <w:left w:val="nil"/>
              <w:bottom w:val="single" w:sz="4" w:space="0" w:color="A6A6A6"/>
              <w:right w:val="single" w:sz="4" w:space="0" w:color="A6A6A6"/>
            </w:tcBorders>
            <w:vAlign w:val="center"/>
            <w:hideMark/>
          </w:tcPr>
          <w:p w14:paraId="5A9231D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$9,007,774 </w:t>
            </w:r>
          </w:p>
        </w:tc>
      </w:tr>
      <w:tr w:rsidR="00251F8D" w:rsidRPr="001A2D42" w14:paraId="2B763133"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E1C2B2"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Central </w:t>
            </w:r>
          </w:p>
        </w:tc>
        <w:tc>
          <w:tcPr>
            <w:tcW w:w="1330" w:type="dxa"/>
            <w:tcBorders>
              <w:top w:val="nil"/>
              <w:left w:val="nil"/>
              <w:bottom w:val="single" w:sz="4" w:space="0" w:color="A6A6A6"/>
              <w:right w:val="single" w:sz="4" w:space="0" w:color="A6A6A6"/>
            </w:tcBorders>
            <w:vAlign w:val="center"/>
            <w:hideMark/>
          </w:tcPr>
          <w:p w14:paraId="1FF7180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w:t>
            </w:r>
          </w:p>
        </w:tc>
        <w:tc>
          <w:tcPr>
            <w:tcW w:w="1448" w:type="dxa"/>
            <w:tcBorders>
              <w:top w:val="nil"/>
              <w:left w:val="nil"/>
              <w:bottom w:val="single" w:sz="4" w:space="0" w:color="A6A6A6"/>
              <w:right w:val="single" w:sz="4" w:space="0" w:color="A6A6A6"/>
            </w:tcBorders>
            <w:vAlign w:val="center"/>
            <w:hideMark/>
          </w:tcPr>
          <w:p w14:paraId="6561BE0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70%</w:t>
            </w:r>
          </w:p>
        </w:tc>
        <w:tc>
          <w:tcPr>
            <w:tcW w:w="1517" w:type="dxa"/>
            <w:tcBorders>
              <w:top w:val="nil"/>
              <w:left w:val="nil"/>
              <w:bottom w:val="single" w:sz="4" w:space="0" w:color="A6A6A6"/>
              <w:right w:val="single" w:sz="4" w:space="0" w:color="A6A6A6"/>
            </w:tcBorders>
            <w:vAlign w:val="center"/>
            <w:hideMark/>
          </w:tcPr>
          <w:p w14:paraId="71C2F0B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$11,038,910 </w:t>
            </w:r>
          </w:p>
        </w:tc>
        <w:tc>
          <w:tcPr>
            <w:tcW w:w="1330" w:type="dxa"/>
            <w:tcBorders>
              <w:top w:val="nil"/>
              <w:left w:val="nil"/>
              <w:bottom w:val="single" w:sz="4" w:space="0" w:color="A6A6A6"/>
              <w:right w:val="single" w:sz="4" w:space="0" w:color="A6A6A6"/>
            </w:tcBorders>
            <w:vAlign w:val="center"/>
            <w:hideMark/>
          </w:tcPr>
          <w:p w14:paraId="5E98CFA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2764192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$2,453,799</w:t>
            </w:r>
          </w:p>
        </w:tc>
        <w:tc>
          <w:tcPr>
            <w:tcW w:w="1501" w:type="dxa"/>
            <w:tcBorders>
              <w:top w:val="nil"/>
              <w:left w:val="nil"/>
              <w:bottom w:val="single" w:sz="4" w:space="0" w:color="A6A6A6"/>
              <w:right w:val="single" w:sz="4" w:space="0" w:color="A6A6A6"/>
            </w:tcBorders>
            <w:vAlign w:val="center"/>
            <w:hideMark/>
          </w:tcPr>
          <w:p w14:paraId="4625F04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86%</w:t>
            </w:r>
          </w:p>
        </w:tc>
        <w:tc>
          <w:tcPr>
            <w:tcW w:w="1620" w:type="dxa"/>
            <w:tcBorders>
              <w:top w:val="nil"/>
              <w:left w:val="nil"/>
              <w:bottom w:val="single" w:sz="4" w:space="0" w:color="A6A6A6"/>
              <w:right w:val="single" w:sz="4" w:space="0" w:color="A6A6A6"/>
            </w:tcBorders>
            <w:vAlign w:val="center"/>
            <w:hideMark/>
          </w:tcPr>
          <w:p w14:paraId="3880422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$13,492,710 </w:t>
            </w:r>
          </w:p>
        </w:tc>
      </w:tr>
      <w:tr w:rsidR="00251F8D" w:rsidRPr="001A2D42" w14:paraId="628F9DF7"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4A4E5C"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Gorge</w:t>
            </w:r>
          </w:p>
        </w:tc>
        <w:tc>
          <w:tcPr>
            <w:tcW w:w="1330" w:type="dxa"/>
            <w:tcBorders>
              <w:top w:val="nil"/>
              <w:left w:val="nil"/>
              <w:bottom w:val="single" w:sz="4" w:space="0" w:color="A6A6A6"/>
              <w:right w:val="single" w:sz="4" w:space="0" w:color="A6A6A6"/>
            </w:tcBorders>
            <w:vAlign w:val="center"/>
            <w:hideMark/>
          </w:tcPr>
          <w:p w14:paraId="6DAD21A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w:t>
            </w:r>
          </w:p>
        </w:tc>
        <w:tc>
          <w:tcPr>
            <w:tcW w:w="1448" w:type="dxa"/>
            <w:tcBorders>
              <w:top w:val="nil"/>
              <w:left w:val="nil"/>
              <w:bottom w:val="single" w:sz="4" w:space="0" w:color="A6A6A6"/>
              <w:right w:val="single" w:sz="4" w:space="0" w:color="A6A6A6"/>
            </w:tcBorders>
            <w:vAlign w:val="center"/>
            <w:hideMark/>
          </w:tcPr>
          <w:p w14:paraId="25F0AB7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1CEE6C5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$3,183,913 </w:t>
            </w:r>
          </w:p>
        </w:tc>
        <w:tc>
          <w:tcPr>
            <w:tcW w:w="1330" w:type="dxa"/>
            <w:tcBorders>
              <w:top w:val="nil"/>
              <w:left w:val="nil"/>
              <w:bottom w:val="single" w:sz="4" w:space="0" w:color="A6A6A6"/>
              <w:right w:val="single" w:sz="4" w:space="0" w:color="A6A6A6"/>
            </w:tcBorders>
            <w:vAlign w:val="center"/>
            <w:hideMark/>
          </w:tcPr>
          <w:p w14:paraId="01C002D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w:t>
            </w:r>
          </w:p>
        </w:tc>
        <w:tc>
          <w:tcPr>
            <w:tcW w:w="1400" w:type="dxa"/>
            <w:tcBorders>
              <w:top w:val="nil"/>
              <w:left w:val="nil"/>
              <w:bottom w:val="single" w:sz="4" w:space="0" w:color="A6A6A6"/>
              <w:right w:val="single" w:sz="4" w:space="0" w:color="A6A6A6"/>
            </w:tcBorders>
            <w:vAlign w:val="center"/>
            <w:hideMark/>
          </w:tcPr>
          <w:p w14:paraId="3E3A419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$680,519</w:t>
            </w:r>
          </w:p>
        </w:tc>
        <w:tc>
          <w:tcPr>
            <w:tcW w:w="1501" w:type="dxa"/>
            <w:tcBorders>
              <w:top w:val="nil"/>
              <w:left w:val="nil"/>
              <w:bottom w:val="single" w:sz="4" w:space="0" w:color="A6A6A6"/>
              <w:right w:val="single" w:sz="4" w:space="0" w:color="A6A6A6"/>
            </w:tcBorders>
            <w:vAlign w:val="center"/>
            <w:hideMark/>
          </w:tcPr>
          <w:p w14:paraId="5BF2C98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121%</w:t>
            </w:r>
          </w:p>
        </w:tc>
        <w:tc>
          <w:tcPr>
            <w:tcW w:w="1620" w:type="dxa"/>
            <w:tcBorders>
              <w:top w:val="nil"/>
              <w:left w:val="nil"/>
              <w:bottom w:val="single" w:sz="4" w:space="0" w:color="A6A6A6"/>
              <w:right w:val="single" w:sz="4" w:space="0" w:color="A6A6A6"/>
            </w:tcBorders>
            <w:vAlign w:val="center"/>
            <w:hideMark/>
          </w:tcPr>
          <w:p w14:paraId="0C2AD73B"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$3,864,432 </w:t>
            </w:r>
          </w:p>
        </w:tc>
      </w:tr>
      <w:tr w:rsidR="00251F8D" w:rsidRPr="001A2D42" w14:paraId="41518AF1"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AABFB07"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Lane </w:t>
            </w:r>
          </w:p>
        </w:tc>
        <w:tc>
          <w:tcPr>
            <w:tcW w:w="1330" w:type="dxa"/>
            <w:tcBorders>
              <w:top w:val="nil"/>
              <w:left w:val="nil"/>
              <w:bottom w:val="single" w:sz="4" w:space="0" w:color="A6A6A6"/>
              <w:right w:val="single" w:sz="4" w:space="0" w:color="A6A6A6"/>
            </w:tcBorders>
            <w:vAlign w:val="center"/>
            <w:hideMark/>
          </w:tcPr>
          <w:p w14:paraId="72C9FD6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w:t>
            </w:r>
          </w:p>
        </w:tc>
        <w:tc>
          <w:tcPr>
            <w:tcW w:w="1448" w:type="dxa"/>
            <w:tcBorders>
              <w:top w:val="nil"/>
              <w:left w:val="nil"/>
              <w:bottom w:val="single" w:sz="4" w:space="0" w:color="A6A6A6"/>
              <w:right w:val="single" w:sz="4" w:space="0" w:color="A6A6A6"/>
            </w:tcBorders>
            <w:vAlign w:val="center"/>
            <w:hideMark/>
          </w:tcPr>
          <w:p w14:paraId="4A0B4BA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2E6253F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$15,931,566 </w:t>
            </w:r>
          </w:p>
        </w:tc>
        <w:tc>
          <w:tcPr>
            <w:tcW w:w="1330" w:type="dxa"/>
            <w:tcBorders>
              <w:top w:val="nil"/>
              <w:left w:val="nil"/>
              <w:bottom w:val="single" w:sz="4" w:space="0" w:color="A6A6A6"/>
              <w:right w:val="single" w:sz="4" w:space="0" w:color="A6A6A6"/>
            </w:tcBorders>
            <w:vAlign w:val="center"/>
            <w:hideMark/>
          </w:tcPr>
          <w:p w14:paraId="0D3BB56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w:t>
            </w:r>
          </w:p>
        </w:tc>
        <w:tc>
          <w:tcPr>
            <w:tcW w:w="1400" w:type="dxa"/>
            <w:tcBorders>
              <w:top w:val="nil"/>
              <w:left w:val="nil"/>
              <w:bottom w:val="single" w:sz="4" w:space="0" w:color="A6A6A6"/>
              <w:right w:val="single" w:sz="4" w:space="0" w:color="A6A6A6"/>
            </w:tcBorders>
            <w:vAlign w:val="center"/>
            <w:hideMark/>
          </w:tcPr>
          <w:p w14:paraId="46A9CF6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$3,658,869</w:t>
            </w:r>
          </w:p>
        </w:tc>
        <w:tc>
          <w:tcPr>
            <w:tcW w:w="1501" w:type="dxa"/>
            <w:tcBorders>
              <w:top w:val="nil"/>
              <w:left w:val="nil"/>
              <w:bottom w:val="single" w:sz="4" w:space="0" w:color="A6A6A6"/>
              <w:right w:val="single" w:sz="4" w:space="0" w:color="A6A6A6"/>
            </w:tcBorders>
            <w:vAlign w:val="center"/>
            <w:hideMark/>
          </w:tcPr>
          <w:p w14:paraId="7B86B71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123%</w:t>
            </w:r>
          </w:p>
        </w:tc>
        <w:tc>
          <w:tcPr>
            <w:tcW w:w="1620" w:type="dxa"/>
            <w:tcBorders>
              <w:top w:val="nil"/>
              <w:left w:val="nil"/>
              <w:bottom w:val="single" w:sz="4" w:space="0" w:color="A6A6A6"/>
              <w:right w:val="single" w:sz="4" w:space="0" w:color="A6A6A6"/>
            </w:tcBorders>
            <w:vAlign w:val="center"/>
            <w:hideMark/>
          </w:tcPr>
          <w:p w14:paraId="7A2A3C2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$19,590,435 </w:t>
            </w:r>
          </w:p>
        </w:tc>
      </w:tr>
      <w:tr w:rsidR="00251F8D" w:rsidRPr="001A2D42" w14:paraId="15105B88"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704C0801"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Marion Polk</w:t>
            </w:r>
          </w:p>
        </w:tc>
        <w:tc>
          <w:tcPr>
            <w:tcW w:w="1330" w:type="dxa"/>
            <w:tcBorders>
              <w:top w:val="nil"/>
              <w:left w:val="nil"/>
              <w:bottom w:val="single" w:sz="4" w:space="0" w:color="A6A6A6"/>
              <w:right w:val="single" w:sz="4" w:space="0" w:color="A6A6A6"/>
            </w:tcBorders>
            <w:vAlign w:val="center"/>
            <w:hideMark/>
          </w:tcPr>
          <w:p w14:paraId="2FDC010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w:t>
            </w:r>
          </w:p>
        </w:tc>
        <w:tc>
          <w:tcPr>
            <w:tcW w:w="1448" w:type="dxa"/>
            <w:tcBorders>
              <w:top w:val="nil"/>
              <w:left w:val="nil"/>
              <w:bottom w:val="single" w:sz="4" w:space="0" w:color="A6A6A6"/>
              <w:right w:val="single" w:sz="4" w:space="0" w:color="A6A6A6"/>
            </w:tcBorders>
            <w:vAlign w:val="center"/>
            <w:hideMark/>
          </w:tcPr>
          <w:p w14:paraId="261F59E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70%</w:t>
            </w:r>
          </w:p>
        </w:tc>
        <w:tc>
          <w:tcPr>
            <w:tcW w:w="1517" w:type="dxa"/>
            <w:tcBorders>
              <w:top w:val="nil"/>
              <w:left w:val="nil"/>
              <w:bottom w:val="single" w:sz="4" w:space="0" w:color="A6A6A6"/>
              <w:right w:val="single" w:sz="4" w:space="0" w:color="A6A6A6"/>
            </w:tcBorders>
            <w:vAlign w:val="center"/>
            <w:hideMark/>
          </w:tcPr>
          <w:p w14:paraId="1BC8EB4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$17,895,137 </w:t>
            </w:r>
          </w:p>
        </w:tc>
        <w:tc>
          <w:tcPr>
            <w:tcW w:w="1330" w:type="dxa"/>
            <w:tcBorders>
              <w:top w:val="nil"/>
              <w:left w:val="nil"/>
              <w:bottom w:val="single" w:sz="4" w:space="0" w:color="A6A6A6"/>
              <w:right w:val="single" w:sz="4" w:space="0" w:color="A6A6A6"/>
            </w:tcBorders>
            <w:vAlign w:val="center"/>
            <w:hideMark/>
          </w:tcPr>
          <w:p w14:paraId="05F5EB8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4658E4B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$3,834,285</w:t>
            </w:r>
          </w:p>
        </w:tc>
        <w:tc>
          <w:tcPr>
            <w:tcW w:w="1501" w:type="dxa"/>
            <w:tcBorders>
              <w:top w:val="nil"/>
              <w:left w:val="nil"/>
              <w:bottom w:val="single" w:sz="4" w:space="0" w:color="A6A6A6"/>
              <w:right w:val="single" w:sz="4" w:space="0" w:color="A6A6A6"/>
            </w:tcBorders>
            <w:vAlign w:val="center"/>
            <w:hideMark/>
          </w:tcPr>
          <w:p w14:paraId="5B4A4DE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85%</w:t>
            </w:r>
          </w:p>
        </w:tc>
        <w:tc>
          <w:tcPr>
            <w:tcW w:w="1620" w:type="dxa"/>
            <w:tcBorders>
              <w:top w:val="nil"/>
              <w:left w:val="nil"/>
              <w:bottom w:val="single" w:sz="4" w:space="0" w:color="A6A6A6"/>
              <w:right w:val="single" w:sz="4" w:space="0" w:color="A6A6A6"/>
            </w:tcBorders>
            <w:vAlign w:val="center"/>
            <w:hideMark/>
          </w:tcPr>
          <w:p w14:paraId="4C9BEE4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$21,729,423 </w:t>
            </w:r>
          </w:p>
        </w:tc>
      </w:tr>
      <w:tr w:rsidR="00251F8D" w:rsidRPr="001A2D42" w14:paraId="60DA7795"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F94260E"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North</w:t>
            </w:r>
          </w:p>
        </w:tc>
        <w:tc>
          <w:tcPr>
            <w:tcW w:w="1330" w:type="dxa"/>
            <w:tcBorders>
              <w:top w:val="nil"/>
              <w:left w:val="nil"/>
              <w:bottom w:val="single" w:sz="4" w:space="0" w:color="A6A6A6"/>
              <w:right w:val="single" w:sz="4" w:space="0" w:color="A6A6A6"/>
            </w:tcBorders>
            <w:vAlign w:val="center"/>
            <w:hideMark/>
          </w:tcPr>
          <w:p w14:paraId="6184C30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w:t>
            </w:r>
          </w:p>
        </w:tc>
        <w:tc>
          <w:tcPr>
            <w:tcW w:w="1448" w:type="dxa"/>
            <w:tcBorders>
              <w:top w:val="nil"/>
              <w:left w:val="nil"/>
              <w:bottom w:val="single" w:sz="4" w:space="0" w:color="A6A6A6"/>
              <w:right w:val="single" w:sz="4" w:space="0" w:color="A6A6A6"/>
            </w:tcBorders>
            <w:vAlign w:val="center"/>
            <w:hideMark/>
          </w:tcPr>
          <w:p w14:paraId="3D3A922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0B0594E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$8,398,421 </w:t>
            </w:r>
          </w:p>
        </w:tc>
        <w:tc>
          <w:tcPr>
            <w:tcW w:w="1330" w:type="dxa"/>
            <w:tcBorders>
              <w:top w:val="nil"/>
              <w:left w:val="nil"/>
              <w:bottom w:val="single" w:sz="4" w:space="0" w:color="A6A6A6"/>
              <w:right w:val="single" w:sz="4" w:space="0" w:color="A6A6A6"/>
            </w:tcBorders>
            <w:vAlign w:val="center"/>
            <w:hideMark/>
          </w:tcPr>
          <w:p w14:paraId="702DEDE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w:t>
            </w:r>
          </w:p>
        </w:tc>
        <w:tc>
          <w:tcPr>
            <w:tcW w:w="1400" w:type="dxa"/>
            <w:tcBorders>
              <w:top w:val="nil"/>
              <w:left w:val="nil"/>
              <w:bottom w:val="single" w:sz="4" w:space="0" w:color="A6A6A6"/>
              <w:right w:val="single" w:sz="4" w:space="0" w:color="A6A6A6"/>
            </w:tcBorders>
            <w:vAlign w:val="center"/>
            <w:hideMark/>
          </w:tcPr>
          <w:p w14:paraId="2D0CB985"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$2,397,966</w:t>
            </w:r>
          </w:p>
        </w:tc>
        <w:tc>
          <w:tcPr>
            <w:tcW w:w="1501" w:type="dxa"/>
            <w:tcBorders>
              <w:top w:val="nil"/>
              <w:left w:val="nil"/>
              <w:bottom w:val="single" w:sz="4" w:space="0" w:color="A6A6A6"/>
              <w:right w:val="single" w:sz="4" w:space="0" w:color="A6A6A6"/>
            </w:tcBorders>
            <w:vAlign w:val="center"/>
            <w:hideMark/>
          </w:tcPr>
          <w:p w14:paraId="5C35EDD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129%</w:t>
            </w:r>
          </w:p>
        </w:tc>
        <w:tc>
          <w:tcPr>
            <w:tcW w:w="1620" w:type="dxa"/>
            <w:tcBorders>
              <w:top w:val="nil"/>
              <w:left w:val="nil"/>
              <w:bottom w:val="single" w:sz="4" w:space="0" w:color="A6A6A6"/>
              <w:right w:val="single" w:sz="4" w:space="0" w:color="A6A6A6"/>
            </w:tcBorders>
            <w:vAlign w:val="center"/>
            <w:hideMark/>
          </w:tcPr>
          <w:p w14:paraId="1BF3539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 $10,796,387 </w:t>
            </w:r>
          </w:p>
        </w:tc>
      </w:tr>
      <w:tr w:rsidR="00251F8D" w:rsidRPr="001A2D42" w14:paraId="6A801568"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82A8405"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South</w:t>
            </w:r>
          </w:p>
        </w:tc>
        <w:tc>
          <w:tcPr>
            <w:tcW w:w="1330" w:type="dxa"/>
            <w:tcBorders>
              <w:top w:val="nil"/>
              <w:left w:val="nil"/>
              <w:bottom w:val="single" w:sz="4" w:space="0" w:color="A6A6A6"/>
              <w:right w:val="single" w:sz="4" w:space="0" w:color="A6A6A6"/>
            </w:tcBorders>
            <w:vAlign w:val="center"/>
            <w:hideMark/>
          </w:tcPr>
          <w:p w14:paraId="5217751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w:t>
            </w:r>
          </w:p>
        </w:tc>
        <w:tc>
          <w:tcPr>
            <w:tcW w:w="1448" w:type="dxa"/>
            <w:tcBorders>
              <w:top w:val="nil"/>
              <w:left w:val="nil"/>
              <w:bottom w:val="single" w:sz="4" w:space="0" w:color="A6A6A6"/>
              <w:right w:val="single" w:sz="4" w:space="0" w:color="A6A6A6"/>
            </w:tcBorders>
            <w:vAlign w:val="center"/>
            <w:hideMark/>
          </w:tcPr>
          <w:p w14:paraId="68F3621F"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60%</w:t>
            </w:r>
          </w:p>
        </w:tc>
        <w:tc>
          <w:tcPr>
            <w:tcW w:w="1517" w:type="dxa"/>
            <w:tcBorders>
              <w:top w:val="nil"/>
              <w:left w:val="nil"/>
              <w:bottom w:val="single" w:sz="4" w:space="0" w:color="A6A6A6"/>
              <w:right w:val="single" w:sz="4" w:space="0" w:color="A6A6A6"/>
            </w:tcBorders>
            <w:vAlign w:val="center"/>
            <w:hideMark/>
          </w:tcPr>
          <w:p w14:paraId="5C0821A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$3,550,521 </w:t>
            </w:r>
          </w:p>
        </w:tc>
        <w:tc>
          <w:tcPr>
            <w:tcW w:w="1330" w:type="dxa"/>
            <w:tcBorders>
              <w:top w:val="nil"/>
              <w:left w:val="nil"/>
              <w:bottom w:val="single" w:sz="4" w:space="0" w:color="A6A6A6"/>
              <w:right w:val="single" w:sz="4" w:space="0" w:color="A6A6A6"/>
            </w:tcBorders>
            <w:vAlign w:val="center"/>
            <w:hideMark/>
          </w:tcPr>
          <w:p w14:paraId="3EFF7D6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w:t>
            </w:r>
          </w:p>
        </w:tc>
        <w:tc>
          <w:tcPr>
            <w:tcW w:w="1400" w:type="dxa"/>
            <w:tcBorders>
              <w:top w:val="nil"/>
              <w:left w:val="nil"/>
              <w:bottom w:val="single" w:sz="4" w:space="0" w:color="A6A6A6"/>
              <w:right w:val="single" w:sz="4" w:space="0" w:color="A6A6A6"/>
            </w:tcBorders>
            <w:vAlign w:val="center"/>
            <w:hideMark/>
          </w:tcPr>
          <w:p w14:paraId="6A799BD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$348,628</w:t>
            </w:r>
          </w:p>
        </w:tc>
        <w:tc>
          <w:tcPr>
            <w:tcW w:w="1501" w:type="dxa"/>
            <w:tcBorders>
              <w:top w:val="nil"/>
              <w:left w:val="nil"/>
              <w:bottom w:val="single" w:sz="4" w:space="0" w:color="A6A6A6"/>
              <w:right w:val="single" w:sz="4" w:space="0" w:color="A6A6A6"/>
            </w:tcBorders>
            <w:vAlign w:val="center"/>
            <w:hideMark/>
          </w:tcPr>
          <w:p w14:paraId="565BC03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66%</w:t>
            </w:r>
          </w:p>
        </w:tc>
        <w:tc>
          <w:tcPr>
            <w:tcW w:w="1620" w:type="dxa"/>
            <w:tcBorders>
              <w:top w:val="nil"/>
              <w:left w:val="nil"/>
              <w:bottom w:val="single" w:sz="4" w:space="0" w:color="A6A6A6"/>
              <w:right w:val="single" w:sz="4" w:space="0" w:color="A6A6A6"/>
            </w:tcBorders>
            <w:vAlign w:val="center"/>
            <w:hideMark/>
          </w:tcPr>
          <w:p w14:paraId="18EA2AF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 $3,899,149 </w:t>
            </w:r>
          </w:p>
        </w:tc>
      </w:tr>
      <w:tr w:rsidR="00251F8D" w:rsidRPr="001A2D42" w14:paraId="47BD12CA"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4EC22D64"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Umpqua Health Alliance</w:t>
            </w:r>
          </w:p>
        </w:tc>
        <w:tc>
          <w:tcPr>
            <w:tcW w:w="1330" w:type="dxa"/>
            <w:tcBorders>
              <w:top w:val="nil"/>
              <w:left w:val="nil"/>
              <w:bottom w:val="single" w:sz="4" w:space="0" w:color="A6A6A6"/>
              <w:right w:val="single" w:sz="4" w:space="0" w:color="A6A6A6"/>
            </w:tcBorders>
            <w:vAlign w:val="center"/>
            <w:hideMark/>
          </w:tcPr>
          <w:p w14:paraId="0A5443C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w:t>
            </w:r>
          </w:p>
        </w:tc>
        <w:tc>
          <w:tcPr>
            <w:tcW w:w="1448" w:type="dxa"/>
            <w:tcBorders>
              <w:top w:val="nil"/>
              <w:left w:val="nil"/>
              <w:bottom w:val="single" w:sz="4" w:space="0" w:color="A6A6A6"/>
              <w:right w:val="single" w:sz="4" w:space="0" w:color="A6A6A6"/>
            </w:tcBorders>
            <w:vAlign w:val="center"/>
            <w:hideMark/>
          </w:tcPr>
          <w:p w14:paraId="5DB8D2B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1679149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$7,273,438 </w:t>
            </w:r>
          </w:p>
        </w:tc>
        <w:tc>
          <w:tcPr>
            <w:tcW w:w="1330" w:type="dxa"/>
            <w:tcBorders>
              <w:top w:val="nil"/>
              <w:left w:val="nil"/>
              <w:bottom w:val="single" w:sz="4" w:space="0" w:color="A6A6A6"/>
              <w:right w:val="single" w:sz="4" w:space="0" w:color="A6A6A6"/>
            </w:tcBorders>
            <w:vAlign w:val="center"/>
            <w:hideMark/>
          </w:tcPr>
          <w:p w14:paraId="3E16E734"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0FB07848"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$1,296,679</w:t>
            </w:r>
          </w:p>
        </w:tc>
        <w:tc>
          <w:tcPr>
            <w:tcW w:w="1501" w:type="dxa"/>
            <w:tcBorders>
              <w:top w:val="nil"/>
              <w:left w:val="nil"/>
              <w:bottom w:val="single" w:sz="4" w:space="0" w:color="A6A6A6"/>
              <w:right w:val="single" w:sz="4" w:space="0" w:color="A6A6A6"/>
            </w:tcBorders>
            <w:vAlign w:val="center"/>
            <w:hideMark/>
          </w:tcPr>
          <w:p w14:paraId="00031317"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118%</w:t>
            </w:r>
          </w:p>
        </w:tc>
        <w:tc>
          <w:tcPr>
            <w:tcW w:w="1620" w:type="dxa"/>
            <w:tcBorders>
              <w:top w:val="nil"/>
              <w:left w:val="nil"/>
              <w:bottom w:val="single" w:sz="4" w:space="0" w:color="A6A6A6"/>
              <w:right w:val="single" w:sz="4" w:space="0" w:color="A6A6A6"/>
            </w:tcBorders>
            <w:vAlign w:val="center"/>
            <w:hideMark/>
          </w:tcPr>
          <w:p w14:paraId="10FFFDE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$8,570,116 </w:t>
            </w:r>
          </w:p>
        </w:tc>
      </w:tr>
      <w:tr w:rsidR="00251F8D" w:rsidRPr="001A2D42" w14:paraId="7D50FD92"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3B869EB2" w14:textId="77777777" w:rsidR="00251F8D" w:rsidRPr="001A2D42" w:rsidRDefault="00251F8D"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Yamhill Community Care</w:t>
            </w:r>
          </w:p>
        </w:tc>
        <w:tc>
          <w:tcPr>
            <w:tcW w:w="1330" w:type="dxa"/>
            <w:tcBorders>
              <w:top w:val="nil"/>
              <w:left w:val="nil"/>
              <w:bottom w:val="single" w:sz="4" w:space="0" w:color="A6A6A6"/>
              <w:right w:val="single" w:sz="4" w:space="0" w:color="A6A6A6"/>
            </w:tcBorders>
            <w:vAlign w:val="center"/>
            <w:hideMark/>
          </w:tcPr>
          <w:p w14:paraId="3682E39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w:t>
            </w:r>
          </w:p>
        </w:tc>
        <w:tc>
          <w:tcPr>
            <w:tcW w:w="1448" w:type="dxa"/>
            <w:tcBorders>
              <w:top w:val="nil"/>
              <w:left w:val="nil"/>
              <w:bottom w:val="single" w:sz="4" w:space="0" w:color="A6A6A6"/>
              <w:right w:val="single" w:sz="4" w:space="0" w:color="A6A6A6"/>
            </w:tcBorders>
            <w:vAlign w:val="center"/>
            <w:hideMark/>
          </w:tcPr>
          <w:p w14:paraId="5661D1E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w:t>
            </w:r>
          </w:p>
        </w:tc>
        <w:tc>
          <w:tcPr>
            <w:tcW w:w="1517" w:type="dxa"/>
            <w:tcBorders>
              <w:top w:val="nil"/>
              <w:left w:val="nil"/>
              <w:bottom w:val="single" w:sz="4" w:space="0" w:color="A6A6A6"/>
              <w:right w:val="single" w:sz="4" w:space="0" w:color="A6A6A6"/>
            </w:tcBorders>
            <w:vAlign w:val="center"/>
            <w:hideMark/>
          </w:tcPr>
          <w:p w14:paraId="01BF422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$6,338,460 </w:t>
            </w:r>
          </w:p>
        </w:tc>
        <w:tc>
          <w:tcPr>
            <w:tcW w:w="1330" w:type="dxa"/>
            <w:tcBorders>
              <w:top w:val="nil"/>
              <w:left w:val="nil"/>
              <w:bottom w:val="single" w:sz="4" w:space="0" w:color="A6A6A6"/>
              <w:right w:val="single" w:sz="4" w:space="0" w:color="A6A6A6"/>
            </w:tcBorders>
            <w:vAlign w:val="center"/>
            <w:hideMark/>
          </w:tcPr>
          <w:p w14:paraId="215A59FE"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w:t>
            </w:r>
          </w:p>
        </w:tc>
        <w:tc>
          <w:tcPr>
            <w:tcW w:w="1400" w:type="dxa"/>
            <w:tcBorders>
              <w:top w:val="nil"/>
              <w:left w:val="nil"/>
              <w:bottom w:val="single" w:sz="4" w:space="0" w:color="A6A6A6"/>
              <w:right w:val="single" w:sz="4" w:space="0" w:color="A6A6A6"/>
            </w:tcBorders>
            <w:vAlign w:val="center"/>
            <w:hideMark/>
          </w:tcPr>
          <w:p w14:paraId="223B2E1C"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$936,282</w:t>
            </w:r>
          </w:p>
        </w:tc>
        <w:tc>
          <w:tcPr>
            <w:tcW w:w="1501" w:type="dxa"/>
            <w:tcBorders>
              <w:top w:val="nil"/>
              <w:left w:val="nil"/>
              <w:bottom w:val="single" w:sz="4" w:space="0" w:color="A6A6A6"/>
              <w:right w:val="single" w:sz="4" w:space="0" w:color="A6A6A6"/>
            </w:tcBorders>
            <w:vAlign w:val="center"/>
            <w:hideMark/>
          </w:tcPr>
          <w:p w14:paraId="5364A19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115%</w:t>
            </w:r>
          </w:p>
        </w:tc>
        <w:tc>
          <w:tcPr>
            <w:tcW w:w="1620" w:type="dxa"/>
            <w:tcBorders>
              <w:top w:val="nil"/>
              <w:left w:val="nil"/>
              <w:bottom w:val="single" w:sz="4" w:space="0" w:color="A6A6A6"/>
              <w:right w:val="single" w:sz="4" w:space="0" w:color="A6A6A6"/>
            </w:tcBorders>
            <w:vAlign w:val="center"/>
            <w:hideMark/>
          </w:tcPr>
          <w:p w14:paraId="569716C2"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$7,274,742 </w:t>
            </w:r>
          </w:p>
        </w:tc>
      </w:tr>
      <w:tr w:rsidR="00251F8D" w:rsidRPr="001A2D42" w14:paraId="0BB3C955" w14:textId="77777777">
        <w:trPr>
          <w:trHeight w:val="360"/>
        </w:trPr>
        <w:tc>
          <w:tcPr>
            <w:tcW w:w="3349" w:type="dxa"/>
            <w:tcBorders>
              <w:top w:val="nil"/>
              <w:left w:val="single" w:sz="4" w:space="0" w:color="A6A6A6"/>
              <w:bottom w:val="single" w:sz="4" w:space="0" w:color="A6A6A6"/>
              <w:right w:val="single" w:sz="4" w:space="0" w:color="A6A6A6"/>
            </w:tcBorders>
            <w:vAlign w:val="center"/>
            <w:hideMark/>
          </w:tcPr>
          <w:p w14:paraId="271CB5D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Total</w:t>
            </w:r>
          </w:p>
        </w:tc>
        <w:tc>
          <w:tcPr>
            <w:tcW w:w="1330" w:type="dxa"/>
            <w:tcBorders>
              <w:top w:val="nil"/>
              <w:left w:val="nil"/>
              <w:bottom w:val="single" w:sz="4" w:space="0" w:color="A6A6A6"/>
              <w:right w:val="single" w:sz="4" w:space="0" w:color="A6A6A6"/>
            </w:tcBorders>
            <w:vAlign w:val="center"/>
            <w:hideMark/>
          </w:tcPr>
          <w:p w14:paraId="1379A173"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c>
          <w:tcPr>
            <w:tcW w:w="1448" w:type="dxa"/>
            <w:tcBorders>
              <w:top w:val="nil"/>
              <w:left w:val="nil"/>
              <w:bottom w:val="single" w:sz="4" w:space="0" w:color="A6A6A6"/>
              <w:right w:val="single" w:sz="4" w:space="0" w:color="A6A6A6"/>
            </w:tcBorders>
            <w:vAlign w:val="center"/>
            <w:hideMark/>
          </w:tcPr>
          <w:p w14:paraId="3C337B2A"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c>
          <w:tcPr>
            <w:tcW w:w="1517" w:type="dxa"/>
            <w:tcBorders>
              <w:top w:val="nil"/>
              <w:left w:val="nil"/>
              <w:bottom w:val="single" w:sz="4" w:space="0" w:color="A6A6A6"/>
              <w:right w:val="single" w:sz="4" w:space="0" w:color="A6A6A6"/>
            </w:tcBorders>
            <w:vAlign w:val="center"/>
            <w:hideMark/>
          </w:tcPr>
          <w:p w14:paraId="1E08D18D"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$194,937,960 </w:t>
            </w:r>
          </w:p>
        </w:tc>
        <w:tc>
          <w:tcPr>
            <w:tcW w:w="1330" w:type="dxa"/>
            <w:tcBorders>
              <w:top w:val="nil"/>
              <w:left w:val="nil"/>
              <w:bottom w:val="single" w:sz="4" w:space="0" w:color="A6A6A6"/>
              <w:right w:val="single" w:sz="4" w:space="0" w:color="A6A6A6"/>
            </w:tcBorders>
            <w:vAlign w:val="center"/>
            <w:hideMark/>
          </w:tcPr>
          <w:p w14:paraId="535BD926"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c>
          <w:tcPr>
            <w:tcW w:w="1400" w:type="dxa"/>
            <w:tcBorders>
              <w:top w:val="nil"/>
              <w:left w:val="nil"/>
              <w:bottom w:val="single" w:sz="4" w:space="0" w:color="A6A6A6"/>
              <w:right w:val="single" w:sz="4" w:space="0" w:color="A6A6A6"/>
            </w:tcBorders>
            <w:vAlign w:val="center"/>
            <w:hideMark/>
          </w:tcPr>
          <w:p w14:paraId="05A67939"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$38,617,686</w:t>
            </w:r>
          </w:p>
        </w:tc>
        <w:tc>
          <w:tcPr>
            <w:tcW w:w="1501" w:type="dxa"/>
            <w:tcBorders>
              <w:top w:val="nil"/>
              <w:left w:val="nil"/>
              <w:bottom w:val="single" w:sz="4" w:space="0" w:color="A6A6A6"/>
              <w:right w:val="single" w:sz="4" w:space="0" w:color="A6A6A6"/>
            </w:tcBorders>
            <w:vAlign w:val="center"/>
            <w:hideMark/>
          </w:tcPr>
          <w:p w14:paraId="5E854131"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c>
          <w:tcPr>
            <w:tcW w:w="1620" w:type="dxa"/>
            <w:tcBorders>
              <w:top w:val="nil"/>
              <w:left w:val="nil"/>
              <w:bottom w:val="single" w:sz="4" w:space="0" w:color="A6A6A6"/>
              <w:right w:val="single" w:sz="4" w:space="0" w:color="A6A6A6"/>
            </w:tcBorders>
            <w:vAlign w:val="center"/>
            <w:hideMark/>
          </w:tcPr>
          <w:p w14:paraId="3922EB90" w14:textId="77777777" w:rsidR="00251F8D" w:rsidRPr="001A2D42" w:rsidRDefault="00251F8D"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$233,555,646 </w:t>
            </w:r>
          </w:p>
        </w:tc>
      </w:tr>
    </w:tbl>
    <w:p w14:paraId="0B3F8970" w14:textId="3BD4E60A" w:rsidR="00251F8D" w:rsidRPr="001A2D42" w:rsidRDefault="00A66425" w:rsidP="003B32F9">
      <w:pPr>
        <w:spacing w:line="240" w:lineRule="auto"/>
        <w:rPr>
          <w:noProof/>
        </w:rPr>
        <w:sectPr w:rsidR="00251F8D" w:rsidRPr="001A2D42" w:rsidSect="00251F8D">
          <w:footnotePr>
            <w:numFmt w:val="lowerLetter"/>
          </w:footnotePr>
          <w:pgSz w:w="15840" w:h="12240" w:orient="landscape"/>
          <w:pgMar w:top="1440" w:right="1440" w:bottom="1440" w:left="1440" w:header="86" w:footer="720" w:gutter="0"/>
          <w:cols w:space="144"/>
          <w:docGrid w:linePitch="360"/>
        </w:sectPr>
      </w:pPr>
      <w:r w:rsidRPr="001A2D42">
        <w:rPr>
          <w:noProof/>
          <w:lang w:bidi="es-419"/>
        </w:rPr>
        <w:t>Continúa en la siguiente página.</w:t>
      </w:r>
    </w:p>
    <w:tbl>
      <w:tblPr>
        <w:tblpPr w:leftFromText="141" w:rightFromText="141" w:vertAnchor="page" w:horzAnchor="margin" w:tblpY="1181"/>
        <w:tblW w:w="12640" w:type="dxa"/>
        <w:tblLook w:val="04A0" w:firstRow="1" w:lastRow="0" w:firstColumn="1" w:lastColumn="0" w:noHBand="0" w:noVBand="1"/>
      </w:tblPr>
      <w:tblGrid>
        <w:gridCol w:w="3440"/>
        <w:gridCol w:w="1840"/>
        <w:gridCol w:w="1840"/>
        <w:gridCol w:w="1840"/>
        <w:gridCol w:w="1840"/>
        <w:gridCol w:w="1840"/>
      </w:tblGrid>
      <w:tr w:rsidR="0003013A" w:rsidRPr="001A2D42" w14:paraId="56EFBFA7" w14:textId="77777777" w:rsidTr="0003013A">
        <w:trPr>
          <w:trHeight w:val="1099"/>
        </w:trPr>
        <w:tc>
          <w:tcPr>
            <w:tcW w:w="3440" w:type="dxa"/>
            <w:tcBorders>
              <w:top w:val="single" w:sz="4" w:space="0" w:color="A6A6A6"/>
              <w:left w:val="single" w:sz="4" w:space="0" w:color="A6A6A6"/>
              <w:bottom w:val="single" w:sz="4" w:space="0" w:color="A6A6A6"/>
              <w:right w:val="single" w:sz="4" w:space="0" w:color="A6A6A6"/>
            </w:tcBorders>
            <w:vAlign w:val="center"/>
            <w:hideMark/>
          </w:tcPr>
          <w:p w14:paraId="165EC5AD" w14:textId="77777777" w:rsidR="0003013A" w:rsidRPr="001A2D42" w:rsidRDefault="0003013A" w:rsidP="001D6625">
            <w:pPr>
              <w:spacing w:after="0" w:line="192" w:lineRule="auto"/>
              <w:rPr>
                <w:rFonts w:eastAsia="Times New Roman" w:cs="Arial"/>
                <w:kern w:val="0"/>
                <w:sz w:val="22"/>
                <w14:ligatures w14:val="none"/>
              </w:rPr>
            </w:pPr>
            <w:r w:rsidRPr="001A2D42">
              <w:rPr>
                <w:rFonts w:eastAsia="Times New Roman" w:cs="Arial"/>
                <w:kern w:val="0"/>
                <w:sz w:val="22"/>
                <w:lang w:bidi="es-419"/>
                <w14:ligatures w14:val="none"/>
              </w:rPr>
              <w:lastRenderedPageBreak/>
              <w:t>Identificación</w:t>
            </w:r>
          </w:p>
          <w:p w14:paraId="4CD24494" w14:textId="61F2362C" w:rsidR="0003013A" w:rsidRPr="001A2D42" w:rsidRDefault="0003013A" w:rsidP="001D6625">
            <w:pPr>
              <w:spacing w:after="0" w:line="192" w:lineRule="auto"/>
              <w:ind w:left="255" w:hanging="255"/>
              <w:rPr>
                <w:rFonts w:eastAsia="Times New Roman" w:cstheme="minorHAnsi"/>
                <w:sz w:val="22"/>
              </w:rPr>
            </w:pPr>
            <w:r w:rsidRPr="001A2D42">
              <w:rPr>
                <w:rFonts w:ascii="Wingdings 2" w:eastAsia="Times New Roman" w:hAnsi="Wingdings 2" w:cs="Times New Roman"/>
                <w:color w:val="002B4A"/>
                <w:sz w:val="22"/>
                <w:lang w:bidi="es-419"/>
              </w:rPr>
              <w:t>¢</w:t>
            </w:r>
            <w:r w:rsidRPr="001A2D42">
              <w:rPr>
                <w:rFonts w:eastAsia="Times New Roman" w:cstheme="minorHAnsi"/>
                <w:sz w:val="22"/>
                <w:lang w:bidi="es-419"/>
              </w:rPr>
              <w:t xml:space="preserve"> Fondo de incentivos </w:t>
            </w:r>
            <w:r w:rsidR="00637340">
              <w:rPr>
                <w:rFonts w:eastAsia="Times New Roman" w:cstheme="minorHAnsi"/>
                <w:sz w:val="22"/>
                <w:lang w:bidi="es-419"/>
              </w:rPr>
              <w:br/>
            </w:r>
            <w:r w:rsidRPr="001A2D42">
              <w:rPr>
                <w:rFonts w:eastAsia="Times New Roman" w:cstheme="minorHAnsi"/>
                <w:sz w:val="22"/>
                <w:lang w:bidi="es-419"/>
              </w:rPr>
              <w:t>por calidad</w:t>
            </w:r>
          </w:p>
          <w:p w14:paraId="399DCD97" w14:textId="77777777" w:rsidR="0003013A" w:rsidRPr="001A2D42" w:rsidRDefault="0003013A" w:rsidP="001D6625">
            <w:pPr>
              <w:spacing w:after="0" w:line="192" w:lineRule="auto"/>
              <w:ind w:left="255" w:hanging="255"/>
              <w:rPr>
                <w:rFonts w:ascii="Aptos" w:eastAsia="Times New Roman" w:hAnsi="Aptos" w:cs="Arial"/>
                <w:color w:val="0065C6"/>
                <w:kern w:val="0"/>
                <w:sz w:val="22"/>
                <w:u w:val="single"/>
                <w14:ligatures w14:val="none"/>
              </w:rPr>
            </w:pPr>
            <w:r w:rsidRPr="001A2D42">
              <w:rPr>
                <w:rFonts w:ascii="Wingdings 2" w:eastAsia="Times New Roman" w:hAnsi="Wingdings 2" w:cs="Times New Roman"/>
                <w:color w:val="CD76C7"/>
                <w:sz w:val="22"/>
                <w:lang w:bidi="es-419"/>
              </w:rPr>
              <w:t>¢</w:t>
            </w:r>
            <w:r w:rsidRPr="001A2D42">
              <w:rPr>
                <w:rFonts w:eastAsia="Times New Roman" w:cstheme="minorHAnsi"/>
                <w:sz w:val="22"/>
                <w:lang w:bidi="es-419"/>
              </w:rPr>
              <w:t xml:space="preserve"> Pagos por miembro al mes (PMPM)</w:t>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75E4DBF0" w14:textId="77777777" w:rsidR="0003013A" w:rsidRPr="001A2D42" w:rsidRDefault="0003013A" w:rsidP="001D6625">
            <w:pPr>
              <w:spacing w:after="0" w:line="192"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Total obtenido del fondo de incentivos por calidad</w:t>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67D68E55" w14:textId="77777777" w:rsidR="0003013A" w:rsidRPr="001A2D42" w:rsidRDefault="0003013A" w:rsidP="001D6625">
            <w:pPr>
              <w:spacing w:after="0" w:line="192"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Costo del impuesto de las MCO pagado a las CCO a través del fondo de incentivos por calidad</w:t>
            </w:r>
            <w:r w:rsidRPr="001A2D42">
              <w:rPr>
                <w:rStyle w:val="FootnoteReference"/>
                <w:rFonts w:ascii="Aptos" w:eastAsia="Times New Roman" w:hAnsi="Aptos" w:cs="Arial"/>
                <w:color w:val="FFFFFF"/>
                <w:kern w:val="0"/>
                <w:sz w:val="22"/>
                <w:lang w:bidi="es-419"/>
                <w14:ligatures w14:val="none"/>
              </w:rPr>
              <w:footnoteReference w:id="17"/>
            </w:r>
          </w:p>
        </w:tc>
        <w:tc>
          <w:tcPr>
            <w:tcW w:w="1840" w:type="dxa"/>
            <w:tcBorders>
              <w:top w:val="single" w:sz="4" w:space="0" w:color="A6A6A6"/>
              <w:left w:val="nil"/>
              <w:bottom w:val="single" w:sz="4" w:space="0" w:color="A6A6A6"/>
              <w:right w:val="single" w:sz="4" w:space="0" w:color="A6A6A6"/>
            </w:tcBorders>
            <w:shd w:val="clear" w:color="000000" w:fill="00305E"/>
            <w:vAlign w:val="center"/>
            <w:hideMark/>
          </w:tcPr>
          <w:p w14:paraId="2D1F2E5E" w14:textId="5B79BC4C" w:rsidR="0003013A" w:rsidRPr="001A2D42" w:rsidRDefault="0003013A" w:rsidP="001D6625">
            <w:pPr>
              <w:spacing w:after="0" w:line="192"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 xml:space="preserve">Total pagado </w:t>
            </w:r>
            <w:r>
              <w:rPr>
                <w:rFonts w:ascii="Aptos" w:eastAsia="Times New Roman" w:hAnsi="Aptos" w:cs="Arial"/>
                <w:color w:val="FFFFFF"/>
                <w:kern w:val="0"/>
                <w:sz w:val="22"/>
                <w:lang w:bidi="es-419"/>
                <w14:ligatures w14:val="none"/>
              </w:rPr>
              <w:br/>
            </w:r>
            <w:r w:rsidRPr="001A2D42">
              <w:rPr>
                <w:rFonts w:ascii="Aptos" w:eastAsia="Times New Roman" w:hAnsi="Aptos" w:cs="Arial"/>
                <w:color w:val="FFFFFF"/>
                <w:kern w:val="0"/>
                <w:sz w:val="22"/>
                <w:lang w:bidi="es-419"/>
                <w14:ligatures w14:val="none"/>
              </w:rPr>
              <w:t xml:space="preserve">del fondo de incentivos por calidad </w:t>
            </w:r>
          </w:p>
        </w:tc>
        <w:tc>
          <w:tcPr>
            <w:tcW w:w="1840" w:type="dxa"/>
            <w:tcBorders>
              <w:top w:val="single" w:sz="4" w:space="0" w:color="A6A6A6"/>
              <w:left w:val="nil"/>
              <w:bottom w:val="single" w:sz="4" w:space="0" w:color="A6A6A6"/>
              <w:right w:val="single" w:sz="4" w:space="0" w:color="A6A6A6"/>
            </w:tcBorders>
            <w:shd w:val="clear" w:color="000000" w:fill="CD76C7"/>
            <w:vAlign w:val="center"/>
            <w:hideMark/>
          </w:tcPr>
          <w:p w14:paraId="20429DAC" w14:textId="68399270" w:rsidR="0003013A" w:rsidRPr="001A2D42" w:rsidRDefault="0003013A" w:rsidP="001D6625">
            <w:pPr>
              <w:spacing w:after="0" w:line="192" w:lineRule="auto"/>
              <w:rPr>
                <w:rFonts w:ascii="Aptos" w:eastAsia="Times New Roman" w:hAnsi="Aptos" w:cs="Arial"/>
                <w:color w:val="000000"/>
                <w:kern w:val="0"/>
                <w:sz w:val="22"/>
                <w14:ligatures w14:val="none"/>
              </w:rPr>
            </w:pPr>
            <w:r w:rsidRPr="001A2D42">
              <w:rPr>
                <w:rFonts w:ascii="Aptos" w:eastAsia="Times New Roman" w:hAnsi="Aptos" w:cs="Arial"/>
                <w:color w:val="000000"/>
                <w:kern w:val="0"/>
                <w:sz w:val="22"/>
                <w:lang w:bidi="es-419"/>
                <w14:ligatures w14:val="none"/>
              </w:rPr>
              <w:t xml:space="preserve">Total de </w:t>
            </w:r>
            <w:r>
              <w:rPr>
                <w:rFonts w:ascii="Aptos" w:eastAsia="Times New Roman" w:hAnsi="Aptos" w:cs="Arial"/>
                <w:color w:val="000000"/>
                <w:kern w:val="0"/>
                <w:sz w:val="22"/>
                <w:lang w:bidi="es-419"/>
                <w14:ligatures w14:val="none"/>
              </w:rPr>
              <w:br/>
            </w:r>
            <w:r w:rsidRPr="001A2D42">
              <w:rPr>
                <w:rFonts w:ascii="Aptos" w:eastAsia="Times New Roman" w:hAnsi="Aptos" w:cs="Arial"/>
                <w:color w:val="000000"/>
                <w:kern w:val="0"/>
                <w:sz w:val="22"/>
                <w:lang w:bidi="es-419"/>
                <w14:ligatures w14:val="none"/>
              </w:rPr>
              <w:t>pagos PMPM realizados</w:t>
            </w:r>
          </w:p>
        </w:tc>
        <w:tc>
          <w:tcPr>
            <w:tcW w:w="1840" w:type="dxa"/>
            <w:tcBorders>
              <w:top w:val="single" w:sz="4" w:space="0" w:color="A6A6A6"/>
              <w:left w:val="nil"/>
              <w:bottom w:val="single" w:sz="4" w:space="0" w:color="A6A6A6"/>
              <w:right w:val="single" w:sz="4" w:space="0" w:color="A6A6A6"/>
            </w:tcBorders>
            <w:shd w:val="clear" w:color="000000" w:fill="CD76C7"/>
            <w:vAlign w:val="center"/>
            <w:hideMark/>
          </w:tcPr>
          <w:p w14:paraId="36A79AF0" w14:textId="77777777" w:rsidR="0003013A" w:rsidRPr="001A2D42" w:rsidRDefault="0003013A" w:rsidP="001D6625">
            <w:pPr>
              <w:spacing w:after="0" w:line="192" w:lineRule="auto"/>
              <w:rPr>
                <w:rFonts w:ascii="Aptos" w:eastAsia="Times New Roman" w:hAnsi="Aptos" w:cs="Arial"/>
                <w:color w:val="000000"/>
                <w:kern w:val="0"/>
                <w:sz w:val="22"/>
                <w14:ligatures w14:val="none"/>
              </w:rPr>
            </w:pPr>
            <w:r w:rsidRPr="001A2D42">
              <w:rPr>
                <w:rFonts w:ascii="Aptos" w:eastAsia="Times New Roman" w:hAnsi="Aptos" w:cs="Arial"/>
                <w:color w:val="000000"/>
                <w:kern w:val="0"/>
                <w:sz w:val="22"/>
                <w:lang w:bidi="es-419"/>
                <w14:ligatures w14:val="none"/>
              </w:rPr>
              <w:t>Total de pagos realizados a las CCO (% de los pagos PMPM)</w:t>
            </w:r>
          </w:p>
        </w:tc>
      </w:tr>
      <w:tr w:rsidR="0003013A" w:rsidRPr="001A2D42" w14:paraId="698BD04F"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46985B09"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Advanced Health</w:t>
            </w:r>
          </w:p>
        </w:tc>
        <w:tc>
          <w:tcPr>
            <w:tcW w:w="1840" w:type="dxa"/>
            <w:tcBorders>
              <w:top w:val="nil"/>
              <w:left w:val="nil"/>
              <w:bottom w:val="single" w:sz="4" w:space="0" w:color="A6A6A6"/>
              <w:right w:val="single" w:sz="4" w:space="0" w:color="A6A6A6"/>
            </w:tcBorders>
            <w:vAlign w:val="center"/>
            <w:hideMark/>
          </w:tcPr>
          <w:p w14:paraId="5DE93B4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$3,677,808</w:t>
            </w:r>
          </w:p>
        </w:tc>
        <w:tc>
          <w:tcPr>
            <w:tcW w:w="1840" w:type="dxa"/>
            <w:tcBorders>
              <w:top w:val="nil"/>
              <w:left w:val="nil"/>
              <w:bottom w:val="single" w:sz="4" w:space="0" w:color="A6A6A6"/>
              <w:right w:val="single" w:sz="4" w:space="0" w:color="A6A6A6"/>
            </w:tcBorders>
            <w:vAlign w:val="center"/>
            <w:hideMark/>
          </w:tcPr>
          <w:p w14:paraId="5794699C"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$75,057</w:t>
            </w:r>
          </w:p>
        </w:tc>
        <w:tc>
          <w:tcPr>
            <w:tcW w:w="1840" w:type="dxa"/>
            <w:tcBorders>
              <w:top w:val="nil"/>
              <w:left w:val="nil"/>
              <w:bottom w:val="single" w:sz="4" w:space="0" w:color="A6A6A6"/>
              <w:right w:val="single" w:sz="4" w:space="0" w:color="A6A6A6"/>
            </w:tcBorders>
            <w:vAlign w:val="center"/>
            <w:hideMark/>
          </w:tcPr>
          <w:p w14:paraId="73A47CC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$3,752,865</w:t>
            </w:r>
          </w:p>
        </w:tc>
        <w:tc>
          <w:tcPr>
            <w:tcW w:w="1840" w:type="dxa"/>
            <w:tcBorders>
              <w:top w:val="nil"/>
              <w:left w:val="nil"/>
              <w:bottom w:val="single" w:sz="4" w:space="0" w:color="A6A6A6"/>
              <w:right w:val="single" w:sz="4" w:space="0" w:color="A6A6A6"/>
            </w:tcBorders>
            <w:vAlign w:val="center"/>
            <w:hideMark/>
          </w:tcPr>
          <w:p w14:paraId="0854E3B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$181,106,375</w:t>
            </w:r>
          </w:p>
        </w:tc>
        <w:tc>
          <w:tcPr>
            <w:tcW w:w="1840" w:type="dxa"/>
            <w:tcBorders>
              <w:top w:val="nil"/>
              <w:left w:val="nil"/>
              <w:bottom w:val="single" w:sz="4" w:space="0" w:color="A6A6A6"/>
              <w:right w:val="single" w:sz="4" w:space="0" w:color="A6A6A6"/>
            </w:tcBorders>
            <w:vAlign w:val="center"/>
            <w:hideMark/>
          </w:tcPr>
          <w:p w14:paraId="3BAFFD0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102.1%</w:t>
            </w:r>
          </w:p>
        </w:tc>
      </w:tr>
      <w:tr w:rsidR="0003013A" w:rsidRPr="001A2D42" w14:paraId="2449A7C5"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33C358D1"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Plan de AllCare Health</w:t>
            </w:r>
          </w:p>
        </w:tc>
        <w:tc>
          <w:tcPr>
            <w:tcW w:w="1840" w:type="dxa"/>
            <w:tcBorders>
              <w:top w:val="nil"/>
              <w:left w:val="nil"/>
              <w:bottom w:val="single" w:sz="4" w:space="0" w:color="A6A6A6"/>
              <w:right w:val="single" w:sz="4" w:space="0" w:color="A6A6A6"/>
            </w:tcBorders>
            <w:vAlign w:val="center"/>
            <w:hideMark/>
          </w:tcPr>
          <w:p w14:paraId="683315E7"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$9,813,762</w:t>
            </w:r>
          </w:p>
        </w:tc>
        <w:tc>
          <w:tcPr>
            <w:tcW w:w="1840" w:type="dxa"/>
            <w:tcBorders>
              <w:top w:val="nil"/>
              <w:left w:val="nil"/>
              <w:bottom w:val="single" w:sz="4" w:space="0" w:color="A6A6A6"/>
              <w:right w:val="single" w:sz="4" w:space="0" w:color="A6A6A6"/>
            </w:tcBorders>
            <w:vAlign w:val="center"/>
            <w:hideMark/>
          </w:tcPr>
          <w:p w14:paraId="0ADC1FC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$200,281</w:t>
            </w:r>
          </w:p>
        </w:tc>
        <w:tc>
          <w:tcPr>
            <w:tcW w:w="1840" w:type="dxa"/>
            <w:tcBorders>
              <w:top w:val="nil"/>
              <w:left w:val="nil"/>
              <w:bottom w:val="single" w:sz="4" w:space="0" w:color="A6A6A6"/>
              <w:right w:val="single" w:sz="4" w:space="0" w:color="A6A6A6"/>
            </w:tcBorders>
            <w:vAlign w:val="center"/>
            <w:hideMark/>
          </w:tcPr>
          <w:p w14:paraId="39BCCFF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$10,014,043</w:t>
            </w:r>
          </w:p>
        </w:tc>
        <w:tc>
          <w:tcPr>
            <w:tcW w:w="1840" w:type="dxa"/>
            <w:tcBorders>
              <w:top w:val="nil"/>
              <w:left w:val="nil"/>
              <w:bottom w:val="single" w:sz="4" w:space="0" w:color="A6A6A6"/>
              <w:right w:val="single" w:sz="4" w:space="0" w:color="A6A6A6"/>
            </w:tcBorders>
            <w:vAlign w:val="center"/>
            <w:hideMark/>
          </w:tcPr>
          <w:p w14:paraId="1B8418EB"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$374,790,515</w:t>
            </w:r>
          </w:p>
        </w:tc>
        <w:tc>
          <w:tcPr>
            <w:tcW w:w="1840" w:type="dxa"/>
            <w:tcBorders>
              <w:top w:val="nil"/>
              <w:left w:val="nil"/>
              <w:bottom w:val="single" w:sz="4" w:space="0" w:color="A6A6A6"/>
              <w:right w:val="single" w:sz="4" w:space="0" w:color="A6A6A6"/>
            </w:tcBorders>
            <w:vAlign w:val="center"/>
            <w:hideMark/>
          </w:tcPr>
          <w:p w14:paraId="35BCBA7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102.7%</w:t>
            </w:r>
          </w:p>
        </w:tc>
      </w:tr>
      <w:tr w:rsidR="0003013A" w:rsidRPr="001A2D42" w14:paraId="41D42037"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38B5E9D0"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Cascade Health Alliance</w:t>
            </w:r>
          </w:p>
        </w:tc>
        <w:tc>
          <w:tcPr>
            <w:tcW w:w="1840" w:type="dxa"/>
            <w:tcBorders>
              <w:top w:val="nil"/>
              <w:left w:val="nil"/>
              <w:bottom w:val="single" w:sz="4" w:space="0" w:color="A6A6A6"/>
              <w:right w:val="single" w:sz="4" w:space="0" w:color="A6A6A6"/>
            </w:tcBorders>
            <w:vAlign w:val="center"/>
            <w:hideMark/>
          </w:tcPr>
          <w:p w14:paraId="35D7A1B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$5,548,434</w:t>
            </w:r>
          </w:p>
        </w:tc>
        <w:tc>
          <w:tcPr>
            <w:tcW w:w="1840" w:type="dxa"/>
            <w:tcBorders>
              <w:top w:val="nil"/>
              <w:left w:val="nil"/>
              <w:bottom w:val="single" w:sz="4" w:space="0" w:color="A6A6A6"/>
              <w:right w:val="single" w:sz="4" w:space="0" w:color="A6A6A6"/>
            </w:tcBorders>
            <w:vAlign w:val="center"/>
            <w:hideMark/>
          </w:tcPr>
          <w:p w14:paraId="2C63921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$113,233</w:t>
            </w:r>
          </w:p>
        </w:tc>
        <w:tc>
          <w:tcPr>
            <w:tcW w:w="1840" w:type="dxa"/>
            <w:tcBorders>
              <w:top w:val="nil"/>
              <w:left w:val="nil"/>
              <w:bottom w:val="single" w:sz="4" w:space="0" w:color="A6A6A6"/>
              <w:right w:val="single" w:sz="4" w:space="0" w:color="A6A6A6"/>
            </w:tcBorders>
            <w:vAlign w:val="center"/>
            <w:hideMark/>
          </w:tcPr>
          <w:p w14:paraId="02E8676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$5,661,668</w:t>
            </w:r>
          </w:p>
        </w:tc>
        <w:tc>
          <w:tcPr>
            <w:tcW w:w="1840" w:type="dxa"/>
            <w:tcBorders>
              <w:top w:val="nil"/>
              <w:left w:val="nil"/>
              <w:bottom w:val="single" w:sz="4" w:space="0" w:color="A6A6A6"/>
              <w:right w:val="single" w:sz="4" w:space="0" w:color="A6A6A6"/>
            </w:tcBorders>
            <w:vAlign w:val="center"/>
            <w:hideMark/>
          </w:tcPr>
          <w:p w14:paraId="28D4B01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$158,804,564</w:t>
            </w:r>
          </w:p>
        </w:tc>
        <w:tc>
          <w:tcPr>
            <w:tcW w:w="1840" w:type="dxa"/>
            <w:tcBorders>
              <w:top w:val="nil"/>
              <w:left w:val="nil"/>
              <w:bottom w:val="single" w:sz="4" w:space="0" w:color="A6A6A6"/>
              <w:right w:val="single" w:sz="4" w:space="0" w:color="A6A6A6"/>
            </w:tcBorders>
            <w:vAlign w:val="center"/>
            <w:hideMark/>
          </w:tcPr>
          <w:p w14:paraId="027446F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103.6%</w:t>
            </w:r>
          </w:p>
        </w:tc>
      </w:tr>
      <w:tr w:rsidR="0003013A" w:rsidRPr="001A2D42" w14:paraId="0684DCC1"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01E4C2B1"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Columbia Pacific</w:t>
            </w:r>
          </w:p>
        </w:tc>
        <w:tc>
          <w:tcPr>
            <w:tcW w:w="1840" w:type="dxa"/>
            <w:tcBorders>
              <w:top w:val="nil"/>
              <w:left w:val="nil"/>
              <w:bottom w:val="single" w:sz="4" w:space="0" w:color="A6A6A6"/>
              <w:right w:val="single" w:sz="4" w:space="0" w:color="A6A6A6"/>
            </w:tcBorders>
            <w:vAlign w:val="center"/>
            <w:hideMark/>
          </w:tcPr>
          <w:p w14:paraId="400DA93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$5,322,218</w:t>
            </w:r>
          </w:p>
        </w:tc>
        <w:tc>
          <w:tcPr>
            <w:tcW w:w="1840" w:type="dxa"/>
            <w:tcBorders>
              <w:top w:val="nil"/>
              <w:left w:val="nil"/>
              <w:bottom w:val="single" w:sz="4" w:space="0" w:color="A6A6A6"/>
              <w:right w:val="single" w:sz="4" w:space="0" w:color="A6A6A6"/>
            </w:tcBorders>
            <w:vAlign w:val="center"/>
            <w:hideMark/>
          </w:tcPr>
          <w:p w14:paraId="67215D3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$108,617</w:t>
            </w:r>
          </w:p>
        </w:tc>
        <w:tc>
          <w:tcPr>
            <w:tcW w:w="1840" w:type="dxa"/>
            <w:tcBorders>
              <w:top w:val="nil"/>
              <w:left w:val="nil"/>
              <w:bottom w:val="single" w:sz="4" w:space="0" w:color="A6A6A6"/>
              <w:right w:val="single" w:sz="4" w:space="0" w:color="A6A6A6"/>
            </w:tcBorders>
            <w:vAlign w:val="center"/>
            <w:hideMark/>
          </w:tcPr>
          <w:p w14:paraId="0601638B"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$5,430,835</w:t>
            </w:r>
          </w:p>
        </w:tc>
        <w:tc>
          <w:tcPr>
            <w:tcW w:w="1840" w:type="dxa"/>
            <w:tcBorders>
              <w:top w:val="nil"/>
              <w:left w:val="nil"/>
              <w:bottom w:val="single" w:sz="4" w:space="0" w:color="A6A6A6"/>
              <w:right w:val="single" w:sz="4" w:space="0" w:color="A6A6A6"/>
            </w:tcBorders>
            <w:vAlign w:val="center"/>
            <w:hideMark/>
          </w:tcPr>
          <w:p w14:paraId="7E548231"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$262,150,771</w:t>
            </w:r>
          </w:p>
        </w:tc>
        <w:tc>
          <w:tcPr>
            <w:tcW w:w="1840" w:type="dxa"/>
            <w:tcBorders>
              <w:top w:val="nil"/>
              <w:left w:val="nil"/>
              <w:bottom w:val="single" w:sz="4" w:space="0" w:color="A6A6A6"/>
              <w:right w:val="single" w:sz="4" w:space="0" w:color="A6A6A6"/>
            </w:tcBorders>
            <w:vAlign w:val="center"/>
            <w:hideMark/>
          </w:tcPr>
          <w:p w14:paraId="0B13829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102.1%</w:t>
            </w:r>
          </w:p>
        </w:tc>
      </w:tr>
      <w:tr w:rsidR="0003013A" w:rsidRPr="001A2D42" w14:paraId="196C1FC7"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3215970E"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EOCCO</w:t>
            </w:r>
          </w:p>
        </w:tc>
        <w:tc>
          <w:tcPr>
            <w:tcW w:w="1840" w:type="dxa"/>
            <w:tcBorders>
              <w:top w:val="nil"/>
              <w:left w:val="nil"/>
              <w:bottom w:val="single" w:sz="4" w:space="0" w:color="A6A6A6"/>
              <w:right w:val="single" w:sz="4" w:space="0" w:color="A6A6A6"/>
            </w:tcBorders>
            <w:vAlign w:val="center"/>
            <w:hideMark/>
          </w:tcPr>
          <w:p w14:paraId="0150BDB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$14,655,813</w:t>
            </w:r>
          </w:p>
        </w:tc>
        <w:tc>
          <w:tcPr>
            <w:tcW w:w="1840" w:type="dxa"/>
            <w:tcBorders>
              <w:top w:val="nil"/>
              <w:left w:val="nil"/>
              <w:bottom w:val="single" w:sz="4" w:space="0" w:color="A6A6A6"/>
              <w:right w:val="single" w:sz="4" w:space="0" w:color="A6A6A6"/>
            </w:tcBorders>
            <w:vAlign w:val="center"/>
            <w:hideMark/>
          </w:tcPr>
          <w:p w14:paraId="118BEAB5"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$299,098</w:t>
            </w:r>
          </w:p>
        </w:tc>
        <w:tc>
          <w:tcPr>
            <w:tcW w:w="1840" w:type="dxa"/>
            <w:tcBorders>
              <w:top w:val="nil"/>
              <w:left w:val="nil"/>
              <w:bottom w:val="single" w:sz="4" w:space="0" w:color="A6A6A6"/>
              <w:right w:val="single" w:sz="4" w:space="0" w:color="A6A6A6"/>
            </w:tcBorders>
            <w:vAlign w:val="center"/>
            <w:hideMark/>
          </w:tcPr>
          <w:p w14:paraId="3FB7DC9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$14,954,912</w:t>
            </w:r>
          </w:p>
        </w:tc>
        <w:tc>
          <w:tcPr>
            <w:tcW w:w="1840" w:type="dxa"/>
            <w:tcBorders>
              <w:top w:val="nil"/>
              <w:left w:val="nil"/>
              <w:bottom w:val="single" w:sz="4" w:space="0" w:color="A6A6A6"/>
              <w:right w:val="single" w:sz="4" w:space="0" w:color="A6A6A6"/>
            </w:tcBorders>
            <w:vAlign w:val="center"/>
            <w:hideMark/>
          </w:tcPr>
          <w:p w14:paraId="0B95C8F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$497,061,200</w:t>
            </w:r>
          </w:p>
        </w:tc>
        <w:tc>
          <w:tcPr>
            <w:tcW w:w="1840" w:type="dxa"/>
            <w:tcBorders>
              <w:top w:val="nil"/>
              <w:left w:val="nil"/>
              <w:bottom w:val="single" w:sz="4" w:space="0" w:color="A6A6A6"/>
              <w:right w:val="single" w:sz="4" w:space="0" w:color="A6A6A6"/>
            </w:tcBorders>
            <w:vAlign w:val="center"/>
            <w:hideMark/>
          </w:tcPr>
          <w:p w14:paraId="0C4A4CAC"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103.0%</w:t>
            </w:r>
          </w:p>
        </w:tc>
      </w:tr>
      <w:tr w:rsidR="0003013A" w:rsidRPr="001A2D42" w14:paraId="149A6184"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640BDF18"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Health Share of Oregon</w:t>
            </w:r>
          </w:p>
        </w:tc>
        <w:tc>
          <w:tcPr>
            <w:tcW w:w="1840" w:type="dxa"/>
            <w:tcBorders>
              <w:top w:val="nil"/>
              <w:left w:val="nil"/>
              <w:bottom w:val="single" w:sz="4" w:space="0" w:color="A6A6A6"/>
              <w:right w:val="single" w:sz="4" w:space="0" w:color="A6A6A6"/>
            </w:tcBorders>
            <w:vAlign w:val="center"/>
            <w:hideMark/>
          </w:tcPr>
          <w:p w14:paraId="367A98B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$78,716,238</w:t>
            </w:r>
          </w:p>
        </w:tc>
        <w:tc>
          <w:tcPr>
            <w:tcW w:w="1840" w:type="dxa"/>
            <w:tcBorders>
              <w:top w:val="nil"/>
              <w:left w:val="nil"/>
              <w:bottom w:val="single" w:sz="4" w:space="0" w:color="A6A6A6"/>
              <w:right w:val="single" w:sz="4" w:space="0" w:color="A6A6A6"/>
            </w:tcBorders>
            <w:vAlign w:val="center"/>
            <w:hideMark/>
          </w:tcPr>
          <w:p w14:paraId="1840E3F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$1,606,454</w:t>
            </w:r>
          </w:p>
        </w:tc>
        <w:tc>
          <w:tcPr>
            <w:tcW w:w="1840" w:type="dxa"/>
            <w:tcBorders>
              <w:top w:val="nil"/>
              <w:left w:val="nil"/>
              <w:bottom w:val="single" w:sz="4" w:space="0" w:color="A6A6A6"/>
              <w:right w:val="single" w:sz="4" w:space="0" w:color="A6A6A6"/>
            </w:tcBorders>
            <w:vAlign w:val="center"/>
            <w:hideMark/>
          </w:tcPr>
          <w:p w14:paraId="0C766BE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$80,322,692</w:t>
            </w:r>
          </w:p>
        </w:tc>
        <w:tc>
          <w:tcPr>
            <w:tcW w:w="1840" w:type="dxa"/>
            <w:tcBorders>
              <w:top w:val="nil"/>
              <w:left w:val="nil"/>
              <w:bottom w:val="single" w:sz="4" w:space="0" w:color="A6A6A6"/>
              <w:right w:val="single" w:sz="4" w:space="0" w:color="A6A6A6"/>
            </w:tcBorders>
            <w:vAlign w:val="center"/>
            <w:hideMark/>
          </w:tcPr>
          <w:p w14:paraId="36152E7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$2,546,175,365</w:t>
            </w:r>
          </w:p>
        </w:tc>
        <w:tc>
          <w:tcPr>
            <w:tcW w:w="1840" w:type="dxa"/>
            <w:tcBorders>
              <w:top w:val="nil"/>
              <w:left w:val="nil"/>
              <w:bottom w:val="single" w:sz="4" w:space="0" w:color="A6A6A6"/>
              <w:right w:val="single" w:sz="4" w:space="0" w:color="A6A6A6"/>
            </w:tcBorders>
            <w:vAlign w:val="center"/>
            <w:hideMark/>
          </w:tcPr>
          <w:p w14:paraId="65A5618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103.2%</w:t>
            </w:r>
          </w:p>
        </w:tc>
      </w:tr>
      <w:tr w:rsidR="0003013A" w:rsidRPr="001A2D42" w14:paraId="781FA0A6"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019BBBA8"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InterCommunity Health Network</w:t>
            </w:r>
          </w:p>
        </w:tc>
        <w:tc>
          <w:tcPr>
            <w:tcW w:w="1840" w:type="dxa"/>
            <w:tcBorders>
              <w:top w:val="nil"/>
              <w:left w:val="nil"/>
              <w:bottom w:val="single" w:sz="4" w:space="0" w:color="A6A6A6"/>
              <w:right w:val="single" w:sz="4" w:space="0" w:color="A6A6A6"/>
            </w:tcBorders>
            <w:vAlign w:val="center"/>
            <w:hideMark/>
          </w:tcPr>
          <w:p w14:paraId="4E7AC01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$17,596,203</w:t>
            </w:r>
          </w:p>
        </w:tc>
        <w:tc>
          <w:tcPr>
            <w:tcW w:w="1840" w:type="dxa"/>
            <w:tcBorders>
              <w:top w:val="nil"/>
              <w:left w:val="nil"/>
              <w:bottom w:val="single" w:sz="4" w:space="0" w:color="A6A6A6"/>
              <w:right w:val="single" w:sz="4" w:space="0" w:color="A6A6A6"/>
            </w:tcBorders>
            <w:vAlign w:val="center"/>
            <w:hideMark/>
          </w:tcPr>
          <w:p w14:paraId="56275A8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$359,106</w:t>
            </w:r>
          </w:p>
        </w:tc>
        <w:tc>
          <w:tcPr>
            <w:tcW w:w="1840" w:type="dxa"/>
            <w:tcBorders>
              <w:top w:val="nil"/>
              <w:left w:val="nil"/>
              <w:bottom w:val="single" w:sz="4" w:space="0" w:color="A6A6A6"/>
              <w:right w:val="single" w:sz="4" w:space="0" w:color="A6A6A6"/>
            </w:tcBorders>
            <w:vAlign w:val="center"/>
            <w:hideMark/>
          </w:tcPr>
          <w:p w14:paraId="3EC949E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$17,955,309</w:t>
            </w:r>
          </w:p>
        </w:tc>
        <w:tc>
          <w:tcPr>
            <w:tcW w:w="1840" w:type="dxa"/>
            <w:tcBorders>
              <w:top w:val="nil"/>
              <w:left w:val="nil"/>
              <w:bottom w:val="single" w:sz="4" w:space="0" w:color="A6A6A6"/>
              <w:right w:val="single" w:sz="4" w:space="0" w:color="A6A6A6"/>
            </w:tcBorders>
            <w:vAlign w:val="center"/>
            <w:hideMark/>
          </w:tcPr>
          <w:p w14:paraId="4B261B95"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$539,569,840</w:t>
            </w:r>
          </w:p>
        </w:tc>
        <w:tc>
          <w:tcPr>
            <w:tcW w:w="1840" w:type="dxa"/>
            <w:tcBorders>
              <w:top w:val="nil"/>
              <w:left w:val="nil"/>
              <w:bottom w:val="single" w:sz="4" w:space="0" w:color="A6A6A6"/>
              <w:right w:val="single" w:sz="4" w:space="0" w:color="A6A6A6"/>
            </w:tcBorders>
            <w:vAlign w:val="center"/>
            <w:hideMark/>
          </w:tcPr>
          <w:p w14:paraId="0FFD011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103.3%</w:t>
            </w:r>
          </w:p>
        </w:tc>
      </w:tr>
      <w:tr w:rsidR="0003013A" w:rsidRPr="001A2D42" w14:paraId="2E683284"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70630394"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Jackson Care Connect</w:t>
            </w:r>
          </w:p>
        </w:tc>
        <w:tc>
          <w:tcPr>
            <w:tcW w:w="1840" w:type="dxa"/>
            <w:tcBorders>
              <w:top w:val="nil"/>
              <w:left w:val="nil"/>
              <w:bottom w:val="single" w:sz="4" w:space="0" w:color="A6A6A6"/>
              <w:right w:val="single" w:sz="4" w:space="0" w:color="A6A6A6"/>
            </w:tcBorders>
            <w:vAlign w:val="center"/>
            <w:hideMark/>
          </w:tcPr>
          <w:p w14:paraId="218D2799"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$9,007,774</w:t>
            </w:r>
          </w:p>
        </w:tc>
        <w:tc>
          <w:tcPr>
            <w:tcW w:w="1840" w:type="dxa"/>
            <w:tcBorders>
              <w:top w:val="nil"/>
              <w:left w:val="nil"/>
              <w:bottom w:val="single" w:sz="4" w:space="0" w:color="A6A6A6"/>
              <w:right w:val="single" w:sz="4" w:space="0" w:color="A6A6A6"/>
            </w:tcBorders>
            <w:vAlign w:val="center"/>
            <w:hideMark/>
          </w:tcPr>
          <w:p w14:paraId="3F34E289"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$183,832</w:t>
            </w:r>
          </w:p>
        </w:tc>
        <w:tc>
          <w:tcPr>
            <w:tcW w:w="1840" w:type="dxa"/>
            <w:tcBorders>
              <w:top w:val="nil"/>
              <w:left w:val="nil"/>
              <w:bottom w:val="single" w:sz="4" w:space="0" w:color="A6A6A6"/>
              <w:right w:val="single" w:sz="4" w:space="0" w:color="A6A6A6"/>
            </w:tcBorders>
            <w:vAlign w:val="center"/>
            <w:hideMark/>
          </w:tcPr>
          <w:p w14:paraId="6AE3865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$9,191,607</w:t>
            </w:r>
          </w:p>
        </w:tc>
        <w:tc>
          <w:tcPr>
            <w:tcW w:w="1840" w:type="dxa"/>
            <w:tcBorders>
              <w:top w:val="nil"/>
              <w:left w:val="nil"/>
              <w:bottom w:val="single" w:sz="4" w:space="0" w:color="A6A6A6"/>
              <w:right w:val="single" w:sz="4" w:space="0" w:color="A6A6A6"/>
            </w:tcBorders>
            <w:vAlign w:val="center"/>
            <w:hideMark/>
          </w:tcPr>
          <w:p w14:paraId="35A4EED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$378,367,215</w:t>
            </w:r>
          </w:p>
        </w:tc>
        <w:tc>
          <w:tcPr>
            <w:tcW w:w="1840" w:type="dxa"/>
            <w:tcBorders>
              <w:top w:val="nil"/>
              <w:left w:val="nil"/>
              <w:bottom w:val="single" w:sz="4" w:space="0" w:color="A6A6A6"/>
              <w:right w:val="single" w:sz="4" w:space="0" w:color="A6A6A6"/>
            </w:tcBorders>
            <w:vAlign w:val="center"/>
            <w:hideMark/>
          </w:tcPr>
          <w:p w14:paraId="136BECCD"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102.4%</w:t>
            </w:r>
          </w:p>
        </w:tc>
      </w:tr>
      <w:tr w:rsidR="0003013A" w:rsidRPr="001A2D42" w14:paraId="0C3DFFB4"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6E66B4B6"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Central </w:t>
            </w:r>
          </w:p>
        </w:tc>
        <w:tc>
          <w:tcPr>
            <w:tcW w:w="1840" w:type="dxa"/>
            <w:tcBorders>
              <w:top w:val="nil"/>
              <w:left w:val="nil"/>
              <w:bottom w:val="single" w:sz="4" w:space="0" w:color="A6A6A6"/>
              <w:right w:val="single" w:sz="4" w:space="0" w:color="A6A6A6"/>
            </w:tcBorders>
            <w:vAlign w:val="center"/>
            <w:hideMark/>
          </w:tcPr>
          <w:p w14:paraId="752FA43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$13,492,710</w:t>
            </w:r>
          </w:p>
        </w:tc>
        <w:tc>
          <w:tcPr>
            <w:tcW w:w="1840" w:type="dxa"/>
            <w:tcBorders>
              <w:top w:val="nil"/>
              <w:left w:val="nil"/>
              <w:bottom w:val="single" w:sz="4" w:space="0" w:color="A6A6A6"/>
              <w:right w:val="single" w:sz="4" w:space="0" w:color="A6A6A6"/>
            </w:tcBorders>
            <w:vAlign w:val="center"/>
            <w:hideMark/>
          </w:tcPr>
          <w:p w14:paraId="3FBD07F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$275,361</w:t>
            </w:r>
          </w:p>
        </w:tc>
        <w:tc>
          <w:tcPr>
            <w:tcW w:w="1840" w:type="dxa"/>
            <w:tcBorders>
              <w:top w:val="nil"/>
              <w:left w:val="nil"/>
              <w:bottom w:val="single" w:sz="4" w:space="0" w:color="A6A6A6"/>
              <w:right w:val="single" w:sz="4" w:space="0" w:color="A6A6A6"/>
            </w:tcBorders>
            <w:vAlign w:val="center"/>
            <w:hideMark/>
          </w:tcPr>
          <w:p w14:paraId="51E6503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$13,768,071</w:t>
            </w:r>
          </w:p>
        </w:tc>
        <w:tc>
          <w:tcPr>
            <w:tcW w:w="1840" w:type="dxa"/>
            <w:tcBorders>
              <w:top w:val="nil"/>
              <w:left w:val="nil"/>
              <w:bottom w:val="single" w:sz="4" w:space="0" w:color="A6A6A6"/>
              <w:right w:val="single" w:sz="4" w:space="0" w:color="A6A6A6"/>
            </w:tcBorders>
            <w:vAlign w:val="center"/>
            <w:hideMark/>
          </w:tcPr>
          <w:p w14:paraId="0B9F1EA7"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$536,390,197</w:t>
            </w:r>
          </w:p>
        </w:tc>
        <w:tc>
          <w:tcPr>
            <w:tcW w:w="1840" w:type="dxa"/>
            <w:tcBorders>
              <w:top w:val="nil"/>
              <w:left w:val="nil"/>
              <w:bottom w:val="single" w:sz="4" w:space="0" w:color="A6A6A6"/>
              <w:right w:val="single" w:sz="4" w:space="0" w:color="A6A6A6"/>
            </w:tcBorders>
            <w:vAlign w:val="center"/>
            <w:hideMark/>
          </w:tcPr>
          <w:p w14:paraId="72679EA4"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102.6%</w:t>
            </w:r>
          </w:p>
        </w:tc>
      </w:tr>
      <w:tr w:rsidR="0003013A" w:rsidRPr="001A2D42" w14:paraId="143D0FF1"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4187551D"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Gorge</w:t>
            </w:r>
          </w:p>
        </w:tc>
        <w:tc>
          <w:tcPr>
            <w:tcW w:w="1840" w:type="dxa"/>
            <w:tcBorders>
              <w:top w:val="nil"/>
              <w:left w:val="nil"/>
              <w:bottom w:val="single" w:sz="4" w:space="0" w:color="A6A6A6"/>
              <w:right w:val="single" w:sz="4" w:space="0" w:color="A6A6A6"/>
            </w:tcBorders>
            <w:vAlign w:val="center"/>
            <w:hideMark/>
          </w:tcPr>
          <w:p w14:paraId="7FD90044"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$3,864,432</w:t>
            </w:r>
          </w:p>
        </w:tc>
        <w:tc>
          <w:tcPr>
            <w:tcW w:w="1840" w:type="dxa"/>
            <w:tcBorders>
              <w:top w:val="nil"/>
              <w:left w:val="nil"/>
              <w:bottom w:val="single" w:sz="4" w:space="0" w:color="A6A6A6"/>
              <w:right w:val="single" w:sz="4" w:space="0" w:color="A6A6A6"/>
            </w:tcBorders>
            <w:vAlign w:val="center"/>
            <w:hideMark/>
          </w:tcPr>
          <w:p w14:paraId="42EC1C8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$78,866</w:t>
            </w:r>
          </w:p>
        </w:tc>
        <w:tc>
          <w:tcPr>
            <w:tcW w:w="1840" w:type="dxa"/>
            <w:tcBorders>
              <w:top w:val="nil"/>
              <w:left w:val="nil"/>
              <w:bottom w:val="single" w:sz="4" w:space="0" w:color="A6A6A6"/>
              <w:right w:val="single" w:sz="4" w:space="0" w:color="A6A6A6"/>
            </w:tcBorders>
            <w:vAlign w:val="center"/>
            <w:hideMark/>
          </w:tcPr>
          <w:p w14:paraId="770F2934"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$3,943,298</w:t>
            </w:r>
          </w:p>
        </w:tc>
        <w:tc>
          <w:tcPr>
            <w:tcW w:w="1840" w:type="dxa"/>
            <w:tcBorders>
              <w:top w:val="nil"/>
              <w:left w:val="nil"/>
              <w:bottom w:val="single" w:sz="4" w:space="0" w:color="A6A6A6"/>
              <w:right w:val="single" w:sz="4" w:space="0" w:color="A6A6A6"/>
            </w:tcBorders>
            <w:vAlign w:val="center"/>
            <w:hideMark/>
          </w:tcPr>
          <w:p w14:paraId="1BAC98A5"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$108,296,346</w:t>
            </w:r>
          </w:p>
        </w:tc>
        <w:tc>
          <w:tcPr>
            <w:tcW w:w="1840" w:type="dxa"/>
            <w:tcBorders>
              <w:top w:val="nil"/>
              <w:left w:val="nil"/>
              <w:bottom w:val="single" w:sz="4" w:space="0" w:color="A6A6A6"/>
              <w:right w:val="single" w:sz="4" w:space="0" w:color="A6A6A6"/>
            </w:tcBorders>
            <w:vAlign w:val="center"/>
            <w:hideMark/>
          </w:tcPr>
          <w:p w14:paraId="4768A2D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103.6%</w:t>
            </w:r>
          </w:p>
        </w:tc>
      </w:tr>
      <w:tr w:rsidR="0003013A" w:rsidRPr="001A2D42" w14:paraId="5D498F97"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05995C9B"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Lane </w:t>
            </w:r>
          </w:p>
        </w:tc>
        <w:tc>
          <w:tcPr>
            <w:tcW w:w="1840" w:type="dxa"/>
            <w:tcBorders>
              <w:top w:val="nil"/>
              <w:left w:val="nil"/>
              <w:bottom w:val="single" w:sz="4" w:space="0" w:color="A6A6A6"/>
              <w:right w:val="single" w:sz="4" w:space="0" w:color="A6A6A6"/>
            </w:tcBorders>
            <w:vAlign w:val="center"/>
            <w:hideMark/>
          </w:tcPr>
          <w:p w14:paraId="678267CB"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$19,590,435</w:t>
            </w:r>
          </w:p>
        </w:tc>
        <w:tc>
          <w:tcPr>
            <w:tcW w:w="1840" w:type="dxa"/>
            <w:tcBorders>
              <w:top w:val="nil"/>
              <w:left w:val="nil"/>
              <w:bottom w:val="single" w:sz="4" w:space="0" w:color="A6A6A6"/>
              <w:right w:val="single" w:sz="4" w:space="0" w:color="A6A6A6"/>
            </w:tcBorders>
            <w:vAlign w:val="center"/>
            <w:hideMark/>
          </w:tcPr>
          <w:p w14:paraId="10D4CD8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$399,805</w:t>
            </w:r>
          </w:p>
        </w:tc>
        <w:tc>
          <w:tcPr>
            <w:tcW w:w="1840" w:type="dxa"/>
            <w:tcBorders>
              <w:top w:val="nil"/>
              <w:left w:val="nil"/>
              <w:bottom w:val="single" w:sz="4" w:space="0" w:color="A6A6A6"/>
              <w:right w:val="single" w:sz="4" w:space="0" w:color="A6A6A6"/>
            </w:tcBorders>
            <w:vAlign w:val="center"/>
            <w:hideMark/>
          </w:tcPr>
          <w:p w14:paraId="4EDCCA3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$19,990,240</w:t>
            </w:r>
          </w:p>
        </w:tc>
        <w:tc>
          <w:tcPr>
            <w:tcW w:w="1840" w:type="dxa"/>
            <w:tcBorders>
              <w:top w:val="nil"/>
              <w:left w:val="nil"/>
              <w:bottom w:val="single" w:sz="4" w:space="0" w:color="A6A6A6"/>
              <w:right w:val="single" w:sz="4" w:space="0" w:color="A6A6A6"/>
            </w:tcBorders>
            <w:vAlign w:val="center"/>
            <w:hideMark/>
          </w:tcPr>
          <w:p w14:paraId="07479A7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$541,890,012</w:t>
            </w:r>
          </w:p>
        </w:tc>
        <w:tc>
          <w:tcPr>
            <w:tcW w:w="1840" w:type="dxa"/>
            <w:tcBorders>
              <w:top w:val="nil"/>
              <w:left w:val="nil"/>
              <w:bottom w:val="single" w:sz="4" w:space="0" w:color="A6A6A6"/>
              <w:right w:val="single" w:sz="4" w:space="0" w:color="A6A6A6"/>
            </w:tcBorders>
            <w:vAlign w:val="center"/>
            <w:hideMark/>
          </w:tcPr>
          <w:p w14:paraId="60FCCCCC"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103.7%</w:t>
            </w:r>
          </w:p>
        </w:tc>
      </w:tr>
      <w:tr w:rsidR="0003013A" w:rsidRPr="001A2D42" w14:paraId="7EAB377E"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6A1679C1"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Marion Polk</w:t>
            </w:r>
          </w:p>
        </w:tc>
        <w:tc>
          <w:tcPr>
            <w:tcW w:w="1840" w:type="dxa"/>
            <w:tcBorders>
              <w:top w:val="nil"/>
              <w:left w:val="nil"/>
              <w:bottom w:val="single" w:sz="4" w:space="0" w:color="A6A6A6"/>
              <w:right w:val="single" w:sz="4" w:space="0" w:color="A6A6A6"/>
            </w:tcBorders>
            <w:vAlign w:val="center"/>
            <w:hideMark/>
          </w:tcPr>
          <w:p w14:paraId="7B49E28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$21,729,423</w:t>
            </w:r>
          </w:p>
        </w:tc>
        <w:tc>
          <w:tcPr>
            <w:tcW w:w="1840" w:type="dxa"/>
            <w:tcBorders>
              <w:top w:val="nil"/>
              <w:left w:val="nil"/>
              <w:bottom w:val="single" w:sz="4" w:space="0" w:color="A6A6A6"/>
              <w:right w:val="single" w:sz="4" w:space="0" w:color="A6A6A6"/>
            </w:tcBorders>
            <w:vAlign w:val="center"/>
            <w:hideMark/>
          </w:tcPr>
          <w:p w14:paraId="5C83B007"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$443,458</w:t>
            </w:r>
          </w:p>
        </w:tc>
        <w:tc>
          <w:tcPr>
            <w:tcW w:w="1840" w:type="dxa"/>
            <w:tcBorders>
              <w:top w:val="nil"/>
              <w:left w:val="nil"/>
              <w:bottom w:val="single" w:sz="4" w:space="0" w:color="A6A6A6"/>
              <w:right w:val="single" w:sz="4" w:space="0" w:color="A6A6A6"/>
            </w:tcBorders>
            <w:vAlign w:val="center"/>
            <w:hideMark/>
          </w:tcPr>
          <w:p w14:paraId="4304E0B9"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$22,172,880</w:t>
            </w:r>
          </w:p>
        </w:tc>
        <w:tc>
          <w:tcPr>
            <w:tcW w:w="1840" w:type="dxa"/>
            <w:tcBorders>
              <w:top w:val="nil"/>
              <w:left w:val="nil"/>
              <w:bottom w:val="single" w:sz="4" w:space="0" w:color="A6A6A6"/>
              <w:right w:val="single" w:sz="4" w:space="0" w:color="A6A6A6"/>
            </w:tcBorders>
            <w:vAlign w:val="center"/>
            <w:hideMark/>
          </w:tcPr>
          <w:p w14:paraId="2D2DED6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$869,540,203</w:t>
            </w:r>
          </w:p>
        </w:tc>
        <w:tc>
          <w:tcPr>
            <w:tcW w:w="1840" w:type="dxa"/>
            <w:tcBorders>
              <w:top w:val="nil"/>
              <w:left w:val="nil"/>
              <w:bottom w:val="single" w:sz="4" w:space="0" w:color="A6A6A6"/>
              <w:right w:val="single" w:sz="4" w:space="0" w:color="A6A6A6"/>
            </w:tcBorders>
            <w:vAlign w:val="center"/>
            <w:hideMark/>
          </w:tcPr>
          <w:p w14:paraId="55FA4EBB"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102.5%</w:t>
            </w:r>
          </w:p>
        </w:tc>
      </w:tr>
      <w:tr w:rsidR="0003013A" w:rsidRPr="001A2D42" w14:paraId="21A8E6AE"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097CDBA1"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North</w:t>
            </w:r>
          </w:p>
        </w:tc>
        <w:tc>
          <w:tcPr>
            <w:tcW w:w="1840" w:type="dxa"/>
            <w:tcBorders>
              <w:top w:val="nil"/>
              <w:left w:val="nil"/>
              <w:bottom w:val="single" w:sz="4" w:space="0" w:color="A6A6A6"/>
              <w:right w:val="single" w:sz="4" w:space="0" w:color="A6A6A6"/>
            </w:tcBorders>
            <w:vAlign w:val="center"/>
            <w:hideMark/>
          </w:tcPr>
          <w:p w14:paraId="160276E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$10,796,387</w:t>
            </w:r>
          </w:p>
        </w:tc>
        <w:tc>
          <w:tcPr>
            <w:tcW w:w="1840" w:type="dxa"/>
            <w:tcBorders>
              <w:top w:val="nil"/>
              <w:left w:val="nil"/>
              <w:bottom w:val="single" w:sz="4" w:space="0" w:color="A6A6A6"/>
              <w:right w:val="single" w:sz="4" w:space="0" w:color="A6A6A6"/>
            </w:tcBorders>
            <w:vAlign w:val="center"/>
            <w:hideMark/>
          </w:tcPr>
          <w:p w14:paraId="77980D0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$220,334</w:t>
            </w:r>
          </w:p>
        </w:tc>
        <w:tc>
          <w:tcPr>
            <w:tcW w:w="1840" w:type="dxa"/>
            <w:tcBorders>
              <w:top w:val="nil"/>
              <w:left w:val="nil"/>
              <w:bottom w:val="single" w:sz="4" w:space="0" w:color="A6A6A6"/>
              <w:right w:val="single" w:sz="4" w:space="0" w:color="A6A6A6"/>
            </w:tcBorders>
            <w:vAlign w:val="center"/>
            <w:hideMark/>
          </w:tcPr>
          <w:p w14:paraId="1F37A2B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$11,016,722</w:t>
            </w:r>
          </w:p>
        </w:tc>
        <w:tc>
          <w:tcPr>
            <w:tcW w:w="1840" w:type="dxa"/>
            <w:tcBorders>
              <w:top w:val="nil"/>
              <w:left w:val="nil"/>
              <w:bottom w:val="single" w:sz="4" w:space="0" w:color="A6A6A6"/>
              <w:right w:val="single" w:sz="4" w:space="0" w:color="A6A6A6"/>
            </w:tcBorders>
            <w:vAlign w:val="center"/>
            <w:hideMark/>
          </w:tcPr>
          <w:p w14:paraId="346A7870"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$285,660,573</w:t>
            </w:r>
          </w:p>
        </w:tc>
        <w:tc>
          <w:tcPr>
            <w:tcW w:w="1840" w:type="dxa"/>
            <w:tcBorders>
              <w:top w:val="nil"/>
              <w:left w:val="nil"/>
              <w:bottom w:val="single" w:sz="4" w:space="0" w:color="A6A6A6"/>
              <w:right w:val="single" w:sz="4" w:space="0" w:color="A6A6A6"/>
            </w:tcBorders>
            <w:vAlign w:val="center"/>
            <w:hideMark/>
          </w:tcPr>
          <w:p w14:paraId="739B235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103.9%</w:t>
            </w:r>
          </w:p>
        </w:tc>
      </w:tr>
      <w:tr w:rsidR="0003013A" w:rsidRPr="001A2D42" w14:paraId="643B2C27"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67A65BBA"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South</w:t>
            </w:r>
          </w:p>
        </w:tc>
        <w:tc>
          <w:tcPr>
            <w:tcW w:w="1840" w:type="dxa"/>
            <w:tcBorders>
              <w:top w:val="nil"/>
              <w:left w:val="nil"/>
              <w:bottom w:val="single" w:sz="4" w:space="0" w:color="A6A6A6"/>
              <w:right w:val="single" w:sz="4" w:space="0" w:color="A6A6A6"/>
            </w:tcBorders>
            <w:vAlign w:val="center"/>
            <w:hideMark/>
          </w:tcPr>
          <w:p w14:paraId="7419E97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$3,899,149</w:t>
            </w:r>
          </w:p>
        </w:tc>
        <w:tc>
          <w:tcPr>
            <w:tcW w:w="1840" w:type="dxa"/>
            <w:tcBorders>
              <w:top w:val="nil"/>
              <w:left w:val="nil"/>
              <w:bottom w:val="single" w:sz="4" w:space="0" w:color="A6A6A6"/>
              <w:right w:val="single" w:sz="4" w:space="0" w:color="A6A6A6"/>
            </w:tcBorders>
            <w:vAlign w:val="center"/>
            <w:hideMark/>
          </w:tcPr>
          <w:p w14:paraId="211DDCC9"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$79,574</w:t>
            </w:r>
          </w:p>
        </w:tc>
        <w:tc>
          <w:tcPr>
            <w:tcW w:w="1840" w:type="dxa"/>
            <w:tcBorders>
              <w:top w:val="nil"/>
              <w:left w:val="nil"/>
              <w:bottom w:val="single" w:sz="4" w:space="0" w:color="A6A6A6"/>
              <w:right w:val="single" w:sz="4" w:space="0" w:color="A6A6A6"/>
            </w:tcBorders>
            <w:vAlign w:val="center"/>
            <w:hideMark/>
          </w:tcPr>
          <w:p w14:paraId="11ABD62D"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$3,978,724</w:t>
            </w:r>
          </w:p>
        </w:tc>
        <w:tc>
          <w:tcPr>
            <w:tcW w:w="1840" w:type="dxa"/>
            <w:tcBorders>
              <w:top w:val="nil"/>
              <w:left w:val="nil"/>
              <w:bottom w:val="single" w:sz="4" w:space="0" w:color="A6A6A6"/>
              <w:right w:val="single" w:sz="4" w:space="0" w:color="A6A6A6"/>
            </w:tcBorders>
            <w:vAlign w:val="center"/>
            <w:hideMark/>
          </w:tcPr>
          <w:p w14:paraId="084436F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$201,276,685</w:t>
            </w:r>
          </w:p>
        </w:tc>
        <w:tc>
          <w:tcPr>
            <w:tcW w:w="1840" w:type="dxa"/>
            <w:tcBorders>
              <w:top w:val="nil"/>
              <w:left w:val="nil"/>
              <w:bottom w:val="single" w:sz="4" w:space="0" w:color="A6A6A6"/>
              <w:right w:val="single" w:sz="4" w:space="0" w:color="A6A6A6"/>
            </w:tcBorders>
            <w:vAlign w:val="center"/>
            <w:hideMark/>
          </w:tcPr>
          <w:p w14:paraId="3BFC970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102.0%</w:t>
            </w:r>
          </w:p>
        </w:tc>
      </w:tr>
      <w:tr w:rsidR="0003013A" w:rsidRPr="001A2D42" w14:paraId="6CFD2811"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4D19C5FC"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Umpqua Health Alliance</w:t>
            </w:r>
          </w:p>
        </w:tc>
        <w:tc>
          <w:tcPr>
            <w:tcW w:w="1840" w:type="dxa"/>
            <w:tcBorders>
              <w:top w:val="nil"/>
              <w:left w:val="nil"/>
              <w:bottom w:val="single" w:sz="4" w:space="0" w:color="A6A6A6"/>
              <w:right w:val="single" w:sz="4" w:space="0" w:color="A6A6A6"/>
            </w:tcBorders>
            <w:vAlign w:val="center"/>
            <w:hideMark/>
          </w:tcPr>
          <w:p w14:paraId="70CD2B03"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$8,570,116</w:t>
            </w:r>
          </w:p>
        </w:tc>
        <w:tc>
          <w:tcPr>
            <w:tcW w:w="1840" w:type="dxa"/>
            <w:tcBorders>
              <w:top w:val="nil"/>
              <w:left w:val="nil"/>
              <w:bottom w:val="single" w:sz="4" w:space="0" w:color="A6A6A6"/>
              <w:right w:val="single" w:sz="4" w:space="0" w:color="A6A6A6"/>
            </w:tcBorders>
            <w:vAlign w:val="center"/>
            <w:hideMark/>
          </w:tcPr>
          <w:p w14:paraId="09F8037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$174,900</w:t>
            </w:r>
          </w:p>
        </w:tc>
        <w:tc>
          <w:tcPr>
            <w:tcW w:w="1840" w:type="dxa"/>
            <w:tcBorders>
              <w:top w:val="nil"/>
              <w:left w:val="nil"/>
              <w:bottom w:val="single" w:sz="4" w:space="0" w:color="A6A6A6"/>
              <w:right w:val="single" w:sz="4" w:space="0" w:color="A6A6A6"/>
            </w:tcBorders>
            <w:vAlign w:val="center"/>
            <w:hideMark/>
          </w:tcPr>
          <w:p w14:paraId="0AA9729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$8,745,017</w:t>
            </w:r>
          </w:p>
        </w:tc>
        <w:tc>
          <w:tcPr>
            <w:tcW w:w="1840" w:type="dxa"/>
            <w:tcBorders>
              <w:top w:val="nil"/>
              <w:left w:val="nil"/>
              <w:bottom w:val="single" w:sz="4" w:space="0" w:color="A6A6A6"/>
              <w:right w:val="single" w:sz="4" w:space="0" w:color="A6A6A6"/>
            </w:tcBorders>
            <w:vAlign w:val="center"/>
            <w:hideMark/>
          </w:tcPr>
          <w:p w14:paraId="219E424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$247,395,838</w:t>
            </w:r>
          </w:p>
        </w:tc>
        <w:tc>
          <w:tcPr>
            <w:tcW w:w="1840" w:type="dxa"/>
            <w:tcBorders>
              <w:top w:val="nil"/>
              <w:left w:val="nil"/>
              <w:bottom w:val="single" w:sz="4" w:space="0" w:color="A6A6A6"/>
              <w:right w:val="single" w:sz="4" w:space="0" w:color="A6A6A6"/>
            </w:tcBorders>
            <w:vAlign w:val="center"/>
            <w:hideMark/>
          </w:tcPr>
          <w:p w14:paraId="4F6190C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103.5%</w:t>
            </w:r>
          </w:p>
        </w:tc>
      </w:tr>
      <w:tr w:rsidR="0003013A" w:rsidRPr="001A2D42" w14:paraId="0EED905D"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46F71055"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Yamhill Community Care</w:t>
            </w:r>
          </w:p>
        </w:tc>
        <w:tc>
          <w:tcPr>
            <w:tcW w:w="1840" w:type="dxa"/>
            <w:tcBorders>
              <w:top w:val="nil"/>
              <w:left w:val="nil"/>
              <w:bottom w:val="single" w:sz="4" w:space="0" w:color="A6A6A6"/>
              <w:right w:val="single" w:sz="4" w:space="0" w:color="A6A6A6"/>
            </w:tcBorders>
            <w:vAlign w:val="center"/>
            <w:hideMark/>
          </w:tcPr>
          <w:p w14:paraId="0F3A65F9"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$7,274,742</w:t>
            </w:r>
          </w:p>
        </w:tc>
        <w:tc>
          <w:tcPr>
            <w:tcW w:w="1840" w:type="dxa"/>
            <w:tcBorders>
              <w:top w:val="nil"/>
              <w:left w:val="nil"/>
              <w:bottom w:val="single" w:sz="4" w:space="0" w:color="A6A6A6"/>
              <w:right w:val="single" w:sz="4" w:space="0" w:color="A6A6A6"/>
            </w:tcBorders>
            <w:vAlign w:val="center"/>
            <w:hideMark/>
          </w:tcPr>
          <w:p w14:paraId="4E66B3C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$148,464</w:t>
            </w:r>
          </w:p>
        </w:tc>
        <w:tc>
          <w:tcPr>
            <w:tcW w:w="1840" w:type="dxa"/>
            <w:tcBorders>
              <w:top w:val="nil"/>
              <w:left w:val="nil"/>
              <w:bottom w:val="single" w:sz="4" w:space="0" w:color="A6A6A6"/>
              <w:right w:val="single" w:sz="4" w:space="0" w:color="A6A6A6"/>
            </w:tcBorders>
            <w:vAlign w:val="center"/>
            <w:hideMark/>
          </w:tcPr>
          <w:p w14:paraId="550CE86F"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$7,423,206</w:t>
            </w:r>
          </w:p>
        </w:tc>
        <w:tc>
          <w:tcPr>
            <w:tcW w:w="1840" w:type="dxa"/>
            <w:tcBorders>
              <w:top w:val="nil"/>
              <w:left w:val="nil"/>
              <w:bottom w:val="single" w:sz="4" w:space="0" w:color="A6A6A6"/>
              <w:right w:val="single" w:sz="4" w:space="0" w:color="A6A6A6"/>
            </w:tcBorders>
            <w:vAlign w:val="center"/>
            <w:hideMark/>
          </w:tcPr>
          <w:p w14:paraId="6B3DDB2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$215,593,885</w:t>
            </w:r>
          </w:p>
        </w:tc>
        <w:tc>
          <w:tcPr>
            <w:tcW w:w="1840" w:type="dxa"/>
            <w:tcBorders>
              <w:top w:val="nil"/>
              <w:left w:val="nil"/>
              <w:bottom w:val="single" w:sz="4" w:space="0" w:color="A6A6A6"/>
              <w:right w:val="single" w:sz="4" w:space="0" w:color="A6A6A6"/>
            </w:tcBorders>
            <w:vAlign w:val="center"/>
            <w:hideMark/>
          </w:tcPr>
          <w:p w14:paraId="3F0DC93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103.4%</w:t>
            </w:r>
          </w:p>
        </w:tc>
      </w:tr>
      <w:tr w:rsidR="0003013A" w:rsidRPr="001A2D42" w14:paraId="6AB3F00E" w14:textId="77777777" w:rsidTr="0003013A">
        <w:trPr>
          <w:trHeight w:val="360"/>
        </w:trPr>
        <w:tc>
          <w:tcPr>
            <w:tcW w:w="3440" w:type="dxa"/>
            <w:tcBorders>
              <w:top w:val="nil"/>
              <w:left w:val="single" w:sz="4" w:space="0" w:color="A6A6A6"/>
              <w:bottom w:val="single" w:sz="4" w:space="0" w:color="A6A6A6"/>
              <w:right w:val="single" w:sz="4" w:space="0" w:color="A6A6A6"/>
            </w:tcBorders>
            <w:vAlign w:val="center"/>
            <w:hideMark/>
          </w:tcPr>
          <w:p w14:paraId="4AC7EE8A"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Total</w:t>
            </w:r>
          </w:p>
        </w:tc>
        <w:tc>
          <w:tcPr>
            <w:tcW w:w="1840" w:type="dxa"/>
            <w:tcBorders>
              <w:top w:val="nil"/>
              <w:left w:val="nil"/>
              <w:bottom w:val="single" w:sz="4" w:space="0" w:color="A6A6A6"/>
              <w:right w:val="single" w:sz="4" w:space="0" w:color="A6A6A6"/>
            </w:tcBorders>
            <w:vAlign w:val="center"/>
            <w:hideMark/>
          </w:tcPr>
          <w:p w14:paraId="73170B28"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$233,555,646</w:t>
            </w:r>
          </w:p>
        </w:tc>
        <w:tc>
          <w:tcPr>
            <w:tcW w:w="1840" w:type="dxa"/>
            <w:tcBorders>
              <w:top w:val="nil"/>
              <w:left w:val="nil"/>
              <w:bottom w:val="single" w:sz="4" w:space="0" w:color="A6A6A6"/>
              <w:right w:val="single" w:sz="4" w:space="0" w:color="A6A6A6"/>
            </w:tcBorders>
            <w:vAlign w:val="center"/>
            <w:hideMark/>
          </w:tcPr>
          <w:p w14:paraId="5613F45E"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$4,766,442</w:t>
            </w:r>
          </w:p>
        </w:tc>
        <w:tc>
          <w:tcPr>
            <w:tcW w:w="1840" w:type="dxa"/>
            <w:tcBorders>
              <w:top w:val="nil"/>
              <w:left w:val="nil"/>
              <w:bottom w:val="single" w:sz="4" w:space="0" w:color="A6A6A6"/>
              <w:right w:val="single" w:sz="4" w:space="0" w:color="A6A6A6"/>
            </w:tcBorders>
            <w:vAlign w:val="center"/>
            <w:hideMark/>
          </w:tcPr>
          <w:p w14:paraId="56929722"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$238,322,088</w:t>
            </w:r>
          </w:p>
        </w:tc>
        <w:tc>
          <w:tcPr>
            <w:tcW w:w="1840" w:type="dxa"/>
            <w:tcBorders>
              <w:top w:val="nil"/>
              <w:left w:val="nil"/>
              <w:bottom w:val="single" w:sz="4" w:space="0" w:color="A6A6A6"/>
              <w:right w:val="single" w:sz="4" w:space="0" w:color="A6A6A6"/>
            </w:tcBorders>
            <w:vAlign w:val="center"/>
            <w:hideMark/>
          </w:tcPr>
          <w:p w14:paraId="50BCDD26" w14:textId="77777777" w:rsidR="0003013A" w:rsidRPr="001A2D42" w:rsidRDefault="0003013A" w:rsidP="0003013A">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$7,944,069,584</w:t>
            </w:r>
          </w:p>
        </w:tc>
        <w:tc>
          <w:tcPr>
            <w:tcW w:w="1840" w:type="dxa"/>
            <w:tcBorders>
              <w:top w:val="nil"/>
              <w:left w:val="nil"/>
              <w:bottom w:val="single" w:sz="4" w:space="0" w:color="A6A6A6"/>
              <w:right w:val="single" w:sz="4" w:space="0" w:color="A6A6A6"/>
            </w:tcBorders>
            <w:vAlign w:val="center"/>
            <w:hideMark/>
          </w:tcPr>
          <w:p w14:paraId="787CE6EC" w14:textId="77777777" w:rsidR="0003013A" w:rsidRPr="001A2D42" w:rsidRDefault="0003013A" w:rsidP="0003013A">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r>
    </w:tbl>
    <w:p w14:paraId="016A5D44" w14:textId="7143F242" w:rsidR="00FF1545" w:rsidRPr="00D23F25" w:rsidRDefault="001D6625" w:rsidP="003B32F9">
      <w:pPr>
        <w:spacing w:after="0" w:line="240" w:lineRule="auto"/>
        <w:rPr>
          <w:rFonts w:eastAsiaTheme="majorEastAsia" w:cstheme="majorBidi"/>
          <w:szCs w:val="24"/>
        </w:rPr>
      </w:pPr>
      <w:r w:rsidRPr="00D23F25">
        <w:rPr>
          <w:rFonts w:eastAsiaTheme="majorEastAsia" w:cstheme="majorBidi"/>
          <w:szCs w:val="24"/>
        </w:rPr>
        <w:t>Continúa en la siguiente página</w:t>
      </w:r>
      <w:r w:rsidR="00BA0F5C">
        <w:rPr>
          <w:rFonts w:eastAsiaTheme="majorEastAsia" w:cstheme="majorBidi"/>
          <w:szCs w:val="24"/>
        </w:rPr>
        <w:t>.</w:t>
      </w:r>
    </w:p>
    <w:p w14:paraId="011A04EF" w14:textId="00B8C3EF" w:rsidR="001D6625" w:rsidRPr="001A2D42" w:rsidRDefault="001D6625" w:rsidP="003B32F9">
      <w:pPr>
        <w:spacing w:after="0" w:line="240" w:lineRule="auto"/>
        <w:rPr>
          <w:rFonts w:eastAsiaTheme="majorEastAsia" w:cstheme="majorBidi"/>
          <w:color w:val="0F4761" w:themeColor="accent1" w:themeShade="BF"/>
          <w:sz w:val="28"/>
          <w:szCs w:val="28"/>
        </w:rPr>
        <w:sectPr w:rsidR="001D6625" w:rsidRPr="001A2D42" w:rsidSect="00C20449">
          <w:footnotePr>
            <w:numFmt w:val="lowerLetter"/>
          </w:footnotePr>
          <w:pgSz w:w="15840" w:h="12240" w:orient="landscape"/>
          <w:pgMar w:top="1440" w:right="1440" w:bottom="1440" w:left="1440" w:header="86" w:footer="720" w:gutter="0"/>
          <w:cols w:num="2" w:space="144" w:equalWidth="0">
            <w:col w:w="6912" w:space="144"/>
            <w:col w:w="5904"/>
          </w:cols>
          <w:docGrid w:linePitch="360"/>
          <w15:footnoteColumns w:val="1"/>
        </w:sectPr>
      </w:pPr>
    </w:p>
    <w:tbl>
      <w:tblPr>
        <w:tblW w:w="12618" w:type="dxa"/>
        <w:tblLook w:val="04A0" w:firstRow="1" w:lastRow="0" w:firstColumn="1" w:lastColumn="0" w:noHBand="0" w:noVBand="1"/>
      </w:tblPr>
      <w:tblGrid>
        <w:gridCol w:w="4546"/>
        <w:gridCol w:w="2638"/>
        <w:gridCol w:w="2664"/>
        <w:gridCol w:w="2770"/>
      </w:tblGrid>
      <w:tr w:rsidR="00B64FE3" w:rsidRPr="001A2D42" w14:paraId="3762C975" w14:textId="77777777" w:rsidTr="002B1C2A">
        <w:trPr>
          <w:trHeight w:val="1100"/>
        </w:trPr>
        <w:tc>
          <w:tcPr>
            <w:tcW w:w="4546" w:type="dxa"/>
            <w:tcBorders>
              <w:top w:val="single" w:sz="4" w:space="0" w:color="A6A6A6"/>
              <w:left w:val="single" w:sz="4" w:space="0" w:color="A6A6A6"/>
              <w:bottom w:val="single" w:sz="4" w:space="0" w:color="A6A6A6"/>
              <w:right w:val="single" w:sz="4" w:space="0" w:color="A6A6A6"/>
            </w:tcBorders>
            <w:vAlign w:val="center"/>
            <w:hideMark/>
          </w:tcPr>
          <w:p w14:paraId="7CF6F734" w14:textId="5B4AAA92" w:rsidR="00B64FE3" w:rsidRPr="001A2D42" w:rsidRDefault="00B64FE3" w:rsidP="003B32F9">
            <w:pPr>
              <w:spacing w:after="0" w:line="240" w:lineRule="auto"/>
              <w:rPr>
                <w:rFonts w:eastAsia="Times New Roman" w:cs="Arial"/>
                <w:kern w:val="0"/>
                <w:sz w:val="22"/>
                <w14:ligatures w14:val="none"/>
              </w:rPr>
            </w:pPr>
            <w:r w:rsidRPr="001A2D42">
              <w:rPr>
                <w:rFonts w:eastAsia="Times New Roman" w:cs="Arial"/>
                <w:kern w:val="0"/>
                <w:sz w:val="22"/>
                <w:lang w:bidi="es-419"/>
                <w14:ligatures w14:val="none"/>
              </w:rPr>
              <w:lastRenderedPageBreak/>
              <w:t>Identificación</w:t>
            </w:r>
          </w:p>
          <w:p w14:paraId="29767828" w14:textId="4A8E604D" w:rsidR="00B64FE3" w:rsidRPr="001A2D42" w:rsidRDefault="00B64FE3" w:rsidP="003B32F9">
            <w:pPr>
              <w:spacing w:after="0" w:line="240" w:lineRule="auto"/>
              <w:rPr>
                <w:rFonts w:eastAsia="Times New Roman" w:cstheme="minorHAnsi"/>
                <w:sz w:val="22"/>
              </w:rPr>
            </w:pPr>
            <w:r w:rsidRPr="001A2D42">
              <w:rPr>
                <w:rFonts w:ascii="Wingdings 2" w:eastAsia="Times New Roman" w:hAnsi="Wingdings 2" w:cs="Times New Roman"/>
                <w:color w:val="002B4A"/>
                <w:sz w:val="22"/>
                <w:lang w:bidi="es-419"/>
              </w:rPr>
              <w:t>¢</w:t>
            </w:r>
            <w:r w:rsidRPr="001A2D42">
              <w:rPr>
                <w:rFonts w:eastAsia="Times New Roman" w:cstheme="minorHAnsi"/>
                <w:sz w:val="22"/>
                <w:lang w:bidi="es-419"/>
              </w:rPr>
              <w:t xml:space="preserve"> </w:t>
            </w:r>
            <w:r w:rsidR="0003013A">
              <w:rPr>
                <w:rFonts w:eastAsia="Times New Roman" w:cstheme="minorHAnsi"/>
                <w:sz w:val="22"/>
                <w:lang w:bidi="es-419"/>
              </w:rPr>
              <w:t>F</w:t>
            </w:r>
            <w:r w:rsidRPr="001A2D42">
              <w:rPr>
                <w:rFonts w:eastAsia="Times New Roman" w:cstheme="minorHAnsi"/>
                <w:sz w:val="22"/>
                <w:lang w:bidi="es-419"/>
              </w:rPr>
              <w:t>ondo por incentivos de calidad</w:t>
            </w:r>
          </w:p>
          <w:p w14:paraId="5A2AB1E4" w14:textId="40EC7085" w:rsidR="00B64FE3" w:rsidRPr="001A2D42" w:rsidRDefault="00B64FE3" w:rsidP="003B32F9">
            <w:pPr>
              <w:spacing w:after="0" w:line="240" w:lineRule="auto"/>
              <w:rPr>
                <w:rFonts w:ascii="Aptos" w:eastAsia="Times New Roman" w:hAnsi="Aptos" w:cs="Arial"/>
                <w:color w:val="0065C6"/>
                <w:kern w:val="0"/>
                <w:sz w:val="22"/>
                <w:u w:val="single"/>
                <w14:ligatures w14:val="none"/>
              </w:rPr>
            </w:pPr>
            <w:r w:rsidRPr="001A2D42">
              <w:rPr>
                <w:rFonts w:ascii="Wingdings 2" w:eastAsia="Times New Roman" w:hAnsi="Wingdings 2" w:cs="Times New Roman"/>
                <w:color w:val="CD76C7"/>
                <w:sz w:val="22"/>
                <w:lang w:bidi="es-419"/>
              </w:rPr>
              <w:t>¢</w:t>
            </w:r>
            <w:r w:rsidRPr="001A2D42">
              <w:rPr>
                <w:rFonts w:eastAsia="Times New Roman" w:cstheme="minorHAnsi"/>
                <w:sz w:val="22"/>
                <w:lang w:bidi="es-419"/>
              </w:rPr>
              <w:t xml:space="preserve"> Pagos por miembro al mes (PMPM)</w:t>
            </w:r>
          </w:p>
        </w:tc>
        <w:tc>
          <w:tcPr>
            <w:tcW w:w="2638" w:type="dxa"/>
            <w:tcBorders>
              <w:top w:val="single" w:sz="4" w:space="0" w:color="A6A6A6"/>
              <w:left w:val="nil"/>
              <w:bottom w:val="single" w:sz="4" w:space="0" w:color="A6A6A6"/>
              <w:right w:val="single" w:sz="4" w:space="0" w:color="A6A6A6"/>
            </w:tcBorders>
            <w:shd w:val="clear" w:color="000000" w:fill="CD76C7"/>
            <w:vAlign w:val="center"/>
            <w:hideMark/>
          </w:tcPr>
          <w:p w14:paraId="0F076542" w14:textId="5311592A" w:rsidR="00B64FE3" w:rsidRPr="001A2D42" w:rsidRDefault="00B64FE3" w:rsidP="003B32F9">
            <w:pPr>
              <w:spacing w:after="0" w:line="240" w:lineRule="auto"/>
              <w:rPr>
                <w:rFonts w:ascii="Aptos" w:eastAsia="Times New Roman" w:hAnsi="Aptos" w:cs="Arial"/>
                <w:color w:val="000000"/>
                <w:kern w:val="0"/>
                <w:sz w:val="22"/>
                <w14:ligatures w14:val="none"/>
              </w:rPr>
            </w:pPr>
            <w:r w:rsidRPr="001A2D42">
              <w:rPr>
                <w:rFonts w:ascii="Aptos" w:eastAsia="Times New Roman" w:hAnsi="Aptos" w:cs="Arial"/>
                <w:color w:val="000000"/>
                <w:kern w:val="0"/>
                <w:sz w:val="22"/>
                <w:lang w:bidi="es-419"/>
                <w14:ligatures w14:val="none"/>
              </w:rPr>
              <w:t xml:space="preserve">Meses de miembros anuales para </w:t>
            </w:r>
            <w:r w:rsidR="0003013A">
              <w:rPr>
                <w:rFonts w:ascii="Aptos" w:eastAsia="Times New Roman" w:hAnsi="Aptos" w:cs="Arial"/>
                <w:color w:val="000000"/>
                <w:kern w:val="0"/>
                <w:sz w:val="22"/>
                <w:lang w:bidi="es-419"/>
                <w14:ligatures w14:val="none"/>
              </w:rPr>
              <w:br/>
            </w:r>
            <w:r w:rsidRPr="001A2D42">
              <w:rPr>
                <w:rFonts w:ascii="Aptos" w:eastAsia="Times New Roman" w:hAnsi="Aptos" w:cs="Arial"/>
                <w:color w:val="000000"/>
                <w:kern w:val="0"/>
                <w:sz w:val="22"/>
                <w:lang w:bidi="es-419"/>
                <w14:ligatures w14:val="none"/>
              </w:rPr>
              <w:t>pagos PMPM</w:t>
            </w:r>
          </w:p>
        </w:tc>
        <w:tc>
          <w:tcPr>
            <w:tcW w:w="2664" w:type="dxa"/>
            <w:tcBorders>
              <w:top w:val="single" w:sz="4" w:space="0" w:color="A6A6A6"/>
              <w:left w:val="nil"/>
              <w:bottom w:val="single" w:sz="4" w:space="0" w:color="A6A6A6"/>
              <w:right w:val="single" w:sz="4" w:space="0" w:color="A6A6A6"/>
            </w:tcBorders>
            <w:shd w:val="clear" w:color="000000" w:fill="CD76C7"/>
            <w:vAlign w:val="center"/>
            <w:hideMark/>
          </w:tcPr>
          <w:p w14:paraId="29C44FA6" w14:textId="5B968F60" w:rsidR="00B64FE3" w:rsidRPr="001A2D42" w:rsidRDefault="00B64FE3" w:rsidP="003B32F9">
            <w:pPr>
              <w:spacing w:after="0" w:line="240" w:lineRule="auto"/>
              <w:rPr>
                <w:rFonts w:ascii="Aptos" w:eastAsia="Times New Roman" w:hAnsi="Aptos" w:cs="Arial"/>
                <w:color w:val="000000"/>
                <w:kern w:val="0"/>
                <w:sz w:val="22"/>
                <w14:ligatures w14:val="none"/>
              </w:rPr>
            </w:pPr>
            <w:r w:rsidRPr="001A2D42">
              <w:rPr>
                <w:rFonts w:ascii="Aptos" w:eastAsia="Times New Roman" w:hAnsi="Aptos" w:cs="Arial"/>
                <w:color w:val="000000"/>
                <w:kern w:val="0"/>
                <w:sz w:val="22"/>
                <w:lang w:bidi="es-419"/>
                <w14:ligatures w14:val="none"/>
              </w:rPr>
              <w:t xml:space="preserve">Promedio de pagos PMPM realizados </w:t>
            </w:r>
            <w:r w:rsidR="0003013A">
              <w:rPr>
                <w:rFonts w:ascii="Aptos" w:eastAsia="Times New Roman" w:hAnsi="Aptos" w:cs="Arial"/>
                <w:color w:val="000000"/>
                <w:kern w:val="0"/>
                <w:sz w:val="22"/>
                <w:lang w:bidi="es-419"/>
                <w14:ligatures w14:val="none"/>
              </w:rPr>
              <w:br/>
            </w:r>
            <w:r w:rsidRPr="001A2D42">
              <w:rPr>
                <w:rFonts w:ascii="Aptos" w:eastAsia="Times New Roman" w:hAnsi="Aptos" w:cs="Arial"/>
                <w:color w:val="000000"/>
                <w:kern w:val="0"/>
                <w:sz w:val="22"/>
                <w:lang w:bidi="es-419"/>
                <w14:ligatures w14:val="none"/>
              </w:rPr>
              <w:t>(pago de capitación)</w:t>
            </w:r>
          </w:p>
        </w:tc>
        <w:tc>
          <w:tcPr>
            <w:tcW w:w="2770" w:type="dxa"/>
            <w:tcBorders>
              <w:top w:val="single" w:sz="4" w:space="0" w:color="A6A6A6"/>
              <w:left w:val="nil"/>
              <w:bottom w:val="single" w:sz="4" w:space="0" w:color="A6A6A6"/>
              <w:right w:val="single" w:sz="4" w:space="0" w:color="A6A6A6"/>
            </w:tcBorders>
            <w:shd w:val="clear" w:color="000000" w:fill="00305E"/>
            <w:vAlign w:val="center"/>
            <w:hideMark/>
          </w:tcPr>
          <w:p w14:paraId="6B304F65" w14:textId="3A073E07" w:rsidR="00B64FE3" w:rsidRPr="001A2D42" w:rsidRDefault="00B64FE3" w:rsidP="003B32F9">
            <w:pPr>
              <w:spacing w:after="0" w:line="240" w:lineRule="auto"/>
              <w:rPr>
                <w:rFonts w:ascii="Aptos" w:eastAsia="Times New Roman" w:hAnsi="Aptos" w:cs="Arial"/>
                <w:color w:val="FFFFFF"/>
                <w:kern w:val="0"/>
                <w:sz w:val="22"/>
                <w14:ligatures w14:val="none"/>
              </w:rPr>
            </w:pPr>
            <w:r w:rsidRPr="001A2D42">
              <w:rPr>
                <w:rFonts w:ascii="Aptos" w:eastAsia="Times New Roman" w:hAnsi="Aptos" w:cs="Arial"/>
                <w:color w:val="FFFFFF"/>
                <w:kern w:val="0"/>
                <w:sz w:val="22"/>
                <w:lang w:bidi="es-419"/>
                <w14:ligatures w14:val="none"/>
              </w:rPr>
              <w:t xml:space="preserve">Promedio pagado del fondo de incentivos </w:t>
            </w:r>
            <w:r w:rsidR="0003013A">
              <w:rPr>
                <w:rFonts w:ascii="Aptos" w:eastAsia="Times New Roman" w:hAnsi="Aptos" w:cs="Arial"/>
                <w:color w:val="FFFFFF"/>
                <w:kern w:val="0"/>
                <w:sz w:val="22"/>
                <w:lang w:bidi="es-419"/>
                <w14:ligatures w14:val="none"/>
              </w:rPr>
              <w:br/>
            </w:r>
            <w:r w:rsidRPr="001A2D42">
              <w:rPr>
                <w:rFonts w:ascii="Aptos" w:eastAsia="Times New Roman" w:hAnsi="Aptos" w:cs="Arial"/>
                <w:color w:val="FFFFFF"/>
                <w:kern w:val="0"/>
                <w:sz w:val="22"/>
                <w:lang w:bidi="es-419"/>
                <w14:ligatures w14:val="none"/>
              </w:rPr>
              <w:t>por calidad (como pago PMPM)</w:t>
            </w:r>
          </w:p>
        </w:tc>
      </w:tr>
      <w:tr w:rsidR="00B64FE3" w:rsidRPr="001A2D42" w14:paraId="3007B6C3"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63D75968"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Advanced Health</w:t>
            </w:r>
          </w:p>
        </w:tc>
        <w:tc>
          <w:tcPr>
            <w:tcW w:w="2638" w:type="dxa"/>
            <w:tcBorders>
              <w:top w:val="nil"/>
              <w:left w:val="nil"/>
              <w:bottom w:val="single" w:sz="4" w:space="0" w:color="A6A6A6"/>
              <w:right w:val="single" w:sz="4" w:space="0" w:color="A6A6A6"/>
            </w:tcBorders>
            <w:noWrap/>
            <w:vAlign w:val="center"/>
            <w:hideMark/>
          </w:tcPr>
          <w:p w14:paraId="7A34BA9A"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325,837 </w:t>
            </w:r>
          </w:p>
        </w:tc>
        <w:tc>
          <w:tcPr>
            <w:tcW w:w="2664" w:type="dxa"/>
            <w:tcBorders>
              <w:top w:val="nil"/>
              <w:left w:val="nil"/>
              <w:bottom w:val="single" w:sz="4" w:space="0" w:color="A6A6A6"/>
              <w:right w:val="single" w:sz="4" w:space="0" w:color="A6A6A6"/>
            </w:tcBorders>
            <w:noWrap/>
            <w:vAlign w:val="center"/>
            <w:hideMark/>
          </w:tcPr>
          <w:p w14:paraId="53E79B0F"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$555.82</w:t>
            </w:r>
          </w:p>
        </w:tc>
        <w:tc>
          <w:tcPr>
            <w:tcW w:w="2770" w:type="dxa"/>
            <w:tcBorders>
              <w:top w:val="nil"/>
              <w:left w:val="nil"/>
              <w:bottom w:val="single" w:sz="4" w:space="0" w:color="A6A6A6"/>
              <w:right w:val="single" w:sz="4" w:space="0" w:color="A6A6A6"/>
            </w:tcBorders>
            <w:noWrap/>
            <w:vAlign w:val="center"/>
            <w:hideMark/>
          </w:tcPr>
          <w:p w14:paraId="773464B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$11.52</w:t>
            </w:r>
          </w:p>
        </w:tc>
      </w:tr>
      <w:tr w:rsidR="00B64FE3" w:rsidRPr="001A2D42" w14:paraId="3A7734F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2FB3660"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Plan de AllCare Health</w:t>
            </w:r>
          </w:p>
        </w:tc>
        <w:tc>
          <w:tcPr>
            <w:tcW w:w="2638" w:type="dxa"/>
            <w:tcBorders>
              <w:top w:val="nil"/>
              <w:left w:val="nil"/>
              <w:bottom w:val="single" w:sz="4" w:space="0" w:color="A6A6A6"/>
              <w:right w:val="single" w:sz="4" w:space="0" w:color="A6A6A6"/>
            </w:tcBorders>
            <w:noWrap/>
            <w:vAlign w:val="center"/>
            <w:hideMark/>
          </w:tcPr>
          <w:p w14:paraId="552EEE68"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757,014 </w:t>
            </w:r>
          </w:p>
        </w:tc>
        <w:tc>
          <w:tcPr>
            <w:tcW w:w="2664" w:type="dxa"/>
            <w:tcBorders>
              <w:top w:val="nil"/>
              <w:left w:val="nil"/>
              <w:bottom w:val="single" w:sz="4" w:space="0" w:color="A6A6A6"/>
              <w:right w:val="single" w:sz="4" w:space="0" w:color="A6A6A6"/>
            </w:tcBorders>
            <w:noWrap/>
            <w:vAlign w:val="center"/>
            <w:hideMark/>
          </w:tcPr>
          <w:p w14:paraId="047CFECD"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$495.09</w:t>
            </w:r>
          </w:p>
        </w:tc>
        <w:tc>
          <w:tcPr>
            <w:tcW w:w="2770" w:type="dxa"/>
            <w:tcBorders>
              <w:top w:val="nil"/>
              <w:left w:val="nil"/>
              <w:bottom w:val="single" w:sz="4" w:space="0" w:color="A6A6A6"/>
              <w:right w:val="single" w:sz="4" w:space="0" w:color="A6A6A6"/>
            </w:tcBorders>
            <w:noWrap/>
            <w:vAlign w:val="center"/>
            <w:hideMark/>
          </w:tcPr>
          <w:p w14:paraId="4A47AAFB"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$13.23</w:t>
            </w:r>
          </w:p>
        </w:tc>
      </w:tr>
      <w:tr w:rsidR="00B64FE3" w:rsidRPr="001A2D42" w14:paraId="14023B0E"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A3833D7"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Cascade Health Alliance</w:t>
            </w:r>
          </w:p>
        </w:tc>
        <w:tc>
          <w:tcPr>
            <w:tcW w:w="2638" w:type="dxa"/>
            <w:tcBorders>
              <w:top w:val="nil"/>
              <w:left w:val="nil"/>
              <w:bottom w:val="single" w:sz="4" w:space="0" w:color="A6A6A6"/>
              <w:right w:val="single" w:sz="4" w:space="0" w:color="A6A6A6"/>
            </w:tcBorders>
            <w:noWrap/>
            <w:vAlign w:val="center"/>
            <w:hideMark/>
          </w:tcPr>
          <w:p w14:paraId="216DD8AC"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316,987 </w:t>
            </w:r>
          </w:p>
        </w:tc>
        <w:tc>
          <w:tcPr>
            <w:tcW w:w="2664" w:type="dxa"/>
            <w:tcBorders>
              <w:top w:val="nil"/>
              <w:left w:val="nil"/>
              <w:bottom w:val="single" w:sz="4" w:space="0" w:color="A6A6A6"/>
              <w:right w:val="single" w:sz="4" w:space="0" w:color="A6A6A6"/>
            </w:tcBorders>
            <w:noWrap/>
            <w:vAlign w:val="center"/>
            <w:hideMark/>
          </w:tcPr>
          <w:p w14:paraId="0E1E0A9D"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$500.98</w:t>
            </w:r>
          </w:p>
        </w:tc>
        <w:tc>
          <w:tcPr>
            <w:tcW w:w="2770" w:type="dxa"/>
            <w:tcBorders>
              <w:top w:val="nil"/>
              <w:left w:val="nil"/>
              <w:bottom w:val="single" w:sz="4" w:space="0" w:color="A6A6A6"/>
              <w:right w:val="single" w:sz="4" w:space="0" w:color="A6A6A6"/>
            </w:tcBorders>
            <w:noWrap/>
            <w:vAlign w:val="center"/>
            <w:hideMark/>
          </w:tcPr>
          <w:p w14:paraId="3189F17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$17.86</w:t>
            </w:r>
          </w:p>
        </w:tc>
      </w:tr>
      <w:tr w:rsidR="00B64FE3" w:rsidRPr="001A2D42" w14:paraId="7C089B79"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4A0381E"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Columbia Pacific</w:t>
            </w:r>
          </w:p>
        </w:tc>
        <w:tc>
          <w:tcPr>
            <w:tcW w:w="2638" w:type="dxa"/>
            <w:tcBorders>
              <w:top w:val="nil"/>
              <w:left w:val="nil"/>
              <w:bottom w:val="single" w:sz="4" w:space="0" w:color="A6A6A6"/>
              <w:right w:val="single" w:sz="4" w:space="0" w:color="A6A6A6"/>
            </w:tcBorders>
            <w:noWrap/>
            <w:vAlign w:val="center"/>
            <w:hideMark/>
          </w:tcPr>
          <w:p w14:paraId="4BD07C16"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432,436 </w:t>
            </w:r>
          </w:p>
        </w:tc>
        <w:tc>
          <w:tcPr>
            <w:tcW w:w="2664" w:type="dxa"/>
            <w:tcBorders>
              <w:top w:val="nil"/>
              <w:left w:val="nil"/>
              <w:bottom w:val="single" w:sz="4" w:space="0" w:color="A6A6A6"/>
              <w:right w:val="single" w:sz="4" w:space="0" w:color="A6A6A6"/>
            </w:tcBorders>
            <w:noWrap/>
            <w:vAlign w:val="center"/>
            <w:hideMark/>
          </w:tcPr>
          <w:p w14:paraId="183537C1"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$606.22</w:t>
            </w:r>
          </w:p>
        </w:tc>
        <w:tc>
          <w:tcPr>
            <w:tcW w:w="2770" w:type="dxa"/>
            <w:tcBorders>
              <w:top w:val="nil"/>
              <w:left w:val="nil"/>
              <w:bottom w:val="single" w:sz="4" w:space="0" w:color="A6A6A6"/>
              <w:right w:val="single" w:sz="4" w:space="0" w:color="A6A6A6"/>
            </w:tcBorders>
            <w:noWrap/>
            <w:vAlign w:val="center"/>
            <w:hideMark/>
          </w:tcPr>
          <w:p w14:paraId="4CA89FD5"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$12.56</w:t>
            </w:r>
          </w:p>
        </w:tc>
      </w:tr>
      <w:tr w:rsidR="00B64FE3" w:rsidRPr="001A2D42" w14:paraId="69BCA5B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71415CC7"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EOCCO</w:t>
            </w:r>
          </w:p>
        </w:tc>
        <w:tc>
          <w:tcPr>
            <w:tcW w:w="2638" w:type="dxa"/>
            <w:tcBorders>
              <w:top w:val="nil"/>
              <w:left w:val="nil"/>
              <w:bottom w:val="single" w:sz="4" w:space="0" w:color="A6A6A6"/>
              <w:right w:val="single" w:sz="4" w:space="0" w:color="A6A6A6"/>
            </w:tcBorders>
            <w:noWrap/>
            <w:vAlign w:val="center"/>
            <w:hideMark/>
          </w:tcPr>
          <w:p w14:paraId="4ADB8C16"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867,786 </w:t>
            </w:r>
          </w:p>
        </w:tc>
        <w:tc>
          <w:tcPr>
            <w:tcW w:w="2664" w:type="dxa"/>
            <w:tcBorders>
              <w:top w:val="nil"/>
              <w:left w:val="nil"/>
              <w:bottom w:val="single" w:sz="4" w:space="0" w:color="A6A6A6"/>
              <w:right w:val="single" w:sz="4" w:space="0" w:color="A6A6A6"/>
            </w:tcBorders>
            <w:noWrap/>
            <w:vAlign w:val="center"/>
            <w:hideMark/>
          </w:tcPr>
          <w:p w14:paraId="6399F5C4"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$572.79</w:t>
            </w:r>
          </w:p>
        </w:tc>
        <w:tc>
          <w:tcPr>
            <w:tcW w:w="2770" w:type="dxa"/>
            <w:tcBorders>
              <w:top w:val="nil"/>
              <w:left w:val="nil"/>
              <w:bottom w:val="single" w:sz="4" w:space="0" w:color="A6A6A6"/>
              <w:right w:val="single" w:sz="4" w:space="0" w:color="A6A6A6"/>
            </w:tcBorders>
            <w:noWrap/>
            <w:vAlign w:val="center"/>
            <w:hideMark/>
          </w:tcPr>
          <w:p w14:paraId="24764EE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$17.23</w:t>
            </w:r>
          </w:p>
        </w:tc>
      </w:tr>
      <w:tr w:rsidR="00B64FE3" w:rsidRPr="001A2D42" w14:paraId="15131924"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52E3C1E"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Health Share of Oregon</w:t>
            </w:r>
          </w:p>
        </w:tc>
        <w:tc>
          <w:tcPr>
            <w:tcW w:w="2638" w:type="dxa"/>
            <w:tcBorders>
              <w:top w:val="nil"/>
              <w:left w:val="nil"/>
              <w:bottom w:val="single" w:sz="4" w:space="0" w:color="A6A6A6"/>
              <w:right w:val="single" w:sz="4" w:space="0" w:color="A6A6A6"/>
            </w:tcBorders>
            <w:noWrap/>
            <w:vAlign w:val="center"/>
            <w:hideMark/>
          </w:tcPr>
          <w:p w14:paraId="4EF66D2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5,029,281 </w:t>
            </w:r>
          </w:p>
        </w:tc>
        <w:tc>
          <w:tcPr>
            <w:tcW w:w="2664" w:type="dxa"/>
            <w:tcBorders>
              <w:top w:val="nil"/>
              <w:left w:val="nil"/>
              <w:bottom w:val="single" w:sz="4" w:space="0" w:color="A6A6A6"/>
              <w:right w:val="single" w:sz="4" w:space="0" w:color="A6A6A6"/>
            </w:tcBorders>
            <w:noWrap/>
            <w:vAlign w:val="center"/>
            <w:hideMark/>
          </w:tcPr>
          <w:p w14:paraId="5EC74E42"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$506.27</w:t>
            </w:r>
          </w:p>
        </w:tc>
        <w:tc>
          <w:tcPr>
            <w:tcW w:w="2770" w:type="dxa"/>
            <w:tcBorders>
              <w:top w:val="nil"/>
              <w:left w:val="nil"/>
              <w:bottom w:val="single" w:sz="4" w:space="0" w:color="A6A6A6"/>
              <w:right w:val="single" w:sz="4" w:space="0" w:color="A6A6A6"/>
            </w:tcBorders>
            <w:noWrap/>
            <w:vAlign w:val="center"/>
            <w:hideMark/>
          </w:tcPr>
          <w:p w14:paraId="1F121DEF"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$15.97</w:t>
            </w:r>
          </w:p>
        </w:tc>
      </w:tr>
      <w:tr w:rsidR="00B64FE3" w:rsidRPr="001A2D42" w14:paraId="4B6061F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18B84037"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InterCommunity Health Network</w:t>
            </w:r>
          </w:p>
        </w:tc>
        <w:tc>
          <w:tcPr>
            <w:tcW w:w="2638" w:type="dxa"/>
            <w:tcBorders>
              <w:top w:val="nil"/>
              <w:left w:val="nil"/>
              <w:bottom w:val="single" w:sz="4" w:space="0" w:color="A6A6A6"/>
              <w:right w:val="single" w:sz="4" w:space="0" w:color="A6A6A6"/>
            </w:tcBorders>
            <w:noWrap/>
            <w:vAlign w:val="center"/>
            <w:hideMark/>
          </w:tcPr>
          <w:p w14:paraId="1EA11204"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971,469 </w:t>
            </w:r>
          </w:p>
        </w:tc>
        <w:tc>
          <w:tcPr>
            <w:tcW w:w="2664" w:type="dxa"/>
            <w:tcBorders>
              <w:top w:val="nil"/>
              <w:left w:val="nil"/>
              <w:bottom w:val="single" w:sz="4" w:space="0" w:color="A6A6A6"/>
              <w:right w:val="single" w:sz="4" w:space="0" w:color="A6A6A6"/>
            </w:tcBorders>
            <w:noWrap/>
            <w:vAlign w:val="center"/>
            <w:hideMark/>
          </w:tcPr>
          <w:p w14:paraId="243CDC4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$555.42</w:t>
            </w:r>
          </w:p>
        </w:tc>
        <w:tc>
          <w:tcPr>
            <w:tcW w:w="2770" w:type="dxa"/>
            <w:tcBorders>
              <w:top w:val="nil"/>
              <w:left w:val="nil"/>
              <w:bottom w:val="single" w:sz="4" w:space="0" w:color="A6A6A6"/>
              <w:right w:val="single" w:sz="4" w:space="0" w:color="A6A6A6"/>
            </w:tcBorders>
            <w:noWrap/>
            <w:vAlign w:val="center"/>
            <w:hideMark/>
          </w:tcPr>
          <w:p w14:paraId="4DDA50F3"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$18.48</w:t>
            </w:r>
          </w:p>
        </w:tc>
      </w:tr>
      <w:tr w:rsidR="00B64FE3" w:rsidRPr="001A2D42" w14:paraId="5E204CC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4B9B9CA5"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Jackson Care Connect</w:t>
            </w:r>
          </w:p>
        </w:tc>
        <w:tc>
          <w:tcPr>
            <w:tcW w:w="2638" w:type="dxa"/>
            <w:tcBorders>
              <w:top w:val="nil"/>
              <w:left w:val="nil"/>
              <w:bottom w:val="single" w:sz="4" w:space="0" w:color="A6A6A6"/>
              <w:right w:val="single" w:sz="4" w:space="0" w:color="A6A6A6"/>
            </w:tcBorders>
            <w:noWrap/>
            <w:vAlign w:val="center"/>
            <w:hideMark/>
          </w:tcPr>
          <w:p w14:paraId="18CCB075"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756,571 </w:t>
            </w:r>
          </w:p>
        </w:tc>
        <w:tc>
          <w:tcPr>
            <w:tcW w:w="2664" w:type="dxa"/>
            <w:tcBorders>
              <w:top w:val="nil"/>
              <w:left w:val="nil"/>
              <w:bottom w:val="single" w:sz="4" w:space="0" w:color="A6A6A6"/>
              <w:right w:val="single" w:sz="4" w:space="0" w:color="A6A6A6"/>
            </w:tcBorders>
            <w:noWrap/>
            <w:vAlign w:val="center"/>
            <w:hideMark/>
          </w:tcPr>
          <w:p w14:paraId="7F9A3677"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$500.11</w:t>
            </w:r>
          </w:p>
        </w:tc>
        <w:tc>
          <w:tcPr>
            <w:tcW w:w="2770" w:type="dxa"/>
            <w:tcBorders>
              <w:top w:val="nil"/>
              <w:left w:val="nil"/>
              <w:bottom w:val="single" w:sz="4" w:space="0" w:color="A6A6A6"/>
              <w:right w:val="single" w:sz="4" w:space="0" w:color="A6A6A6"/>
            </w:tcBorders>
            <w:noWrap/>
            <w:vAlign w:val="center"/>
            <w:hideMark/>
          </w:tcPr>
          <w:p w14:paraId="5A287BC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$12.15</w:t>
            </w:r>
          </w:p>
        </w:tc>
      </w:tr>
      <w:tr w:rsidR="00B64FE3" w:rsidRPr="001A2D42" w14:paraId="6A256C8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182ECBA2"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Central </w:t>
            </w:r>
          </w:p>
        </w:tc>
        <w:tc>
          <w:tcPr>
            <w:tcW w:w="2638" w:type="dxa"/>
            <w:tcBorders>
              <w:top w:val="nil"/>
              <w:left w:val="nil"/>
              <w:bottom w:val="single" w:sz="4" w:space="0" w:color="A6A6A6"/>
              <w:right w:val="single" w:sz="4" w:space="0" w:color="A6A6A6"/>
            </w:tcBorders>
            <w:noWrap/>
            <w:vAlign w:val="center"/>
            <w:hideMark/>
          </w:tcPr>
          <w:p w14:paraId="1F9F081F"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884,311 </w:t>
            </w:r>
          </w:p>
        </w:tc>
        <w:tc>
          <w:tcPr>
            <w:tcW w:w="2664" w:type="dxa"/>
            <w:tcBorders>
              <w:top w:val="nil"/>
              <w:left w:val="nil"/>
              <w:bottom w:val="single" w:sz="4" w:space="0" w:color="A6A6A6"/>
              <w:right w:val="single" w:sz="4" w:space="0" w:color="A6A6A6"/>
            </w:tcBorders>
            <w:noWrap/>
            <w:vAlign w:val="center"/>
            <w:hideMark/>
          </w:tcPr>
          <w:p w14:paraId="3307551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$606.56</w:t>
            </w:r>
          </w:p>
        </w:tc>
        <w:tc>
          <w:tcPr>
            <w:tcW w:w="2770" w:type="dxa"/>
            <w:tcBorders>
              <w:top w:val="nil"/>
              <w:left w:val="nil"/>
              <w:bottom w:val="single" w:sz="4" w:space="0" w:color="A6A6A6"/>
              <w:right w:val="single" w:sz="4" w:space="0" w:color="A6A6A6"/>
            </w:tcBorders>
            <w:noWrap/>
            <w:vAlign w:val="center"/>
            <w:hideMark/>
          </w:tcPr>
          <w:p w14:paraId="3B594128"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$15.57</w:t>
            </w:r>
          </w:p>
        </w:tc>
      </w:tr>
      <w:tr w:rsidR="00B64FE3" w:rsidRPr="001A2D42" w14:paraId="721A0AAD"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38C15E72"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Gorge</w:t>
            </w:r>
          </w:p>
        </w:tc>
        <w:tc>
          <w:tcPr>
            <w:tcW w:w="2638" w:type="dxa"/>
            <w:tcBorders>
              <w:top w:val="nil"/>
              <w:left w:val="nil"/>
              <w:bottom w:val="single" w:sz="4" w:space="0" w:color="A6A6A6"/>
              <w:right w:val="single" w:sz="4" w:space="0" w:color="A6A6A6"/>
            </w:tcBorders>
            <w:noWrap/>
            <w:vAlign w:val="center"/>
            <w:hideMark/>
          </w:tcPr>
          <w:p w14:paraId="105F14D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199,177 </w:t>
            </w:r>
          </w:p>
        </w:tc>
        <w:tc>
          <w:tcPr>
            <w:tcW w:w="2664" w:type="dxa"/>
            <w:tcBorders>
              <w:top w:val="nil"/>
              <w:left w:val="nil"/>
              <w:bottom w:val="single" w:sz="4" w:space="0" w:color="A6A6A6"/>
              <w:right w:val="single" w:sz="4" w:space="0" w:color="A6A6A6"/>
            </w:tcBorders>
            <w:noWrap/>
            <w:vAlign w:val="center"/>
            <w:hideMark/>
          </w:tcPr>
          <w:p w14:paraId="2AB04ABD"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$543.72</w:t>
            </w:r>
          </w:p>
        </w:tc>
        <w:tc>
          <w:tcPr>
            <w:tcW w:w="2770" w:type="dxa"/>
            <w:tcBorders>
              <w:top w:val="nil"/>
              <w:left w:val="nil"/>
              <w:bottom w:val="single" w:sz="4" w:space="0" w:color="A6A6A6"/>
              <w:right w:val="single" w:sz="4" w:space="0" w:color="A6A6A6"/>
            </w:tcBorders>
            <w:noWrap/>
            <w:vAlign w:val="center"/>
            <w:hideMark/>
          </w:tcPr>
          <w:p w14:paraId="482FF014"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$19.80</w:t>
            </w:r>
          </w:p>
        </w:tc>
      </w:tr>
      <w:tr w:rsidR="00B64FE3" w:rsidRPr="001A2D42" w14:paraId="436CD17A"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6C187FC3"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PacificSource, Lane </w:t>
            </w:r>
          </w:p>
        </w:tc>
        <w:tc>
          <w:tcPr>
            <w:tcW w:w="2638" w:type="dxa"/>
            <w:tcBorders>
              <w:top w:val="nil"/>
              <w:left w:val="nil"/>
              <w:bottom w:val="single" w:sz="4" w:space="0" w:color="A6A6A6"/>
              <w:right w:val="single" w:sz="4" w:space="0" w:color="A6A6A6"/>
            </w:tcBorders>
            <w:noWrap/>
            <w:vAlign w:val="center"/>
            <w:hideMark/>
          </w:tcPr>
          <w:p w14:paraId="739A8F4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1,070,889 </w:t>
            </w:r>
          </w:p>
        </w:tc>
        <w:tc>
          <w:tcPr>
            <w:tcW w:w="2664" w:type="dxa"/>
            <w:tcBorders>
              <w:top w:val="nil"/>
              <w:left w:val="nil"/>
              <w:bottom w:val="single" w:sz="4" w:space="0" w:color="A6A6A6"/>
              <w:right w:val="single" w:sz="4" w:space="0" w:color="A6A6A6"/>
            </w:tcBorders>
            <w:noWrap/>
            <w:vAlign w:val="center"/>
            <w:hideMark/>
          </w:tcPr>
          <w:p w14:paraId="0B768536"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$506.02</w:t>
            </w:r>
          </w:p>
        </w:tc>
        <w:tc>
          <w:tcPr>
            <w:tcW w:w="2770" w:type="dxa"/>
            <w:tcBorders>
              <w:top w:val="nil"/>
              <w:left w:val="nil"/>
              <w:bottom w:val="single" w:sz="4" w:space="0" w:color="A6A6A6"/>
              <w:right w:val="single" w:sz="4" w:space="0" w:color="A6A6A6"/>
            </w:tcBorders>
            <w:noWrap/>
            <w:vAlign w:val="center"/>
            <w:hideMark/>
          </w:tcPr>
          <w:p w14:paraId="5CE11EF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$18.67</w:t>
            </w:r>
          </w:p>
        </w:tc>
      </w:tr>
      <w:tr w:rsidR="00B64FE3" w:rsidRPr="001A2D42" w14:paraId="1173CBD7"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40AD0B90"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PacificSource, Marion Polk</w:t>
            </w:r>
          </w:p>
        </w:tc>
        <w:tc>
          <w:tcPr>
            <w:tcW w:w="2638" w:type="dxa"/>
            <w:tcBorders>
              <w:top w:val="nil"/>
              <w:left w:val="nil"/>
              <w:bottom w:val="single" w:sz="4" w:space="0" w:color="A6A6A6"/>
              <w:right w:val="single" w:sz="4" w:space="0" w:color="A6A6A6"/>
            </w:tcBorders>
            <w:noWrap/>
            <w:vAlign w:val="center"/>
            <w:hideMark/>
          </w:tcPr>
          <w:p w14:paraId="19E285AC"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1,699,837 </w:t>
            </w:r>
          </w:p>
        </w:tc>
        <w:tc>
          <w:tcPr>
            <w:tcW w:w="2664" w:type="dxa"/>
            <w:tcBorders>
              <w:top w:val="nil"/>
              <w:left w:val="nil"/>
              <w:bottom w:val="single" w:sz="4" w:space="0" w:color="A6A6A6"/>
              <w:right w:val="single" w:sz="4" w:space="0" w:color="A6A6A6"/>
            </w:tcBorders>
            <w:noWrap/>
            <w:vAlign w:val="center"/>
            <w:hideMark/>
          </w:tcPr>
          <w:p w14:paraId="222ECC76"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$511.54</w:t>
            </w:r>
          </w:p>
        </w:tc>
        <w:tc>
          <w:tcPr>
            <w:tcW w:w="2770" w:type="dxa"/>
            <w:tcBorders>
              <w:top w:val="nil"/>
              <w:left w:val="nil"/>
              <w:bottom w:val="single" w:sz="4" w:space="0" w:color="A6A6A6"/>
              <w:right w:val="single" w:sz="4" w:space="0" w:color="A6A6A6"/>
            </w:tcBorders>
            <w:noWrap/>
            <w:vAlign w:val="center"/>
            <w:hideMark/>
          </w:tcPr>
          <w:p w14:paraId="78668E73"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$13.04</w:t>
            </w:r>
          </w:p>
        </w:tc>
      </w:tr>
      <w:tr w:rsidR="00B64FE3" w:rsidRPr="001A2D42" w14:paraId="26CC3875"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225FA68A"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North</w:t>
            </w:r>
          </w:p>
        </w:tc>
        <w:tc>
          <w:tcPr>
            <w:tcW w:w="2638" w:type="dxa"/>
            <w:tcBorders>
              <w:top w:val="nil"/>
              <w:left w:val="nil"/>
              <w:bottom w:val="single" w:sz="4" w:space="0" w:color="A6A6A6"/>
              <w:right w:val="single" w:sz="4" w:space="0" w:color="A6A6A6"/>
            </w:tcBorders>
            <w:noWrap/>
            <w:vAlign w:val="center"/>
            <w:hideMark/>
          </w:tcPr>
          <w:p w14:paraId="22060D90" w14:textId="10F5FAB4"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701,844 </w:t>
            </w:r>
          </w:p>
        </w:tc>
        <w:tc>
          <w:tcPr>
            <w:tcW w:w="2664" w:type="dxa"/>
            <w:tcBorders>
              <w:top w:val="nil"/>
              <w:left w:val="nil"/>
              <w:bottom w:val="single" w:sz="4" w:space="0" w:color="A6A6A6"/>
              <w:right w:val="single" w:sz="4" w:space="0" w:color="A6A6A6"/>
            </w:tcBorders>
            <w:noWrap/>
            <w:vAlign w:val="center"/>
            <w:hideMark/>
          </w:tcPr>
          <w:p w14:paraId="5D43176A" w14:textId="3C367AF5"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$407.01</w:t>
            </w:r>
          </w:p>
        </w:tc>
        <w:tc>
          <w:tcPr>
            <w:tcW w:w="2770" w:type="dxa"/>
            <w:tcBorders>
              <w:top w:val="nil"/>
              <w:left w:val="nil"/>
              <w:bottom w:val="single" w:sz="4" w:space="0" w:color="A6A6A6"/>
              <w:right w:val="single" w:sz="4" w:space="0" w:color="A6A6A6"/>
            </w:tcBorders>
            <w:noWrap/>
            <w:vAlign w:val="center"/>
            <w:hideMark/>
          </w:tcPr>
          <w:p w14:paraId="71E62FFF" w14:textId="78ACD7AB"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$15.70</w:t>
            </w:r>
          </w:p>
        </w:tc>
      </w:tr>
      <w:tr w:rsidR="00B64FE3" w:rsidRPr="001A2D42" w14:paraId="6627EF50"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39EACDC"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Trillium South</w:t>
            </w:r>
          </w:p>
        </w:tc>
        <w:tc>
          <w:tcPr>
            <w:tcW w:w="2638" w:type="dxa"/>
            <w:tcBorders>
              <w:top w:val="nil"/>
              <w:left w:val="nil"/>
              <w:bottom w:val="single" w:sz="4" w:space="0" w:color="A6A6A6"/>
              <w:right w:val="single" w:sz="4" w:space="0" w:color="A6A6A6"/>
            </w:tcBorders>
            <w:noWrap/>
            <w:vAlign w:val="center"/>
            <w:hideMark/>
          </w:tcPr>
          <w:p w14:paraId="4EBB3AE5" w14:textId="7500032A"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414,655 </w:t>
            </w:r>
          </w:p>
        </w:tc>
        <w:tc>
          <w:tcPr>
            <w:tcW w:w="2664" w:type="dxa"/>
            <w:tcBorders>
              <w:top w:val="nil"/>
              <w:left w:val="nil"/>
              <w:bottom w:val="single" w:sz="4" w:space="0" w:color="A6A6A6"/>
              <w:right w:val="single" w:sz="4" w:space="0" w:color="A6A6A6"/>
            </w:tcBorders>
            <w:noWrap/>
            <w:vAlign w:val="center"/>
            <w:hideMark/>
          </w:tcPr>
          <w:p w14:paraId="7FCF49FD" w14:textId="5B19EE6E"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$485.41</w:t>
            </w:r>
          </w:p>
        </w:tc>
        <w:tc>
          <w:tcPr>
            <w:tcW w:w="2770" w:type="dxa"/>
            <w:tcBorders>
              <w:top w:val="nil"/>
              <w:left w:val="nil"/>
              <w:bottom w:val="single" w:sz="4" w:space="0" w:color="A6A6A6"/>
              <w:right w:val="single" w:sz="4" w:space="0" w:color="A6A6A6"/>
            </w:tcBorders>
            <w:noWrap/>
            <w:vAlign w:val="center"/>
            <w:hideMark/>
          </w:tcPr>
          <w:p w14:paraId="4E567734" w14:textId="3CA49A46" w:rsidR="00B64FE3" w:rsidRPr="001A2D42" w:rsidRDefault="0051311E"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$9.60</w:t>
            </w:r>
          </w:p>
        </w:tc>
      </w:tr>
      <w:tr w:rsidR="00B64FE3" w:rsidRPr="001A2D42" w14:paraId="567CBCC0"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2514BFB5"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Umpqua Health Alliance</w:t>
            </w:r>
          </w:p>
        </w:tc>
        <w:tc>
          <w:tcPr>
            <w:tcW w:w="2638" w:type="dxa"/>
            <w:tcBorders>
              <w:top w:val="nil"/>
              <w:left w:val="nil"/>
              <w:bottom w:val="single" w:sz="4" w:space="0" w:color="A6A6A6"/>
              <w:right w:val="single" w:sz="4" w:space="0" w:color="A6A6A6"/>
            </w:tcBorders>
            <w:noWrap/>
            <w:vAlign w:val="center"/>
            <w:hideMark/>
          </w:tcPr>
          <w:p w14:paraId="5175301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467,302 </w:t>
            </w:r>
          </w:p>
        </w:tc>
        <w:tc>
          <w:tcPr>
            <w:tcW w:w="2664" w:type="dxa"/>
            <w:tcBorders>
              <w:top w:val="nil"/>
              <w:left w:val="nil"/>
              <w:bottom w:val="single" w:sz="4" w:space="0" w:color="A6A6A6"/>
              <w:right w:val="single" w:sz="4" w:space="0" w:color="A6A6A6"/>
            </w:tcBorders>
            <w:noWrap/>
            <w:vAlign w:val="center"/>
            <w:hideMark/>
          </w:tcPr>
          <w:p w14:paraId="17C3C5AB"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$529.41</w:t>
            </w:r>
          </w:p>
        </w:tc>
        <w:tc>
          <w:tcPr>
            <w:tcW w:w="2770" w:type="dxa"/>
            <w:tcBorders>
              <w:top w:val="nil"/>
              <w:left w:val="nil"/>
              <w:bottom w:val="single" w:sz="4" w:space="0" w:color="A6A6A6"/>
              <w:right w:val="single" w:sz="4" w:space="0" w:color="A6A6A6"/>
            </w:tcBorders>
            <w:noWrap/>
            <w:vAlign w:val="center"/>
            <w:hideMark/>
          </w:tcPr>
          <w:p w14:paraId="4C82F1A2"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$18.71</w:t>
            </w:r>
          </w:p>
        </w:tc>
      </w:tr>
      <w:tr w:rsidR="00B64FE3" w:rsidRPr="001A2D42" w14:paraId="7E258B8F"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A61F6FB" w14:textId="77777777" w:rsidR="00B64FE3" w:rsidRPr="001A2D42" w:rsidRDefault="00B64FE3" w:rsidP="003B32F9">
            <w:pPr>
              <w:spacing w:after="0" w:line="240" w:lineRule="auto"/>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Yamhill Community Care</w:t>
            </w:r>
          </w:p>
        </w:tc>
        <w:tc>
          <w:tcPr>
            <w:tcW w:w="2638" w:type="dxa"/>
            <w:tcBorders>
              <w:top w:val="nil"/>
              <w:left w:val="nil"/>
              <w:bottom w:val="single" w:sz="4" w:space="0" w:color="A6A6A6"/>
              <w:right w:val="single" w:sz="4" w:space="0" w:color="A6A6A6"/>
            </w:tcBorders>
            <w:noWrap/>
            <w:vAlign w:val="center"/>
            <w:hideMark/>
          </w:tcPr>
          <w:p w14:paraId="40E96C72"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415,078 </w:t>
            </w:r>
          </w:p>
        </w:tc>
        <w:tc>
          <w:tcPr>
            <w:tcW w:w="2664" w:type="dxa"/>
            <w:tcBorders>
              <w:top w:val="nil"/>
              <w:left w:val="nil"/>
              <w:bottom w:val="single" w:sz="4" w:space="0" w:color="A6A6A6"/>
              <w:right w:val="single" w:sz="4" w:space="0" w:color="A6A6A6"/>
            </w:tcBorders>
            <w:noWrap/>
            <w:vAlign w:val="center"/>
            <w:hideMark/>
          </w:tcPr>
          <w:p w14:paraId="55F22602"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$519.41</w:t>
            </w:r>
          </w:p>
        </w:tc>
        <w:tc>
          <w:tcPr>
            <w:tcW w:w="2770" w:type="dxa"/>
            <w:tcBorders>
              <w:top w:val="nil"/>
              <w:left w:val="nil"/>
              <w:bottom w:val="single" w:sz="4" w:space="0" w:color="A6A6A6"/>
              <w:right w:val="single" w:sz="4" w:space="0" w:color="A6A6A6"/>
            </w:tcBorders>
            <w:noWrap/>
            <w:vAlign w:val="center"/>
            <w:hideMark/>
          </w:tcPr>
          <w:p w14:paraId="45A8F757"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$17.88</w:t>
            </w:r>
          </w:p>
        </w:tc>
      </w:tr>
      <w:tr w:rsidR="00B64FE3" w:rsidRPr="001A2D42" w14:paraId="68AEF404" w14:textId="77777777" w:rsidTr="002B1C2A">
        <w:trPr>
          <w:trHeight w:val="359"/>
        </w:trPr>
        <w:tc>
          <w:tcPr>
            <w:tcW w:w="4546" w:type="dxa"/>
            <w:tcBorders>
              <w:top w:val="nil"/>
              <w:left w:val="single" w:sz="4" w:space="0" w:color="A6A6A6"/>
              <w:bottom w:val="single" w:sz="4" w:space="0" w:color="A6A6A6"/>
              <w:right w:val="single" w:sz="4" w:space="0" w:color="A6A6A6"/>
            </w:tcBorders>
            <w:vAlign w:val="center"/>
            <w:hideMark/>
          </w:tcPr>
          <w:p w14:paraId="0167EDAE"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Total</w:t>
            </w:r>
          </w:p>
        </w:tc>
        <w:tc>
          <w:tcPr>
            <w:tcW w:w="2638" w:type="dxa"/>
            <w:tcBorders>
              <w:top w:val="nil"/>
              <w:left w:val="nil"/>
              <w:bottom w:val="single" w:sz="4" w:space="0" w:color="A6A6A6"/>
              <w:right w:val="single" w:sz="4" w:space="0" w:color="A6A6A6"/>
            </w:tcBorders>
            <w:noWrap/>
            <w:vAlign w:val="center"/>
            <w:hideMark/>
          </w:tcPr>
          <w:p w14:paraId="4D436610"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xml:space="preserve">15,310,474 </w:t>
            </w:r>
          </w:p>
        </w:tc>
        <w:tc>
          <w:tcPr>
            <w:tcW w:w="2664" w:type="dxa"/>
            <w:tcBorders>
              <w:top w:val="nil"/>
              <w:left w:val="nil"/>
              <w:bottom w:val="single" w:sz="4" w:space="0" w:color="A6A6A6"/>
              <w:right w:val="single" w:sz="4" w:space="0" w:color="A6A6A6"/>
            </w:tcBorders>
            <w:noWrap/>
            <w:vAlign w:val="center"/>
            <w:hideMark/>
          </w:tcPr>
          <w:p w14:paraId="2DAF5CB7"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c>
          <w:tcPr>
            <w:tcW w:w="2770" w:type="dxa"/>
            <w:tcBorders>
              <w:top w:val="nil"/>
              <w:left w:val="nil"/>
              <w:bottom w:val="single" w:sz="4" w:space="0" w:color="A6A6A6"/>
              <w:right w:val="single" w:sz="4" w:space="0" w:color="A6A6A6"/>
            </w:tcBorders>
            <w:noWrap/>
            <w:vAlign w:val="center"/>
            <w:hideMark/>
          </w:tcPr>
          <w:p w14:paraId="3B849759" w14:textId="77777777" w:rsidR="00B64FE3" w:rsidRPr="001A2D42" w:rsidRDefault="00B64FE3" w:rsidP="003B32F9">
            <w:pPr>
              <w:spacing w:after="0" w:line="240" w:lineRule="auto"/>
              <w:jc w:val="right"/>
              <w:rPr>
                <w:rFonts w:ascii="Aptos" w:eastAsia="Times New Roman" w:hAnsi="Aptos" w:cs="Arial"/>
                <w:kern w:val="0"/>
                <w:sz w:val="22"/>
                <w14:ligatures w14:val="none"/>
              </w:rPr>
            </w:pPr>
            <w:r w:rsidRPr="001A2D42">
              <w:rPr>
                <w:rFonts w:ascii="Aptos" w:eastAsia="Times New Roman" w:hAnsi="Aptos" w:cs="Arial"/>
                <w:kern w:val="0"/>
                <w:sz w:val="22"/>
                <w:lang w:bidi="es-419"/>
                <w14:ligatures w14:val="none"/>
              </w:rPr>
              <w:t> </w:t>
            </w:r>
          </w:p>
        </w:tc>
      </w:tr>
    </w:tbl>
    <w:p w14:paraId="2454786A" w14:textId="77777777" w:rsidR="00186F6A" w:rsidRPr="001A2D42" w:rsidRDefault="00186F6A" w:rsidP="003B32F9">
      <w:pPr>
        <w:spacing w:after="0" w:line="240" w:lineRule="auto"/>
        <w:rPr>
          <w:rFonts w:eastAsiaTheme="majorEastAsia" w:cstheme="majorBidi"/>
          <w:color w:val="0F4761" w:themeColor="accent1" w:themeShade="BF"/>
          <w:sz w:val="28"/>
          <w:szCs w:val="28"/>
        </w:rPr>
        <w:sectPr w:rsidR="00186F6A" w:rsidRPr="001A2D42" w:rsidSect="00C20449">
          <w:footnotePr>
            <w:numFmt w:val="lowerLetter"/>
          </w:footnotePr>
          <w:pgSz w:w="15840" w:h="12240" w:orient="landscape"/>
          <w:pgMar w:top="1440" w:right="1440" w:bottom="1440" w:left="1440" w:header="86" w:footer="720" w:gutter="0"/>
          <w:cols w:num="2" w:space="144" w:equalWidth="0">
            <w:col w:w="6912" w:space="144"/>
            <w:col w:w="5904"/>
          </w:cols>
          <w:docGrid w:linePitch="360"/>
        </w:sectPr>
      </w:pPr>
    </w:p>
    <w:p w14:paraId="579C4A15" w14:textId="77777777" w:rsidR="00ED698D" w:rsidRPr="001A2D42" w:rsidRDefault="00ED698D" w:rsidP="003B32F9">
      <w:pPr>
        <w:pStyle w:val="Heading1"/>
        <w:spacing w:line="240" w:lineRule="auto"/>
      </w:pPr>
      <w:bookmarkStart w:id="21" w:name="_Appendix_A:_How"/>
      <w:bookmarkStart w:id="22" w:name="_Toc241770414"/>
      <w:bookmarkEnd w:id="21"/>
      <w:r w:rsidRPr="001A2D42">
        <w:rPr>
          <w:lang w:bidi="es-419"/>
        </w:rPr>
        <w:lastRenderedPageBreak/>
        <w:t>Apéndices</w:t>
      </w:r>
      <w:bookmarkEnd w:id="22"/>
    </w:p>
    <w:p w14:paraId="21D2DDB9" w14:textId="77777777" w:rsidR="00ED698D" w:rsidRPr="001A2D42" w:rsidRDefault="00ED698D" w:rsidP="003B32F9">
      <w:pPr>
        <w:pStyle w:val="Heading2"/>
        <w:spacing w:line="240" w:lineRule="auto"/>
      </w:pPr>
      <w:bookmarkStart w:id="23" w:name="_Toc241770415"/>
      <w:r w:rsidRPr="001A2D42">
        <w:rPr>
          <w:lang w:bidi="es-419"/>
        </w:rPr>
        <w:t>Apéndice A: antecedentes</w:t>
      </w:r>
      <w:bookmarkEnd w:id="23"/>
    </w:p>
    <w:p w14:paraId="3190D0BC" w14:textId="77777777" w:rsidR="00ED698D" w:rsidRPr="001A2D42" w:rsidRDefault="00ED698D" w:rsidP="003B32F9">
      <w:pPr>
        <w:pStyle w:val="Heading3"/>
        <w:spacing w:line="240" w:lineRule="auto"/>
      </w:pPr>
      <w:r w:rsidRPr="001A2D42">
        <w:rPr>
          <w:lang w:bidi="es-419"/>
        </w:rPr>
        <w:t>Acerca del Programa de Incentivos de Calidad de las CCO</w:t>
      </w:r>
    </w:p>
    <w:p w14:paraId="1BA47D90" w14:textId="42A44ABE" w:rsidR="00ED698D" w:rsidRPr="001A2D42" w:rsidRDefault="00ED698D" w:rsidP="003B32F9">
      <w:pPr>
        <w:spacing w:line="240" w:lineRule="auto"/>
      </w:pPr>
      <w:r w:rsidRPr="001A2D42">
        <w:rPr>
          <w:lang w:bidi="es-419"/>
        </w:rPr>
        <w:t xml:space="preserve">El Programa de Incentivos de Calidad de las CCO recompensa la atención excepcional y la mejora continua de la calidad por parte de las CCO, que atienden a más de un millón de habitantes de Oregon en el Plan de Salud de Oregon (Medicaid). El programa es una parte importante del modelo de atención coordinada. Una </w:t>
      </w:r>
      <w:hyperlink r:id="rId69">
        <w:r w:rsidRPr="001A2D42">
          <w:rPr>
            <w:rStyle w:val="Hyperlink"/>
            <w:szCs w:val="24"/>
            <w:lang w:bidi="es-419"/>
          </w:rPr>
          <w:t>evaluación independiente</w:t>
        </w:r>
      </w:hyperlink>
      <w:r w:rsidRPr="001A2D42">
        <w:rPr>
          <w:lang w:bidi="es-419"/>
        </w:rPr>
        <w:t xml:space="preserve"> mostró que el programa impulsó con éxito mejoras generales respecto a los datos de 2012 a 2017.</w:t>
      </w:r>
    </w:p>
    <w:p w14:paraId="1071B8CF" w14:textId="77777777" w:rsidR="00ED698D" w:rsidRPr="001A2D42" w:rsidRDefault="00ED698D" w:rsidP="003B32F9">
      <w:pPr>
        <w:pStyle w:val="Heading3"/>
        <w:spacing w:line="240" w:lineRule="auto"/>
      </w:pPr>
      <w:r w:rsidRPr="001A2D42">
        <w:rPr>
          <w:lang w:bidi="es-419"/>
        </w:rPr>
        <w:t>Medicaid</w:t>
      </w:r>
    </w:p>
    <w:p w14:paraId="75CB9937" w14:textId="6B2CB1EA" w:rsidR="00ED698D" w:rsidRPr="001A2D42" w:rsidRDefault="00ED698D" w:rsidP="003B32F9">
      <w:pPr>
        <w:spacing w:line="240" w:lineRule="auto"/>
      </w:pPr>
      <w:r w:rsidRPr="001A2D42">
        <w:rPr>
          <w:lang w:bidi="es-419"/>
        </w:rPr>
        <w:t xml:space="preserve">Medicaid es un programa federal que proporciona cobertura médica para personas que tienen ingresos inferiores según el 138% del nivel federal de pobreza y para personas con discapacidades. Cada estado administra Medicaid y debe seguir los requisitos federales. Algunos estados obtienen exenciones del gobierno federal para seguir ciertos requisitos federales. Estas exenciones otorgan a los estados flexibilidad en la forma en que utilizan los fondos federales de Medicaid en ellos, con el objetivo de mejorar los resultados de atención médica. </w:t>
      </w:r>
    </w:p>
    <w:p w14:paraId="1EC1BFC7" w14:textId="339E8F09" w:rsidR="00ED698D" w:rsidRPr="001A2D42" w:rsidRDefault="00ED698D" w:rsidP="003B32F9">
      <w:pPr>
        <w:spacing w:line="240" w:lineRule="auto"/>
      </w:pPr>
      <w:r w:rsidRPr="001A2D42">
        <w:rPr>
          <w:lang w:bidi="es-419"/>
        </w:rPr>
        <w:t xml:space="preserve">Oregon ha tenido un tipo de exención, conocida como exención de demostración 1115, desde 1994. La exención permite a Oregon ofrecer servicios de Medicaid de maneras únicas, como a través del modelo de atención coordinada. Algunos de los elementos clave del modelo de atención coordinada de Oregon incluyen el uso de mejores prácticas para gestionar y coordinar la atención; transparencia en el precio y la calidad; y pagar por una atención de mejor calidad y mejores resultados de salud, más que simplemente ofrecer más servicios. </w:t>
      </w:r>
    </w:p>
    <w:p w14:paraId="09E7053F" w14:textId="71023CAD" w:rsidR="00ED698D" w:rsidRPr="001A2D42" w:rsidRDefault="00ED698D" w:rsidP="003B32F9">
      <w:pPr>
        <w:spacing w:line="240" w:lineRule="auto"/>
      </w:pPr>
      <w:r w:rsidRPr="001A2D42">
        <w:rPr>
          <w:lang w:bidi="es-419"/>
        </w:rPr>
        <w:t xml:space="preserve">En octubre de 2022, Oregon comenzó un </w:t>
      </w:r>
      <w:hyperlink r:id="rId70" w:history="1">
        <w:r w:rsidRPr="001A2D42">
          <w:rPr>
            <w:rStyle w:val="Hyperlink"/>
            <w:szCs w:val="24"/>
            <w:lang w:bidi="es-419"/>
          </w:rPr>
          <w:t>nuevo periodo de demostración</w:t>
        </w:r>
      </w:hyperlink>
      <w:r w:rsidRPr="001A2D42">
        <w:rPr>
          <w:lang w:bidi="es-419"/>
        </w:rPr>
        <w:t xml:space="preserve"> que estará vigente hasta septiembre de 2027. La intención de la nueva exención es promover el objetivo de la OHA de eliminar las desigualdades en salud para 2030. </w:t>
      </w:r>
    </w:p>
    <w:p w14:paraId="7EC0EE17" w14:textId="77777777" w:rsidR="00ED698D" w:rsidRPr="001A2D42" w:rsidRDefault="00ED698D" w:rsidP="003B32F9">
      <w:pPr>
        <w:pStyle w:val="Heading3"/>
        <w:spacing w:line="240" w:lineRule="auto"/>
      </w:pPr>
      <w:r w:rsidRPr="001A2D42">
        <w:rPr>
          <w:lang w:bidi="es-419"/>
        </w:rPr>
        <w:t>Atención coordinada</w:t>
      </w:r>
    </w:p>
    <w:p w14:paraId="4A7AEF00" w14:textId="77777777" w:rsidR="00ED698D" w:rsidRPr="001A2D42" w:rsidRDefault="00ED698D" w:rsidP="003B32F9">
      <w:pPr>
        <w:spacing w:line="240" w:lineRule="auto"/>
      </w:pPr>
      <w:r w:rsidRPr="001A2D42">
        <w:rPr>
          <w:lang w:bidi="es-419"/>
        </w:rPr>
        <w:t xml:space="preserve">Una Organización de Atención Coordinada (CCO) es una red de proveedores de atención médica (proveedores de atención médica física, conductual y bucal). Cada CCO acepta trabajar junto con sus comunidades locales para atender a las personas que reciben cobertura de atención médica bajo el Plan de Salud de Oregon (Medicaid). Las CCO se formaron en Oregon a finales de 2012. </w:t>
      </w:r>
    </w:p>
    <w:p w14:paraId="692FBC92" w14:textId="77777777" w:rsidR="00ED698D" w:rsidRPr="001A2D42" w:rsidRDefault="00ED698D" w:rsidP="003B32F9">
      <w:pPr>
        <w:spacing w:line="240" w:lineRule="auto"/>
      </w:pPr>
      <w:r w:rsidRPr="001A2D42">
        <w:rPr>
          <w:lang w:bidi="es-419"/>
        </w:rPr>
        <w:t xml:space="preserve">Las CCO tienen la flexibilidad para apoyar nuevos modelos de atención que están centrados en el paciente y centrados en el equipo, así como para eliminar las desigualdades en la salud. Las CCO pueden coordinar mejor los servicios y centrarse en la prevención, el manejo de enfermedades crónicas y la atención centrada en las personas. </w:t>
      </w:r>
      <w:r w:rsidRPr="001A2D42">
        <w:rPr>
          <w:lang w:bidi="es-419"/>
        </w:rPr>
        <w:lastRenderedPageBreak/>
        <w:t xml:space="preserve">Tienen flexibilidad dentro de sus presupuestos para proporcionar servicios más allá de los beneficios médicos. </w:t>
      </w:r>
    </w:p>
    <w:p w14:paraId="67622A9E" w14:textId="77777777" w:rsidR="00ED698D" w:rsidRPr="001A2D42" w:rsidRDefault="00ED698D" w:rsidP="003B32F9">
      <w:pPr>
        <w:spacing w:line="240" w:lineRule="auto"/>
        <w:sectPr w:rsidR="00ED698D" w:rsidRPr="001A2D42" w:rsidSect="00ED698D">
          <w:headerReference w:type="default" r:id="rId71"/>
          <w:footnotePr>
            <w:numFmt w:val="lowerLetter"/>
          </w:footnotePr>
          <w:pgSz w:w="12240" w:h="15840"/>
          <w:pgMar w:top="1440" w:right="1440" w:bottom="1440" w:left="1440" w:header="86" w:footer="720" w:gutter="0"/>
          <w:cols w:space="720"/>
          <w:docGrid w:linePitch="360"/>
        </w:sectPr>
      </w:pPr>
      <w:r w:rsidRPr="001A2D42">
        <w:rPr>
          <w:lang w:bidi="es-419"/>
        </w:rPr>
        <w:t>Los requisitos para las CCO han evolucionado con el tiempo y una nueva fase, CCO 2.0, comenzó en 2020. Las áreas prioritarias de la CCO 2.0 incluyen el trabajo para mejorar el sistema de salud conductual, aumentar el valor y el pago por rendimiento, centrarse en los factores determinantes sociales de la salud y la equidad en salud, así como mantener un crecimiento de costos sostenible.</w:t>
      </w:r>
    </w:p>
    <w:p w14:paraId="3C09D9B9" w14:textId="77777777" w:rsidR="00ED698D" w:rsidRPr="001A2D42" w:rsidRDefault="00ED698D" w:rsidP="003B32F9">
      <w:pPr>
        <w:pStyle w:val="Heading2"/>
        <w:spacing w:line="240" w:lineRule="auto"/>
      </w:pPr>
      <w:bookmarkStart w:id="24" w:name="_Appendix_B:_How_1"/>
      <w:bookmarkStart w:id="25" w:name="_Toc241770416"/>
      <w:bookmarkEnd w:id="24"/>
      <w:r w:rsidRPr="001A2D42">
        <w:rPr>
          <w:lang w:bidi="es-419"/>
        </w:rPr>
        <w:lastRenderedPageBreak/>
        <w:t>Apéndice B: cómo se calculan los objetivos de mejora</w:t>
      </w:r>
      <w:bookmarkEnd w:id="25"/>
    </w:p>
    <w:p w14:paraId="60F25E61" w14:textId="387D87E6" w:rsidR="00ED698D" w:rsidRPr="001A2D42" w:rsidRDefault="00ED698D" w:rsidP="003B32F9">
      <w:pPr>
        <w:spacing w:line="240" w:lineRule="auto"/>
      </w:pPr>
      <w:r w:rsidRPr="001A2D42">
        <w:rPr>
          <w:lang w:bidi="es-419"/>
        </w:rPr>
        <w:t>Los objetivos de mejora se calculan para cada CCO basándose en el método del Sistema de Pago de Incentivos por Calidad del Departamento de Salud de Minnesota (llamado el</w:t>
      </w:r>
      <w:r w:rsidRPr="001A2D42">
        <w:rPr>
          <w:b/>
          <w:lang w:bidi="es-419"/>
        </w:rPr>
        <w:t xml:space="preserve"> método de incentivos de Minnesota</w:t>
      </w:r>
      <w:r w:rsidRPr="001A2D42">
        <w:rPr>
          <w:lang w:bidi="es-419"/>
        </w:rPr>
        <w:t xml:space="preserve"> o </w:t>
      </w:r>
      <w:r w:rsidRPr="001A2D42">
        <w:rPr>
          <w:b/>
          <w:lang w:bidi="es-419"/>
        </w:rPr>
        <w:t>método de incentivos de MN</w:t>
      </w:r>
      <w:r w:rsidRPr="001A2D42">
        <w:rPr>
          <w:lang w:bidi="es-419"/>
        </w:rPr>
        <w:t xml:space="preserve">). Una CCO cumple con su objetivo de mejora al reducir la diferencia entre su línea base (el rendimiento del año anterior) y el punto de referencia (el objetivo aspiracional). </w:t>
      </w:r>
    </w:p>
    <w:p w14:paraId="4D1B96B7" w14:textId="77777777" w:rsidR="00ED698D" w:rsidRPr="001A2D42" w:rsidRDefault="00ED698D" w:rsidP="003B32F9">
      <w:pPr>
        <w:spacing w:line="240" w:lineRule="auto"/>
      </w:pPr>
      <w:r w:rsidRPr="001A2D42">
        <w:rPr>
          <w:lang w:bidi="es-419"/>
        </w:rPr>
        <w:t xml:space="preserve">Una CCO debe mostrar al menos una reducción del 10% en la diferencia entre la línea base y el punto de referencia para cumplir con su objetivo de mejora. Para asegurar un progreso significativo hacia el punto de referencia, normalmente se aplica un valor mínimo al objetivo de mejora de cada CCO. </w:t>
      </w:r>
    </w:p>
    <w:p w14:paraId="3671BE67" w14:textId="25286A53" w:rsidR="00ED698D" w:rsidRPr="001A2D42" w:rsidRDefault="00ED698D" w:rsidP="003B32F9">
      <w:pPr>
        <w:spacing w:line="240" w:lineRule="auto"/>
      </w:pPr>
      <w:r w:rsidRPr="001A2D42">
        <w:rPr>
          <w:lang w:bidi="es-419"/>
        </w:rPr>
        <w:t>Supongamos que el rendimiento de la CCO A en 2024 (su línea base) en una medida fue del 60.0% y el punto de referencia es del 100.0%.</w:t>
      </w:r>
    </w:p>
    <w:p w14:paraId="44A239AD" w14:textId="77777777" w:rsidR="00ED698D" w:rsidRPr="001A2D42" w:rsidRDefault="00ED698D" w:rsidP="003B32F9">
      <w:pPr>
        <w:pStyle w:val="BodyTextindent"/>
        <w:spacing w:line="240" w:lineRule="auto"/>
        <w:ind w:left="0" w:right="0"/>
        <w:jc w:val="center"/>
        <w:rPr>
          <w:sz w:val="22"/>
        </w:rPr>
      </w:pPr>
      <w:r w:rsidRPr="001A2D42">
        <w:rPr>
          <w:noProof/>
          <w:lang w:bidi="es-419"/>
        </w:rPr>
        <w:drawing>
          <wp:inline distT="0" distB="0" distL="0" distR="0" wp14:anchorId="5E133E6C" wp14:editId="32B40A10">
            <wp:extent cx="4724400" cy="866140"/>
            <wp:effectExtent l="0" t="0" r="0" b="0"/>
            <wp:docPr id="288" name="Chart 288" descr="Hollow dot representing CCO A's performance in 2024 at 60% and a line at 100% representing a benchmarking.">
              <a:extLst xmlns:a="http://schemas.openxmlformats.org/drawingml/2006/main">
                <a:ext uri="{FF2B5EF4-FFF2-40B4-BE49-F238E27FC236}">
                  <a16:creationId xmlns:a16="http://schemas.microsoft.com/office/drawing/2014/main" id="{C9B80D71-5C69-4C79-BD5A-51551C429A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E8B8DE6" w14:textId="77777777" w:rsidR="00ED698D" w:rsidRPr="001A2D42" w:rsidRDefault="00ED698D" w:rsidP="003B32F9">
      <w:pPr>
        <w:spacing w:line="240" w:lineRule="auto"/>
      </w:pPr>
      <w:r w:rsidRPr="001A2D42">
        <w:rPr>
          <w:lang w:bidi="es-419"/>
        </w:rPr>
        <w:t>La diferencia entre la línea base y el punto de referencia es 100% - 60% = 40%.</w:t>
      </w:r>
    </w:p>
    <w:p w14:paraId="6ACF612E" w14:textId="481C9BA9" w:rsidR="00ED698D" w:rsidRPr="001A2D42" w:rsidRDefault="00ED698D" w:rsidP="003B32F9">
      <w:pPr>
        <w:spacing w:line="240" w:lineRule="auto"/>
      </w:pPr>
      <w:r w:rsidRPr="001A2D42">
        <w:rPr>
          <w:lang w:bidi="es-419"/>
        </w:rPr>
        <w:t xml:space="preserve">El 10% de 40% = 4%. Por lo tanto, la CCO A debe mejorar en 4 puntos porcentuales en 2025. Su objetivo de mejora es [línea base + 4%] = 60% + 4% = 64%. </w:t>
      </w:r>
    </w:p>
    <w:p w14:paraId="30D01D7E" w14:textId="18330F46" w:rsidR="00ED698D" w:rsidRPr="001A2D42" w:rsidRDefault="00FE2382" w:rsidP="003B32F9">
      <w:pPr>
        <w:spacing w:line="240" w:lineRule="auto"/>
      </w:pPr>
      <w:r>
        <w:rPr>
          <w:noProof/>
          <w:lang w:bidi="es-419"/>
        </w:rPr>
        <mc:AlternateContent>
          <mc:Choice Requires="wps">
            <w:drawing>
              <wp:anchor distT="45720" distB="45720" distL="114300" distR="114300" simplePos="0" relativeHeight="251665411" behindDoc="0" locked="0" layoutInCell="1" allowOverlap="1" wp14:anchorId="79DDA600" wp14:editId="1C1D2DCC">
                <wp:simplePos x="0" y="0"/>
                <wp:positionH relativeFrom="column">
                  <wp:posOffset>4505325</wp:posOffset>
                </wp:positionH>
                <wp:positionV relativeFrom="paragraph">
                  <wp:posOffset>478790</wp:posOffset>
                </wp:positionV>
                <wp:extent cx="828675" cy="619125"/>
                <wp:effectExtent l="0" t="0" r="9525" b="9525"/>
                <wp:wrapNone/>
                <wp:docPr id="168005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619125"/>
                        </a:xfrm>
                        <a:prstGeom prst="rect">
                          <a:avLst/>
                        </a:prstGeom>
                        <a:solidFill>
                          <a:srgbClr val="FFFFFF"/>
                        </a:solidFill>
                        <a:ln w="9525">
                          <a:noFill/>
                          <a:miter lim="800000"/>
                          <a:headEnd/>
                          <a:tailEnd/>
                        </a:ln>
                      </wps:spPr>
                      <wps:txbx>
                        <w:txbxContent>
                          <w:p w14:paraId="32D1082A" w14:textId="08213A08" w:rsidR="00FE2382" w:rsidRPr="00FE2382" w:rsidRDefault="00FE2382" w:rsidP="00FE2382">
                            <w:pPr>
                              <w:contextualSpacing/>
                              <w:jc w:val="center"/>
                              <w:rPr>
                                <w:sz w:val="20"/>
                                <w:szCs w:val="18"/>
                              </w:rPr>
                            </w:pPr>
                            <w:r w:rsidRPr="00FE2382">
                              <w:rPr>
                                <w:sz w:val="20"/>
                                <w:szCs w:val="18"/>
                              </w:rPr>
                              <w:t>Punto de referencia:</w:t>
                            </w:r>
                          </w:p>
                          <w:p w14:paraId="2DD02950" w14:textId="44FFB376" w:rsidR="00FE2382" w:rsidRPr="00FE2382" w:rsidRDefault="00FE2382" w:rsidP="00FE2382">
                            <w:pPr>
                              <w:contextualSpacing/>
                              <w:jc w:val="center"/>
                              <w:rPr>
                                <w:sz w:val="20"/>
                                <w:szCs w:val="18"/>
                              </w:rPr>
                            </w:pPr>
                            <w:r w:rsidRPr="00FE2382">
                              <w:rPr>
                                <w:sz w:val="20"/>
                                <w:szCs w:val="18"/>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DA600" id="_x0000_s1048" type="#_x0000_t202" style="position:absolute;margin-left:354.75pt;margin-top:37.7pt;width:65.25pt;height:48.75pt;z-index:2516654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" stroked="f">
                <v:textbox>
                  <w:txbxContent>
                    <w:p w14:paraId="32D1082A" w14:textId="08213A08" w:rsidR="00FE2382" w:rsidRPr="00FE2382" w:rsidRDefault="00FE2382" w:rsidP="00FE2382">
                      <w:pPr>
                        <w:contextualSpacing/>
                        <w:jc w:val="center"/>
                        <w:rPr>
                          <w:sz w:val="20"/>
                          <w:szCs w:val="18"/>
                        </w:rPr>
                      </w:pPr>
                      <w:r w:rsidRPr="00FE2382">
                        <w:rPr>
                          <w:sz w:val="20"/>
                          <w:szCs w:val="18"/>
                        </w:rPr>
                        <w:t>Punto de referencia</w:t>
                      </w:r>
                      <w:r w:rsidRPr="00FE2382">
                        <w:rPr>
                          <w:sz w:val="20"/>
                          <w:szCs w:val="18"/>
                        </w:rPr>
                        <w:t>:</w:t>
                      </w:r>
                    </w:p>
                    <w:p w14:paraId="2DD02950" w14:textId="44FFB376" w:rsidR="00FE2382" w:rsidRPr="00FE2382" w:rsidRDefault="00FE2382" w:rsidP="00FE2382">
                      <w:pPr>
                        <w:contextualSpacing/>
                        <w:jc w:val="center"/>
                        <w:rPr>
                          <w:sz w:val="20"/>
                          <w:szCs w:val="18"/>
                        </w:rPr>
                      </w:pPr>
                      <w:r w:rsidRPr="00FE2382">
                        <w:rPr>
                          <w:sz w:val="20"/>
                          <w:szCs w:val="18"/>
                        </w:rPr>
                        <w:t>100%</w:t>
                      </w:r>
                    </w:p>
                  </w:txbxContent>
                </v:textbox>
              </v:shape>
            </w:pict>
          </mc:Fallback>
        </mc:AlternateContent>
      </w:r>
      <w:r w:rsidR="00ED698D" w:rsidRPr="001A2D42">
        <w:rPr>
          <w:lang w:bidi="es-419"/>
        </w:rPr>
        <w:t xml:space="preserve">Supongamos que el rendimiento de la CCO A en 2025 es del 65%. </w:t>
      </w:r>
      <w:r w:rsidR="00ED698D" w:rsidRPr="001A2D42">
        <w:rPr>
          <w:b/>
          <w:lang w:bidi="es-419"/>
        </w:rPr>
        <w:t>Alcanzaron su objetivo de mejora y cumplieron con la medida</w:t>
      </w:r>
      <w:r w:rsidR="00ED698D" w:rsidRPr="001A2D42">
        <w:rPr>
          <w:lang w:bidi="es-419"/>
        </w:rPr>
        <w:t>.</w:t>
      </w:r>
      <w:r w:rsidR="00ED698D" w:rsidRPr="001A2D42">
        <w:rPr>
          <w:noProof/>
          <w:shd w:val="clear" w:color="auto" w:fill="E6E6E6"/>
          <w:lang w:bidi="es-419"/>
        </w:rPr>
        <w:t xml:space="preserve"> </w:t>
      </w:r>
      <w:r w:rsidR="00ED698D" w:rsidRPr="001A2D42">
        <w:rPr>
          <w:noProof/>
          <w:lang w:bidi="es-419"/>
        </w:rPr>
        <w:drawing>
          <wp:inline distT="0" distB="0" distL="0" distR="0" wp14:anchorId="1B4BD59D" wp14:editId="3220E291">
            <wp:extent cx="5943600" cy="855357"/>
            <wp:effectExtent l="0" t="0" r="0" b="1905"/>
            <wp:docPr id="2125827185" name="Chart 1" descr="Hollow dot representing CCO A's performance in 2024 at 60% and a dark blue dot at 65% for their 2025 performance. A line at 100% represents the benchmarking and a dashed line at 64% represents CCO's improvement target.">
              <a:extLst xmlns:a="http://schemas.openxmlformats.org/drawingml/2006/main">
                <a:ext uri="{FF2B5EF4-FFF2-40B4-BE49-F238E27FC236}">
                  <a16:creationId xmlns:a16="http://schemas.microsoft.com/office/drawing/2014/main" id="{6899C589-339F-43A0-92D6-B9BFE219CD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B08474F" w14:textId="77777777" w:rsidR="00ED698D" w:rsidRPr="001A2D42" w:rsidRDefault="00ED698D" w:rsidP="003B32F9">
      <w:pPr>
        <w:pStyle w:val="BodyTextindent"/>
        <w:spacing w:line="240" w:lineRule="auto"/>
        <w:ind w:left="0" w:right="0"/>
        <w:jc w:val="center"/>
        <w:rPr>
          <w:color w:val="auto"/>
          <w:sz w:val="22"/>
        </w:rPr>
      </w:pPr>
      <w:r w:rsidRPr="001A2D42">
        <w:rPr>
          <w:rFonts w:asciiTheme="minorHAnsi" w:hAnsiTheme="minorHAnsi" w:cstheme="minorHAnsi"/>
          <w:noProof/>
          <w:color w:val="2B579A"/>
          <w:sz w:val="22"/>
          <w:shd w:val="clear" w:color="auto" w:fill="E6E6E6"/>
          <w:lang w:bidi="es-419"/>
        </w:rPr>
        <mc:AlternateContent>
          <mc:Choice Requires="wps">
            <w:drawing>
              <wp:inline distT="0" distB="0" distL="0" distR="0" wp14:anchorId="3242ADA1" wp14:editId="3565CF55">
                <wp:extent cx="6372225" cy="1162050"/>
                <wp:effectExtent l="0" t="0" r="9525" b="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1162050"/>
                        </a:xfrm>
                        <a:prstGeom prst="rect">
                          <a:avLst/>
                        </a:prstGeom>
                        <a:solidFill>
                          <a:schemeClr val="bg1">
                            <a:lumMod val="95000"/>
                          </a:schemeClr>
                        </a:solidFill>
                        <a:ln w="9525">
                          <a:noFill/>
                          <a:miter lim="800000"/>
                          <a:headEnd/>
                          <a:tailEnd/>
                        </a:ln>
                      </wps:spPr>
                      <wps:txbx>
                        <w:txbxContent>
                          <w:p w14:paraId="7561F249" w14:textId="7F2C048B" w:rsidR="00ED698D" w:rsidRPr="00944E5B" w:rsidRDefault="00ED698D" w:rsidP="00944E5B">
                            <w:pPr>
                              <w:rPr>
                                <w:szCs w:val="24"/>
                              </w:rPr>
                            </w:pPr>
                            <w:r w:rsidRPr="00944E5B">
                              <w:rPr>
                                <w:szCs w:val="24"/>
                                <w:lang w:bidi="es-419"/>
                              </w:rPr>
                              <w:t xml:space="preserve">Expresado como una fórmula: </w:t>
                            </w:r>
                            <w:r w:rsidRPr="00944E5B">
                              <w:rPr>
                                <w:szCs w:val="24"/>
                                <w:lang w:bidi="es-419"/>
                              </w:rPr>
                              <w:br/>
                            </w:r>
                            <m:oMathPara>
                              <m:oMath>
                                <m:f>
                                  <m:fPr>
                                    <m:ctrlPr>
                                      <w:rPr>
                                        <w:rFonts w:ascii="Cambria Math" w:hAnsi="Cambria Math"/>
                                        <w:szCs w:val="24"/>
                                      </w:rPr>
                                    </m:ctrlPr>
                                  </m:fPr>
                                  <m:num>
                                    <m:r>
                                      <m:rPr>
                                        <m:sty m:val="p"/>
                                      </m:rPr>
                                      <w:rPr>
                                        <w:rFonts w:ascii="Cambria Math" w:hAnsi="Cambria Math"/>
                                        <w:szCs w:val="24"/>
                                      </w:rPr>
                                      <m:t xml:space="preserve">[Punto de referencia] </m:t>
                                    </m:r>
                                    <m:r>
                                      <m:rPr>
                                        <m:nor/>
                                      </m:rPr>
                                      <w:rPr>
                                        <w:rFonts w:ascii="Aptos" w:hAnsi="Aptos"/>
                                        <w:szCs w:val="24"/>
                                      </w:rPr>
                                      <m:t>- [Línea base de la CCO]</m:t>
                                    </m:r>
                                  </m:num>
                                  <m:den>
                                    <m:r>
                                      <m:rPr>
                                        <m:nor/>
                                      </m:rPr>
                                      <w:rPr>
                                        <w:rFonts w:ascii="Aptos" w:hAnsi="Aptos"/>
                                        <w:szCs w:val="24"/>
                                      </w:rPr>
                                      <m:t>10</m:t>
                                    </m:r>
                                  </m:den>
                                </m:f>
                                <m:r>
                                  <m:rPr>
                                    <m:nor/>
                                  </m:rPr>
                                  <w:rPr>
                                    <w:rFonts w:ascii="Aptos" w:hAnsi="Aptos"/>
                                    <w:szCs w:val="24"/>
                                  </w:rPr>
                                  <m:t xml:space="preserve"> = X</m:t>
                                </m:r>
                              </m:oMath>
                            </m:oMathPara>
                          </w:p>
                          <w:p w14:paraId="4998C4B1" w14:textId="56C9E76F" w:rsidR="00ED698D" w:rsidRPr="00944E5B" w:rsidRDefault="00ED698D" w:rsidP="00944E5B">
                            <w:pPr>
                              <w:rPr>
                                <w:szCs w:val="24"/>
                              </w:rPr>
                            </w:pPr>
                            <w:r w:rsidRPr="00944E5B">
                              <w:rPr>
                                <w:szCs w:val="24"/>
                              </w:rPr>
                              <w:br/>
                            </w:r>
                            <m:oMathPara>
                              <m:oMath>
                                <m:r>
                                  <m:rPr>
                                    <m:nor/>
                                  </m:rPr>
                                  <w:rPr>
                                    <w:szCs w:val="24"/>
                                  </w:rPr>
                                  <m:t xml:space="preserve"> [Línea base de la CCO] + </m:t>
                                </m:r>
                                <m:d>
                                  <m:dPr>
                                    <m:begChr m:val="["/>
                                    <m:endChr m:val="]"/>
                                    <m:ctrlPr>
                                      <w:rPr>
                                        <w:rFonts w:ascii="Cambria Math" w:hAnsi="Cambria Math"/>
                                        <w:szCs w:val="24"/>
                                      </w:rPr>
                                    </m:ctrlPr>
                                  </m:dPr>
                                  <m:e>
                                    <m:r>
                                      <m:rPr>
                                        <m:nor/>
                                      </m:rPr>
                                      <w:rPr>
                                        <w:szCs w:val="24"/>
                                      </w:rPr>
                                      <m:t>X</m:t>
                                    </m:r>
                                  </m:e>
                                </m:d>
                                <m:r>
                                  <m:rPr>
                                    <m:nor/>
                                  </m:rPr>
                                  <w:rPr>
                                    <w:szCs w:val="24"/>
                                  </w:rPr>
                                  <m:t xml:space="preserve"> = Objetivo de mejora</m:t>
                                </m:r>
                              </m:oMath>
                            </m:oMathPara>
                          </w:p>
                          <w:p w14:paraId="04BEA2FB" w14:textId="77777777" w:rsidR="00ED698D" w:rsidRPr="00944E5B" w:rsidRDefault="00ED698D" w:rsidP="00944E5B">
                            <w:pPr>
                              <w:rPr>
                                <w:szCs w:val="24"/>
                              </w:rPr>
                            </w:pPr>
                          </w:p>
                        </w:txbxContent>
                      </wps:txbx>
                      <wps:bodyPr rot="0" vert="horz" wrap="square" lIns="91440" tIns="45720" rIns="91440" bIns="45720" anchor="t" anchorCtr="0">
                        <a:noAutofit/>
                      </wps:bodyPr>
                    </wps:wsp>
                  </a:graphicData>
                </a:graphic>
              </wp:inline>
            </w:drawing>
          </mc:Choice>
          <mc:Fallback>
            <w:pict>
              <v:shape w14:anchorId="3242ADA1" id="Text Box 21" o:spid="_x0000_s1049" type="#_x0000_t202" style="width:501.75pt;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" fillcolor="#f2f2f2 [3052]" stroked="f">
                <v:textbox>
                  <w:txbxContent>
                    <w:p w14:paraId="7561F249" w14:textId="7F2C048B" w:rsidR="00ED698D" w:rsidRPr="00944E5B" w:rsidRDefault="00ED698D" w:rsidP="00944E5B">
                      <w:pPr>
                        <w:rPr>
                          <w:szCs w:val="24"/>
                        </w:rPr>
                      </w:pPr>
                      <w:r w:rsidRPr="00944E5B">
                        <w:rPr>
                          <w:szCs w:val="24"/>
                          <w:lang w:bidi="es-419"/>
                        </w:rPr>
                        <w:t xml:space="preserve">Expresado como una fórmula: </w:t>
                      </w:r>
                      <w:r w:rsidRPr="00944E5B">
                        <w:rPr>
                          <w:szCs w:val="24"/>
                          <w:lang w:bidi="es-419"/>
                        </w:rPr>
                        <w:br/>
                      </w:r>
                      <m:oMathPara>
                        <m:oMath>
                          <m:f>
                            <m:fPr>
                              <m:ctrlPr>
                                <w:rPr>
                                  <w:rFonts w:ascii="Cambria Math" w:hAnsi="Cambria Math"/>
                                  <w:szCs w:val="24"/>
                                </w:rPr>
                              </m:ctrlPr>
                            </m:fPr>
                            <m:num>
                              <m:r>
                                <m:rPr>
                                  <m:sty m:val="p"/>
                                </m:rPr>
                                <w:rPr>
                                  <w:rFonts w:ascii="Cambria Math" w:hAnsi="Cambria Math"/>
                                  <w:szCs w:val="24"/>
                                </w:rPr>
                                <m:t xml:space="preserve">[Punto de referencia] </m:t>
                              </m:r>
                              <m:r>
                                <m:rPr>
                                  <m:nor/>
                                </m:rPr>
                                <w:rPr>
                                  <w:rFonts w:ascii="Aptos" w:hAnsi="Aptos"/>
                                  <w:szCs w:val="24"/>
                                </w:rPr>
                                <m:t>- [</m:t>
                              </m:r>
                              <m:r>
                                <m:rPr>
                                  <m:nor/>
                                </m:rPr>
                                <w:rPr>
                                  <w:rFonts w:ascii="Aptos" w:hAnsi="Aptos"/>
                                  <w:szCs w:val="24"/>
                                </w:rPr>
                                <m:t>Línea base de la CCO</m:t>
                              </m:r>
                              <m:r>
                                <m:rPr>
                                  <m:nor/>
                                </m:rPr>
                                <w:rPr>
                                  <w:rFonts w:ascii="Aptos" w:hAnsi="Aptos"/>
                                  <w:szCs w:val="24"/>
                                </w:rPr>
                                <m:t>]</m:t>
                              </m:r>
                            </m:num>
                            <m:den>
                              <m:r>
                                <m:rPr>
                                  <m:nor/>
                                </m:rPr>
                                <w:rPr>
                                  <w:rFonts w:ascii="Aptos" w:hAnsi="Aptos"/>
                                  <w:szCs w:val="24"/>
                                </w:rPr>
                                <m:t>10</m:t>
                              </m:r>
                            </m:den>
                          </m:f>
                          <m:r>
                            <m:rPr>
                              <m:nor/>
                            </m:rPr>
                            <w:rPr>
                              <w:rFonts w:ascii="Aptos" w:hAnsi="Aptos"/>
                              <w:szCs w:val="24"/>
                            </w:rPr>
                            <m:t xml:space="preserve"> = X</m:t>
                          </m:r>
                        </m:oMath>
                      </m:oMathPara>
                    </w:p>
                    <w:p w14:paraId="4998C4B1" w14:textId="56C9E76F" w:rsidR="00ED698D" w:rsidRPr="00944E5B" w:rsidRDefault="00ED698D" w:rsidP="00944E5B">
                      <w:pPr>
                        <w:rPr>
                          <w:szCs w:val="24"/>
                        </w:rPr>
                      </w:pPr>
                      <w:r w:rsidRPr="00944E5B">
                        <w:rPr>
                          <w:szCs w:val="24"/>
                        </w:rPr>
                        <w:br/>
                      </w:r>
                      <m:oMathPara>
                        <m:oMath>
                          <m:r>
                            <m:rPr>
                              <m:nor/>
                            </m:rPr>
                            <w:rPr>
                              <w:szCs w:val="24"/>
                            </w:rPr>
                            <m:t xml:space="preserve"> [Línea base de la CCO]</m:t>
                          </m:r>
                          <m:r>
                            <m:rPr>
                              <m:nor/>
                            </m:rPr>
                            <w:rPr>
                              <w:szCs w:val="24"/>
                            </w:rPr>
                            <m:t xml:space="preserve"> + </m:t>
                          </m:r>
                          <m:d>
                            <m:dPr>
                              <m:begChr m:val="["/>
                              <m:endChr m:val="]"/>
                              <m:ctrlPr>
                                <w:rPr>
                                  <w:rFonts w:ascii="Cambria Math" w:hAnsi="Cambria Math"/>
                                  <w:szCs w:val="24"/>
                                </w:rPr>
                              </m:ctrlPr>
                            </m:dPr>
                            <m:e>
                              <m:r>
                                <m:rPr>
                                  <m:nor/>
                                </m:rPr>
                                <w:rPr>
                                  <w:szCs w:val="24"/>
                                </w:rPr>
                                <m:t>X</m:t>
                              </m:r>
                            </m:e>
                          </m:d>
                          <m:r>
                            <m:rPr>
                              <m:nor/>
                            </m:rPr>
                            <w:rPr>
                              <w:szCs w:val="24"/>
                            </w:rPr>
                            <m:t xml:space="preserve"> = </m:t>
                          </m:r>
                          <m:r>
                            <m:rPr>
                              <m:nor/>
                            </m:rPr>
                            <w:rPr>
                              <w:szCs w:val="24"/>
                            </w:rPr>
                            <m:t>Objetivo de mejora</m:t>
                          </m:r>
                        </m:oMath>
                      </m:oMathPara>
                    </w:p>
                    <w:p w14:paraId="04BEA2FB" w14:textId="77777777" w:rsidR="00ED698D" w:rsidRPr="00944E5B" w:rsidRDefault="00ED698D" w:rsidP="00944E5B">
                      <w:pPr>
                        <w:rPr>
                          <w:szCs w:val="24"/>
                        </w:rPr>
                      </w:pPr>
                    </w:p>
                  </w:txbxContent>
                </v:textbox>
                <w10:anchorlock/>
              </v:shape>
            </w:pict>
          </mc:Fallback>
        </mc:AlternateContent>
      </w:r>
    </w:p>
    <w:p w14:paraId="47A4880D" w14:textId="0419ADD0" w:rsidR="00ED698D" w:rsidRPr="001A2D42" w:rsidRDefault="00ED698D" w:rsidP="003B32F9">
      <w:pPr>
        <w:spacing w:line="240" w:lineRule="auto"/>
      </w:pPr>
      <w:r w:rsidRPr="001A2D42">
        <w:rPr>
          <w:lang w:bidi="es-419"/>
        </w:rPr>
        <w:t xml:space="preserve">En algunos casos, dependiendo de la diferencia entre la línea base de la CCO y el punto </w:t>
      </w:r>
      <w:r w:rsidR="00637340">
        <w:rPr>
          <w:lang w:bidi="es-419"/>
        </w:rPr>
        <w:br/>
      </w:r>
      <w:r w:rsidRPr="001A2D42">
        <w:rPr>
          <w:lang w:bidi="es-419"/>
        </w:rPr>
        <w:t>de referencia, el método de incentivos de Minnesota puede resultar en una mejora muy pequeña que podría no representar un cambio significativo. Por ejemplo, supongamos que el punto de referencia fuera del 75% y el rendimiento de la CCO B en 2024 fuera del 60%. En este caso, el objetivo de mejora de la CCO B utilizando la fórmula sería:</w:t>
      </w:r>
    </w:p>
    <w:p w14:paraId="0E043936" w14:textId="77777777" w:rsidR="00ED698D" w:rsidRPr="001A2D42" w:rsidRDefault="00A13CDB" w:rsidP="003B32F9">
      <w:pPr>
        <w:spacing w:line="240" w:lineRule="auto"/>
        <w:rPr>
          <w:rFonts w:eastAsiaTheme="minorEastAsia"/>
          <w:i/>
        </w:rPr>
      </w:pPr>
      <m:oMathPara>
        <m:oMath>
          <m:f>
            <m:fPr>
              <m:ctrlPr>
                <w:rPr>
                  <w:rFonts w:ascii="Cambria Math" w:hAnsi="Cambria Math"/>
                </w:rPr>
              </m:ctrlPr>
            </m:fPr>
            <m:num>
              <m:r>
                <m:rPr>
                  <m:nor/>
                </m:rPr>
                <m:t>75%</m:t>
              </m:r>
              <m:r>
                <m:rPr>
                  <m:nor/>
                </m:rPr>
                <w:rPr>
                  <w:rFonts w:ascii="Cambria Math"/>
                </w:rPr>
                <m:t xml:space="preserve"> </m:t>
              </m:r>
              <m:r>
                <m:rPr>
                  <m:nor/>
                </m:rPr>
                <m:t>-</m:t>
              </m:r>
              <m:r>
                <m:rPr>
                  <m:nor/>
                </m:rPr>
                <w:rPr>
                  <w:rFonts w:ascii="Cambria Math"/>
                </w:rPr>
                <m:t xml:space="preserve"> </m:t>
              </m:r>
              <m:r>
                <m:rPr>
                  <m:nor/>
                </m:rPr>
                <m:t>60%</m:t>
              </m:r>
            </m:num>
            <m:den>
              <m:r>
                <m:rPr>
                  <m:nor/>
                </m:rPr>
                <m:t>10</m:t>
              </m:r>
            </m:den>
          </m:f>
          <m:r>
            <m:rPr>
              <m:nor/>
            </m:rPr>
            <w:rPr>
              <w:rFonts w:ascii="Cambria Math" w:eastAsiaTheme="minorEastAsia"/>
            </w:rPr>
            <m:t xml:space="preserve"> </m:t>
          </m:r>
          <m:r>
            <m:rPr>
              <m:nor/>
            </m:rPr>
            <w:rPr>
              <w:rFonts w:eastAsiaTheme="minorEastAsia"/>
            </w:rPr>
            <m:t>=</m:t>
          </m:r>
          <m:r>
            <m:rPr>
              <m:nor/>
            </m:rPr>
            <w:rPr>
              <w:rFonts w:ascii="Cambria Math" w:eastAsiaTheme="minorEastAsia"/>
            </w:rPr>
            <m:t xml:space="preserve"> </m:t>
          </m:r>
          <m:r>
            <m:rPr>
              <m:nor/>
            </m:rPr>
            <w:rPr>
              <w:rFonts w:eastAsiaTheme="minorEastAsia"/>
            </w:rPr>
            <m:t>1.5%</m:t>
          </m:r>
        </m:oMath>
      </m:oMathPara>
    </w:p>
    <w:p w14:paraId="531381F7" w14:textId="77777777" w:rsidR="00ED698D" w:rsidRPr="001A2D42" w:rsidRDefault="00ED698D" w:rsidP="003B32F9">
      <w:pPr>
        <w:pStyle w:val="BodyTextindent"/>
        <w:spacing w:after="0" w:line="240" w:lineRule="auto"/>
        <w:ind w:left="0" w:right="0"/>
        <w:jc w:val="center"/>
        <w:rPr>
          <w:rFonts w:eastAsiaTheme="minorEastAsia"/>
          <w:color w:val="auto"/>
          <w:sz w:val="22"/>
          <w:szCs w:val="20"/>
        </w:rPr>
      </w:pPr>
    </w:p>
    <w:p w14:paraId="2E6DC729" w14:textId="77777777" w:rsidR="00ED698D" w:rsidRPr="001A2D42" w:rsidRDefault="00ED698D" w:rsidP="003B32F9">
      <w:pPr>
        <w:spacing w:line="240" w:lineRule="auto"/>
        <w:jc w:val="center"/>
      </w:pPr>
      <w:r w:rsidRPr="001A2D42">
        <w:rPr>
          <w:lang w:bidi="es-419"/>
        </w:rPr>
        <w:t>60% + 1.5% = 61.5%</w:t>
      </w:r>
    </w:p>
    <w:p w14:paraId="447E2EFC" w14:textId="07D4F4AF" w:rsidR="00ED698D" w:rsidRPr="001A2D42" w:rsidRDefault="00ED698D" w:rsidP="003B32F9">
      <w:pPr>
        <w:spacing w:line="240" w:lineRule="auto"/>
      </w:pPr>
      <w:r w:rsidRPr="001A2D42">
        <w:rPr>
          <w:lang w:bidi="es-419"/>
        </w:rPr>
        <w:t xml:space="preserve">Cuando el método de incentivos de Minnesota resulta en objetivos de mejora pequeños como este, el Comité de Indicadores y Puntuaciones generalmente ha establecido un “valor mínimo” o nivel mínimo de mejora requerido antes de que lo CCO cumpla con su objetivo de mejora. En este ejemplo, supongamos que el valor mínimo es de 3 puntos porcentuales. La fórmula del método de incentivos de Minnesota resulta en un aumento del 1.5%. En lugar del 61.5%, el objetivo de mejora de la CCO B con el valor mínimo del 3% aplicado sería: [línea base + valor mínimo] = 60% + 3% = 63%. </w:t>
      </w:r>
    </w:p>
    <w:p w14:paraId="37DD5124" w14:textId="77777777" w:rsidR="00ED698D" w:rsidRPr="001A2D42" w:rsidRDefault="00ED698D" w:rsidP="003B32F9">
      <w:pPr>
        <w:spacing w:line="240" w:lineRule="auto"/>
      </w:pPr>
    </w:p>
    <w:p w14:paraId="407E9284" w14:textId="77777777" w:rsidR="00ED698D" w:rsidRPr="001A2D42" w:rsidRDefault="00ED698D" w:rsidP="003B32F9">
      <w:pPr>
        <w:pStyle w:val="Heading2"/>
        <w:spacing w:line="240" w:lineRule="auto"/>
        <w:sectPr w:rsidR="00ED698D" w:rsidRPr="001A2D42" w:rsidSect="00ED698D">
          <w:footnotePr>
            <w:numFmt w:val="lowerLetter"/>
          </w:footnotePr>
          <w:pgSz w:w="12240" w:h="15840"/>
          <w:pgMar w:top="1440" w:right="1440" w:bottom="1440" w:left="1440" w:header="86" w:footer="720" w:gutter="0"/>
          <w:cols w:space="720"/>
          <w:docGrid w:linePitch="360"/>
        </w:sectPr>
      </w:pPr>
      <w:bookmarkStart w:id="26" w:name="_Appendix_B:_How"/>
      <w:bookmarkEnd w:id="26"/>
    </w:p>
    <w:p w14:paraId="52C7B3E2" w14:textId="77777777" w:rsidR="00ED698D" w:rsidRPr="001A2D42" w:rsidRDefault="00ED698D" w:rsidP="003B32F9">
      <w:pPr>
        <w:pStyle w:val="Heading2"/>
        <w:spacing w:line="240" w:lineRule="auto"/>
      </w:pPr>
      <w:bookmarkStart w:id="27" w:name="_Toc241770417"/>
      <w:r w:rsidRPr="001A2D42">
        <w:rPr>
          <w:lang w:bidi="es-419"/>
        </w:rPr>
        <w:lastRenderedPageBreak/>
        <w:t>Apéndice C: cómo describimos el cambio a lo largo del tiempo</w:t>
      </w:r>
      <w:bookmarkEnd w:id="27"/>
    </w:p>
    <w:p w14:paraId="4A6B8F4E" w14:textId="3E4A7A2D" w:rsidR="002D7E0F" w:rsidRPr="001A2D42" w:rsidRDefault="00ED698D" w:rsidP="003B32F9">
      <w:pPr>
        <w:spacing w:line="240" w:lineRule="auto"/>
      </w:pPr>
      <w:r w:rsidRPr="001A2D42">
        <w:rPr>
          <w:lang w:bidi="es-419"/>
        </w:rPr>
        <w:t xml:space="preserve">Para algunas gráficas, describimos el cambio en el rendimiento de las CCO a lo largo </w:t>
      </w:r>
      <w:r w:rsidR="00637340">
        <w:rPr>
          <w:lang w:bidi="es-419"/>
        </w:rPr>
        <w:br/>
      </w:r>
      <w:r w:rsidRPr="001A2D42">
        <w:rPr>
          <w:lang w:bidi="es-419"/>
        </w:rPr>
        <w:t xml:space="preserve">del tiempo. Las descripciones se basan en el </w:t>
      </w:r>
      <w:r w:rsidRPr="001A2D42">
        <w:rPr>
          <w:b/>
          <w:lang w:bidi="es-419"/>
        </w:rPr>
        <w:t>cambio porcentual</w:t>
      </w:r>
      <w:r w:rsidRPr="001A2D42">
        <w:rPr>
          <w:lang w:bidi="es-419"/>
        </w:rPr>
        <w:t xml:space="preserve">, o la tasa </w:t>
      </w:r>
      <w:r w:rsidRPr="001A2D42">
        <w:rPr>
          <w:b/>
          <w:lang w:bidi="es-419"/>
        </w:rPr>
        <w:t>relativa</w:t>
      </w:r>
      <w:r w:rsidRPr="001A2D42">
        <w:rPr>
          <w:lang w:bidi="es-419"/>
        </w:rPr>
        <w:t xml:space="preserve"> de cambio. Por ejemplo, un aumento del 100% significa que la tasa se duplicó de un año </w:t>
      </w:r>
      <w:r w:rsidR="00637340">
        <w:rPr>
          <w:lang w:bidi="es-419"/>
        </w:rPr>
        <w:br/>
      </w:r>
      <w:r w:rsidRPr="001A2D42">
        <w:rPr>
          <w:lang w:bidi="es-419"/>
        </w:rPr>
        <w:t xml:space="preserve">al siguiente. </w:t>
      </w:r>
    </w:p>
    <w:p w14:paraId="524CCE73" w14:textId="5BE06410" w:rsidR="00ED698D" w:rsidRPr="001A2D42" w:rsidRDefault="00ED698D" w:rsidP="003B32F9">
      <w:pPr>
        <w:spacing w:line="240" w:lineRule="auto"/>
        <w:rPr>
          <w:sz w:val="18"/>
          <w:szCs w:val="18"/>
        </w:rPr>
      </w:pPr>
      <w:r w:rsidRPr="001A2D42">
        <w:rPr>
          <w:lang w:bidi="es-419"/>
        </w:rPr>
        <w:t>Para mayor consistencia, utilizamos las siguientes descripciones para los rangos de cambio porcentual:</w:t>
      </w:r>
    </w:p>
    <w:p w14:paraId="6798FA73" w14:textId="6F509AB5" w:rsidR="00ED698D" w:rsidRPr="001A2D42" w:rsidRDefault="00ED698D" w:rsidP="003B32F9">
      <w:pPr>
        <w:pStyle w:val="ListParagraph"/>
        <w:numPr>
          <w:ilvl w:val="0"/>
          <w:numId w:val="1"/>
        </w:numPr>
        <w:spacing w:line="240" w:lineRule="auto"/>
        <w:contextualSpacing w:val="0"/>
        <w:rPr>
          <w:sz w:val="18"/>
          <w:szCs w:val="18"/>
        </w:rPr>
      </w:pPr>
      <w:r w:rsidRPr="001A2D42">
        <w:rPr>
          <w:lang w:bidi="es-419"/>
        </w:rPr>
        <w:t>Mejoró: 10% o más</w:t>
      </w:r>
    </w:p>
    <w:p w14:paraId="72CD0476" w14:textId="0EFA882D" w:rsidR="00ED698D" w:rsidRPr="001A2D42" w:rsidRDefault="00ED698D" w:rsidP="003B32F9">
      <w:pPr>
        <w:pStyle w:val="ListParagraph"/>
        <w:numPr>
          <w:ilvl w:val="0"/>
          <w:numId w:val="1"/>
        </w:numPr>
        <w:spacing w:line="240" w:lineRule="auto"/>
        <w:contextualSpacing w:val="0"/>
        <w:rPr>
          <w:sz w:val="18"/>
          <w:szCs w:val="18"/>
        </w:rPr>
      </w:pPr>
      <w:r w:rsidRPr="001A2D42">
        <w:rPr>
          <w:lang w:bidi="es-419"/>
        </w:rPr>
        <w:t>Mejoró ligeramente: 3.01% a 9.99%</w:t>
      </w:r>
    </w:p>
    <w:p w14:paraId="3E311848" w14:textId="1EE7A794" w:rsidR="00ED698D" w:rsidRPr="001A2D42" w:rsidRDefault="00ED698D" w:rsidP="003B32F9">
      <w:pPr>
        <w:pStyle w:val="ListParagraph"/>
        <w:numPr>
          <w:ilvl w:val="0"/>
          <w:numId w:val="1"/>
        </w:numPr>
        <w:spacing w:line="240" w:lineRule="auto"/>
        <w:contextualSpacing w:val="0"/>
        <w:rPr>
          <w:sz w:val="18"/>
          <w:szCs w:val="18"/>
        </w:rPr>
      </w:pPr>
      <w:r w:rsidRPr="001A2D42">
        <w:rPr>
          <w:lang w:bidi="es-419"/>
        </w:rPr>
        <w:t>Se mantuvo estable: -3% a 3%</w:t>
      </w:r>
    </w:p>
    <w:p w14:paraId="7C7D4DE8" w14:textId="2E38C98B" w:rsidR="00ED698D" w:rsidRPr="001A2D42" w:rsidRDefault="00ED698D" w:rsidP="003B32F9">
      <w:pPr>
        <w:pStyle w:val="ListParagraph"/>
        <w:numPr>
          <w:ilvl w:val="0"/>
          <w:numId w:val="1"/>
        </w:numPr>
        <w:spacing w:line="240" w:lineRule="auto"/>
        <w:contextualSpacing w:val="0"/>
        <w:rPr>
          <w:sz w:val="18"/>
          <w:szCs w:val="18"/>
        </w:rPr>
      </w:pPr>
      <w:r w:rsidRPr="001A2D42">
        <w:rPr>
          <w:lang w:bidi="es-419"/>
        </w:rPr>
        <w:t>Empeoró ligeramente: -3.01% a -9.99%</w:t>
      </w:r>
    </w:p>
    <w:p w14:paraId="6E22AF9F" w14:textId="3EEB76AB" w:rsidR="00ED698D" w:rsidRPr="001A2D42" w:rsidRDefault="00ED698D" w:rsidP="003B32F9">
      <w:pPr>
        <w:pStyle w:val="ListParagraph"/>
        <w:numPr>
          <w:ilvl w:val="0"/>
          <w:numId w:val="1"/>
        </w:numPr>
        <w:spacing w:line="240" w:lineRule="auto"/>
        <w:contextualSpacing w:val="0"/>
      </w:pPr>
      <w:r w:rsidRPr="001A2D42">
        <w:rPr>
          <w:lang w:bidi="es-419"/>
        </w:rPr>
        <w:t>Empeoró: menos del 10%</w:t>
      </w:r>
    </w:p>
    <w:p w14:paraId="43B847CB" w14:textId="77777777" w:rsidR="00ED698D" w:rsidRPr="001A2D42" w:rsidRDefault="00ED698D" w:rsidP="003B32F9">
      <w:pPr>
        <w:spacing w:line="240" w:lineRule="auto"/>
      </w:pPr>
    </w:p>
    <w:p w14:paraId="0FA71948" w14:textId="77777777" w:rsidR="00ED698D" w:rsidRPr="001A2D42" w:rsidRDefault="00ED698D" w:rsidP="003B32F9">
      <w:pPr>
        <w:spacing w:line="240" w:lineRule="auto"/>
        <w:sectPr w:rsidR="00ED698D" w:rsidRPr="001A2D42" w:rsidSect="00ED698D">
          <w:footnotePr>
            <w:numFmt w:val="lowerLetter"/>
          </w:footnotePr>
          <w:pgSz w:w="12240" w:h="15840"/>
          <w:pgMar w:top="1440" w:right="1440" w:bottom="1440" w:left="1440" w:header="86" w:footer="720" w:gutter="0"/>
          <w:cols w:space="720"/>
          <w:docGrid w:linePitch="360"/>
        </w:sectPr>
      </w:pPr>
    </w:p>
    <w:p w14:paraId="18818D2A" w14:textId="34AC2DB0" w:rsidR="00ED698D" w:rsidRPr="001A2D42" w:rsidRDefault="00ED698D" w:rsidP="003B32F9">
      <w:pPr>
        <w:pStyle w:val="Heading2"/>
        <w:spacing w:after="120" w:line="240" w:lineRule="auto"/>
      </w:pPr>
      <w:bookmarkStart w:id="28" w:name="_Appendix_D:_2024"/>
      <w:bookmarkStart w:id="29" w:name="_Toc241770418"/>
      <w:bookmarkEnd w:id="28"/>
      <w:r w:rsidRPr="001A2D42">
        <w:rPr>
          <w:lang w:bidi="es-419"/>
        </w:rPr>
        <w:lastRenderedPageBreak/>
        <w:t>Apéndice D: tasas de servicio de las CCO en 2025</w:t>
      </w:r>
      <w:bookmarkEnd w:id="29"/>
    </w:p>
    <w:p w14:paraId="1D25B01C" w14:textId="484DCEE9" w:rsidR="00E61720" w:rsidRPr="001A2D42" w:rsidRDefault="00E61720" w:rsidP="003B32F9">
      <w:pPr>
        <w:spacing w:after="0" w:line="240" w:lineRule="auto"/>
        <w:rPr>
          <w:sz w:val="22"/>
          <w:szCs w:val="20"/>
        </w:rPr>
      </w:pPr>
      <w:r w:rsidRPr="001A2D42">
        <w:rPr>
          <w:sz w:val="22"/>
          <w:szCs w:val="20"/>
          <w:lang w:bidi="es-419"/>
        </w:rPr>
        <w:t>§ Una tasa más baja es mejor</w:t>
      </w:r>
    </w:p>
    <w:p w14:paraId="739458F5" w14:textId="77F41F92" w:rsidR="00E61720" w:rsidRPr="001A2D42" w:rsidRDefault="00E61720" w:rsidP="003B32F9">
      <w:pPr>
        <w:spacing w:after="120" w:line="240" w:lineRule="auto"/>
      </w:pPr>
      <w:r w:rsidRPr="001A2D42">
        <w:rPr>
          <w:sz w:val="22"/>
          <w:szCs w:val="20"/>
          <w:lang w:bidi="es-419"/>
        </w:rPr>
        <w:t>*Menos de 30 miembros elegibles</w:t>
      </w:r>
    </w:p>
    <w:tbl>
      <w:tblPr>
        <w:tblW w:w="13683" w:type="dxa"/>
        <w:tblCellMar>
          <w:left w:w="29" w:type="dxa"/>
          <w:right w:w="29" w:type="dxa"/>
        </w:tblCellMar>
        <w:tblLook w:val="06A0" w:firstRow="1" w:lastRow="0" w:firstColumn="1" w:lastColumn="0" w:noHBand="1" w:noVBand="1"/>
      </w:tblPr>
      <w:tblGrid>
        <w:gridCol w:w="2592"/>
        <w:gridCol w:w="648"/>
        <w:gridCol w:w="648"/>
        <w:gridCol w:w="648"/>
        <w:gridCol w:w="663"/>
        <w:gridCol w:w="648"/>
        <w:gridCol w:w="648"/>
        <w:gridCol w:w="648"/>
        <w:gridCol w:w="648"/>
        <w:gridCol w:w="648"/>
        <w:gridCol w:w="663"/>
        <w:gridCol w:w="663"/>
        <w:gridCol w:w="663"/>
        <w:gridCol w:w="648"/>
        <w:gridCol w:w="648"/>
        <w:gridCol w:w="648"/>
        <w:gridCol w:w="663"/>
        <w:gridCol w:w="648"/>
      </w:tblGrid>
      <w:tr w:rsidR="00D702AF" w:rsidRPr="001A2D42" w14:paraId="2BE5C1D5" w14:textId="77777777" w:rsidTr="00CF74BD">
        <w:trPr>
          <w:trHeight w:val="2865"/>
          <w:tblHeader/>
        </w:trPr>
        <w:tc>
          <w:tcPr>
            <w:tcW w:w="2592" w:type="dxa"/>
            <w:tcBorders>
              <w:top w:val="single" w:sz="4" w:space="0" w:color="auto"/>
              <w:left w:val="single" w:sz="4" w:space="0" w:color="auto"/>
              <w:bottom w:val="single" w:sz="4" w:space="0" w:color="auto"/>
              <w:right w:val="single" w:sz="4" w:space="0" w:color="auto"/>
            </w:tcBorders>
            <w:vAlign w:val="center"/>
            <w:hideMark/>
          </w:tcPr>
          <w:p w14:paraId="375C2D80" w14:textId="77777777" w:rsidR="00D702AF" w:rsidRPr="001A2D42" w:rsidRDefault="00D702AF" w:rsidP="003B32F9">
            <w:pPr>
              <w:spacing w:after="0" w:line="240" w:lineRule="auto"/>
              <w:rPr>
                <w:rFonts w:ascii="Aptos Display" w:eastAsia="Times New Roman" w:hAnsi="Aptos Display" w:cs="Arial"/>
                <w:color w:val="FFFFFF"/>
                <w:kern w:val="0"/>
                <w:sz w:val="20"/>
                <w:szCs w:val="20"/>
                <w14:ligatures w14:val="none"/>
              </w:rPr>
            </w:pPr>
            <w:r w:rsidRPr="001A2D42">
              <w:rPr>
                <w:rFonts w:ascii="Aptos Display" w:eastAsia="Times New Roman" w:hAnsi="Aptos Display" w:cs="Arial"/>
                <w:color w:val="FFFFFF"/>
                <w:kern w:val="0"/>
                <w:sz w:val="20"/>
                <w:szCs w:val="20"/>
                <w:lang w:bidi="es-419"/>
                <w14:ligatures w14:val="none"/>
              </w:rPr>
              <w:t>***NO CAMBIE EL ORDEN DE CLASIFICACIÓN</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64A654F"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Advanced Health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4F1D716C"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Plan de AllCare Health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37952163"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Cascade Health Alliance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6F2EB50B"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Columbia Pacific</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DE45E48"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EOCCO</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6D01D096"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Health Share of Oregon</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79AC0200"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InterCommunity Health Network</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56D5AF69"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Jackson Care Connect</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5EB74142"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PacificSource, Central</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374F7351"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PacificSource, Gorge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7E07CB4E"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PacificSource, Lane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0C0F6A39"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PacificSource, Marion Polk</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466ABBFD"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Trillium North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07BAA3FE"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Trillium South</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1E31FAE7"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Umpqua Health Alliance</w:t>
            </w:r>
          </w:p>
        </w:tc>
        <w:tc>
          <w:tcPr>
            <w:tcW w:w="663" w:type="dxa"/>
            <w:tcBorders>
              <w:top w:val="single" w:sz="4" w:space="0" w:color="auto"/>
              <w:left w:val="single" w:sz="4" w:space="0" w:color="auto"/>
              <w:bottom w:val="single" w:sz="4" w:space="0" w:color="auto"/>
              <w:right w:val="single" w:sz="4" w:space="0" w:color="auto"/>
            </w:tcBorders>
            <w:noWrap/>
            <w:textDirection w:val="btLr"/>
            <w:vAlign w:val="center"/>
            <w:hideMark/>
          </w:tcPr>
          <w:p w14:paraId="7E732929"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Yamhill Community Care</w:t>
            </w:r>
          </w:p>
        </w:tc>
        <w:tc>
          <w:tcPr>
            <w:tcW w:w="648" w:type="dxa"/>
            <w:tcBorders>
              <w:top w:val="single" w:sz="4" w:space="0" w:color="auto"/>
              <w:left w:val="single" w:sz="4" w:space="0" w:color="auto"/>
              <w:bottom w:val="single" w:sz="4" w:space="0" w:color="auto"/>
              <w:right w:val="single" w:sz="4" w:space="0" w:color="auto"/>
            </w:tcBorders>
            <w:noWrap/>
            <w:textDirection w:val="btLr"/>
            <w:vAlign w:val="center"/>
            <w:hideMark/>
          </w:tcPr>
          <w:p w14:paraId="22FF0168"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CCO a nivel estatal</w:t>
            </w:r>
          </w:p>
        </w:tc>
      </w:tr>
      <w:tr w:rsidR="00D702AF" w:rsidRPr="001A2D42" w14:paraId="5663F38A"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849D40F"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Adultos con diabetes: evaluación oral</w:t>
            </w:r>
          </w:p>
        </w:tc>
        <w:tc>
          <w:tcPr>
            <w:tcW w:w="648" w:type="dxa"/>
            <w:tcBorders>
              <w:top w:val="nil"/>
              <w:left w:val="nil"/>
              <w:bottom w:val="single" w:sz="4" w:space="0" w:color="auto"/>
              <w:right w:val="single" w:sz="4" w:space="0" w:color="auto"/>
            </w:tcBorders>
            <w:noWrap/>
            <w:vAlign w:val="center"/>
            <w:hideMark/>
          </w:tcPr>
          <w:p w14:paraId="3359087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28.6%</w:t>
            </w:r>
          </w:p>
        </w:tc>
        <w:tc>
          <w:tcPr>
            <w:tcW w:w="648" w:type="dxa"/>
            <w:tcBorders>
              <w:top w:val="nil"/>
              <w:left w:val="nil"/>
              <w:bottom w:val="single" w:sz="4" w:space="0" w:color="auto"/>
              <w:right w:val="single" w:sz="4" w:space="0" w:color="auto"/>
            </w:tcBorders>
            <w:noWrap/>
            <w:vAlign w:val="center"/>
            <w:hideMark/>
          </w:tcPr>
          <w:p w14:paraId="79A6558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24.7%</w:t>
            </w:r>
          </w:p>
        </w:tc>
        <w:tc>
          <w:tcPr>
            <w:tcW w:w="648" w:type="dxa"/>
            <w:tcBorders>
              <w:top w:val="nil"/>
              <w:left w:val="nil"/>
              <w:bottom w:val="single" w:sz="4" w:space="0" w:color="auto"/>
              <w:right w:val="single" w:sz="4" w:space="0" w:color="auto"/>
            </w:tcBorders>
            <w:noWrap/>
            <w:vAlign w:val="center"/>
            <w:hideMark/>
          </w:tcPr>
          <w:p w14:paraId="7D2B305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30.4%</w:t>
            </w:r>
          </w:p>
        </w:tc>
        <w:tc>
          <w:tcPr>
            <w:tcW w:w="663" w:type="dxa"/>
            <w:tcBorders>
              <w:top w:val="nil"/>
              <w:left w:val="nil"/>
              <w:bottom w:val="single" w:sz="4" w:space="0" w:color="auto"/>
              <w:right w:val="single" w:sz="4" w:space="0" w:color="auto"/>
            </w:tcBorders>
            <w:noWrap/>
            <w:vAlign w:val="center"/>
            <w:hideMark/>
          </w:tcPr>
          <w:p w14:paraId="7CEB85B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26.1%</w:t>
            </w:r>
          </w:p>
        </w:tc>
        <w:tc>
          <w:tcPr>
            <w:tcW w:w="648" w:type="dxa"/>
            <w:tcBorders>
              <w:top w:val="nil"/>
              <w:left w:val="nil"/>
              <w:bottom w:val="single" w:sz="4" w:space="0" w:color="auto"/>
              <w:right w:val="single" w:sz="4" w:space="0" w:color="auto"/>
            </w:tcBorders>
            <w:noWrap/>
            <w:vAlign w:val="center"/>
            <w:hideMark/>
          </w:tcPr>
          <w:p w14:paraId="7276FD7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29.1%</w:t>
            </w:r>
          </w:p>
        </w:tc>
        <w:tc>
          <w:tcPr>
            <w:tcW w:w="648" w:type="dxa"/>
            <w:tcBorders>
              <w:top w:val="nil"/>
              <w:left w:val="nil"/>
              <w:bottom w:val="single" w:sz="4" w:space="0" w:color="auto"/>
              <w:right w:val="single" w:sz="4" w:space="0" w:color="auto"/>
            </w:tcBorders>
            <w:noWrap/>
            <w:vAlign w:val="center"/>
            <w:hideMark/>
          </w:tcPr>
          <w:p w14:paraId="59E70C5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33.1%</w:t>
            </w:r>
          </w:p>
        </w:tc>
        <w:tc>
          <w:tcPr>
            <w:tcW w:w="648" w:type="dxa"/>
            <w:tcBorders>
              <w:top w:val="nil"/>
              <w:left w:val="nil"/>
              <w:bottom w:val="single" w:sz="4" w:space="0" w:color="auto"/>
              <w:right w:val="single" w:sz="4" w:space="0" w:color="auto"/>
            </w:tcBorders>
            <w:noWrap/>
            <w:vAlign w:val="center"/>
            <w:hideMark/>
          </w:tcPr>
          <w:p w14:paraId="0FD1F39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23.6%</w:t>
            </w:r>
          </w:p>
        </w:tc>
        <w:tc>
          <w:tcPr>
            <w:tcW w:w="648" w:type="dxa"/>
            <w:tcBorders>
              <w:top w:val="nil"/>
              <w:left w:val="nil"/>
              <w:bottom w:val="single" w:sz="4" w:space="0" w:color="auto"/>
              <w:right w:val="single" w:sz="4" w:space="0" w:color="auto"/>
            </w:tcBorders>
            <w:noWrap/>
            <w:vAlign w:val="center"/>
            <w:hideMark/>
          </w:tcPr>
          <w:p w14:paraId="047A133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27.6%</w:t>
            </w:r>
          </w:p>
        </w:tc>
        <w:tc>
          <w:tcPr>
            <w:tcW w:w="648" w:type="dxa"/>
            <w:tcBorders>
              <w:top w:val="nil"/>
              <w:left w:val="nil"/>
              <w:bottom w:val="single" w:sz="4" w:space="0" w:color="auto"/>
              <w:right w:val="single" w:sz="4" w:space="0" w:color="auto"/>
            </w:tcBorders>
            <w:noWrap/>
            <w:vAlign w:val="center"/>
            <w:hideMark/>
          </w:tcPr>
          <w:p w14:paraId="5A3EE88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25.7%</w:t>
            </w:r>
          </w:p>
        </w:tc>
        <w:tc>
          <w:tcPr>
            <w:tcW w:w="663" w:type="dxa"/>
            <w:tcBorders>
              <w:top w:val="nil"/>
              <w:left w:val="nil"/>
              <w:bottom w:val="single" w:sz="4" w:space="0" w:color="auto"/>
              <w:right w:val="single" w:sz="4" w:space="0" w:color="auto"/>
            </w:tcBorders>
            <w:noWrap/>
            <w:vAlign w:val="center"/>
            <w:hideMark/>
          </w:tcPr>
          <w:p w14:paraId="3A6BB04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36%</w:t>
            </w:r>
          </w:p>
        </w:tc>
        <w:tc>
          <w:tcPr>
            <w:tcW w:w="663" w:type="dxa"/>
            <w:tcBorders>
              <w:top w:val="nil"/>
              <w:left w:val="nil"/>
              <w:bottom w:val="single" w:sz="4" w:space="0" w:color="auto"/>
              <w:right w:val="single" w:sz="4" w:space="0" w:color="auto"/>
            </w:tcBorders>
            <w:noWrap/>
            <w:vAlign w:val="center"/>
            <w:hideMark/>
          </w:tcPr>
          <w:p w14:paraId="50566BD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30.9%</w:t>
            </w:r>
          </w:p>
        </w:tc>
        <w:tc>
          <w:tcPr>
            <w:tcW w:w="663" w:type="dxa"/>
            <w:tcBorders>
              <w:top w:val="nil"/>
              <w:left w:val="nil"/>
              <w:bottom w:val="single" w:sz="4" w:space="0" w:color="auto"/>
              <w:right w:val="single" w:sz="4" w:space="0" w:color="auto"/>
            </w:tcBorders>
            <w:noWrap/>
            <w:vAlign w:val="center"/>
            <w:hideMark/>
          </w:tcPr>
          <w:p w14:paraId="1E73B4A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28.5%</w:t>
            </w:r>
          </w:p>
        </w:tc>
        <w:tc>
          <w:tcPr>
            <w:tcW w:w="648" w:type="dxa"/>
            <w:tcBorders>
              <w:top w:val="nil"/>
              <w:left w:val="nil"/>
              <w:bottom w:val="single" w:sz="4" w:space="0" w:color="auto"/>
              <w:right w:val="single" w:sz="4" w:space="0" w:color="auto"/>
            </w:tcBorders>
            <w:noWrap/>
            <w:vAlign w:val="center"/>
            <w:hideMark/>
          </w:tcPr>
          <w:p w14:paraId="57E54DB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w:t>
            </w:r>
          </w:p>
        </w:tc>
        <w:tc>
          <w:tcPr>
            <w:tcW w:w="648" w:type="dxa"/>
            <w:tcBorders>
              <w:top w:val="nil"/>
              <w:left w:val="nil"/>
              <w:bottom w:val="single" w:sz="4" w:space="0" w:color="auto"/>
              <w:right w:val="single" w:sz="4" w:space="0" w:color="auto"/>
            </w:tcBorders>
            <w:noWrap/>
            <w:vAlign w:val="center"/>
            <w:hideMark/>
          </w:tcPr>
          <w:p w14:paraId="12E26AE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28.0%</w:t>
            </w:r>
          </w:p>
        </w:tc>
        <w:tc>
          <w:tcPr>
            <w:tcW w:w="648" w:type="dxa"/>
            <w:tcBorders>
              <w:top w:val="nil"/>
              <w:left w:val="nil"/>
              <w:bottom w:val="single" w:sz="4" w:space="0" w:color="auto"/>
              <w:right w:val="single" w:sz="4" w:space="0" w:color="auto"/>
            </w:tcBorders>
            <w:noWrap/>
            <w:vAlign w:val="center"/>
            <w:hideMark/>
          </w:tcPr>
          <w:p w14:paraId="132BCD1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34.5%</w:t>
            </w:r>
          </w:p>
        </w:tc>
        <w:tc>
          <w:tcPr>
            <w:tcW w:w="663" w:type="dxa"/>
            <w:tcBorders>
              <w:top w:val="nil"/>
              <w:left w:val="nil"/>
              <w:bottom w:val="single" w:sz="4" w:space="0" w:color="auto"/>
              <w:right w:val="single" w:sz="4" w:space="0" w:color="auto"/>
            </w:tcBorders>
            <w:noWrap/>
            <w:vAlign w:val="center"/>
            <w:hideMark/>
          </w:tcPr>
          <w:p w14:paraId="1268263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34.6%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8F595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29.8%</w:t>
            </w:r>
          </w:p>
        </w:tc>
      </w:tr>
      <w:tr w:rsidR="00D702AF" w:rsidRPr="001A2D42" w14:paraId="5D15E5B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382DC29"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Evaluaciones para niños bajo custodia del ODHS</w:t>
            </w:r>
          </w:p>
        </w:tc>
        <w:tc>
          <w:tcPr>
            <w:tcW w:w="648" w:type="dxa"/>
            <w:tcBorders>
              <w:top w:val="nil"/>
              <w:left w:val="nil"/>
              <w:bottom w:val="single" w:sz="4" w:space="0" w:color="auto"/>
              <w:right w:val="single" w:sz="4" w:space="0" w:color="auto"/>
            </w:tcBorders>
            <w:noWrap/>
            <w:vAlign w:val="center"/>
            <w:hideMark/>
          </w:tcPr>
          <w:p w14:paraId="5E44E15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94.6%</w:t>
            </w:r>
          </w:p>
        </w:tc>
        <w:tc>
          <w:tcPr>
            <w:tcW w:w="648" w:type="dxa"/>
            <w:tcBorders>
              <w:top w:val="nil"/>
              <w:left w:val="nil"/>
              <w:bottom w:val="single" w:sz="4" w:space="0" w:color="auto"/>
              <w:right w:val="single" w:sz="4" w:space="0" w:color="auto"/>
            </w:tcBorders>
            <w:noWrap/>
            <w:vAlign w:val="center"/>
            <w:hideMark/>
          </w:tcPr>
          <w:p w14:paraId="1386B02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81.9%</w:t>
            </w:r>
          </w:p>
        </w:tc>
        <w:tc>
          <w:tcPr>
            <w:tcW w:w="648" w:type="dxa"/>
            <w:tcBorders>
              <w:top w:val="nil"/>
              <w:left w:val="nil"/>
              <w:bottom w:val="single" w:sz="4" w:space="0" w:color="auto"/>
              <w:right w:val="single" w:sz="4" w:space="0" w:color="auto"/>
            </w:tcBorders>
            <w:noWrap/>
            <w:vAlign w:val="center"/>
            <w:hideMark/>
          </w:tcPr>
          <w:p w14:paraId="311FF22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95.6%</w:t>
            </w:r>
          </w:p>
        </w:tc>
        <w:tc>
          <w:tcPr>
            <w:tcW w:w="663" w:type="dxa"/>
            <w:tcBorders>
              <w:top w:val="nil"/>
              <w:left w:val="nil"/>
              <w:bottom w:val="single" w:sz="4" w:space="0" w:color="auto"/>
              <w:right w:val="single" w:sz="4" w:space="0" w:color="auto"/>
            </w:tcBorders>
            <w:noWrap/>
            <w:vAlign w:val="center"/>
            <w:hideMark/>
          </w:tcPr>
          <w:p w14:paraId="319987E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65.2%</w:t>
            </w:r>
          </w:p>
        </w:tc>
        <w:tc>
          <w:tcPr>
            <w:tcW w:w="648" w:type="dxa"/>
            <w:tcBorders>
              <w:top w:val="nil"/>
              <w:left w:val="nil"/>
              <w:bottom w:val="single" w:sz="4" w:space="0" w:color="auto"/>
              <w:right w:val="single" w:sz="4" w:space="0" w:color="auto"/>
            </w:tcBorders>
            <w:noWrap/>
            <w:vAlign w:val="center"/>
            <w:hideMark/>
          </w:tcPr>
          <w:p w14:paraId="6A006D0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96.3%</w:t>
            </w:r>
          </w:p>
        </w:tc>
        <w:tc>
          <w:tcPr>
            <w:tcW w:w="648" w:type="dxa"/>
            <w:tcBorders>
              <w:top w:val="nil"/>
              <w:left w:val="nil"/>
              <w:bottom w:val="single" w:sz="4" w:space="0" w:color="auto"/>
              <w:right w:val="single" w:sz="4" w:space="0" w:color="auto"/>
            </w:tcBorders>
            <w:noWrap/>
            <w:vAlign w:val="center"/>
            <w:hideMark/>
          </w:tcPr>
          <w:p w14:paraId="2D64A9B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93.3%</w:t>
            </w:r>
          </w:p>
        </w:tc>
        <w:tc>
          <w:tcPr>
            <w:tcW w:w="648" w:type="dxa"/>
            <w:tcBorders>
              <w:top w:val="nil"/>
              <w:left w:val="nil"/>
              <w:bottom w:val="single" w:sz="4" w:space="0" w:color="auto"/>
              <w:right w:val="single" w:sz="4" w:space="0" w:color="auto"/>
            </w:tcBorders>
            <w:noWrap/>
            <w:vAlign w:val="center"/>
            <w:hideMark/>
          </w:tcPr>
          <w:p w14:paraId="09D0E14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89.5%</w:t>
            </w:r>
          </w:p>
        </w:tc>
        <w:tc>
          <w:tcPr>
            <w:tcW w:w="648" w:type="dxa"/>
            <w:tcBorders>
              <w:top w:val="nil"/>
              <w:left w:val="nil"/>
              <w:bottom w:val="single" w:sz="4" w:space="0" w:color="auto"/>
              <w:right w:val="single" w:sz="4" w:space="0" w:color="auto"/>
            </w:tcBorders>
            <w:noWrap/>
            <w:vAlign w:val="center"/>
            <w:hideMark/>
          </w:tcPr>
          <w:p w14:paraId="2D60037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94.7%</w:t>
            </w:r>
          </w:p>
        </w:tc>
        <w:tc>
          <w:tcPr>
            <w:tcW w:w="648" w:type="dxa"/>
            <w:tcBorders>
              <w:top w:val="nil"/>
              <w:left w:val="nil"/>
              <w:bottom w:val="single" w:sz="4" w:space="0" w:color="auto"/>
              <w:right w:val="single" w:sz="4" w:space="0" w:color="auto"/>
            </w:tcBorders>
            <w:noWrap/>
            <w:vAlign w:val="center"/>
            <w:hideMark/>
          </w:tcPr>
          <w:p w14:paraId="5770CFE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89.4%</w:t>
            </w:r>
          </w:p>
        </w:tc>
        <w:tc>
          <w:tcPr>
            <w:tcW w:w="663" w:type="dxa"/>
            <w:tcBorders>
              <w:top w:val="nil"/>
              <w:left w:val="nil"/>
              <w:bottom w:val="single" w:sz="4" w:space="0" w:color="auto"/>
              <w:right w:val="single" w:sz="4" w:space="0" w:color="auto"/>
            </w:tcBorders>
            <w:noWrap/>
            <w:vAlign w:val="center"/>
            <w:hideMark/>
          </w:tcPr>
          <w:p w14:paraId="1DE5BB0C" w14:textId="16B1DB96" w:rsidR="00D702AF" w:rsidRPr="001A2D42" w:rsidRDefault="00341F02"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100%*</w:t>
            </w:r>
          </w:p>
        </w:tc>
        <w:tc>
          <w:tcPr>
            <w:tcW w:w="663" w:type="dxa"/>
            <w:tcBorders>
              <w:top w:val="nil"/>
              <w:left w:val="nil"/>
              <w:bottom w:val="single" w:sz="4" w:space="0" w:color="auto"/>
              <w:right w:val="single" w:sz="4" w:space="0" w:color="auto"/>
            </w:tcBorders>
            <w:noWrap/>
            <w:vAlign w:val="center"/>
            <w:hideMark/>
          </w:tcPr>
          <w:p w14:paraId="1145902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84.1%</w:t>
            </w:r>
          </w:p>
        </w:tc>
        <w:tc>
          <w:tcPr>
            <w:tcW w:w="663" w:type="dxa"/>
            <w:tcBorders>
              <w:top w:val="nil"/>
              <w:left w:val="nil"/>
              <w:bottom w:val="single" w:sz="4" w:space="0" w:color="auto"/>
              <w:right w:val="single" w:sz="4" w:space="0" w:color="auto"/>
            </w:tcBorders>
            <w:noWrap/>
            <w:vAlign w:val="center"/>
            <w:hideMark/>
          </w:tcPr>
          <w:p w14:paraId="34B8FFD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94.2%</w:t>
            </w:r>
          </w:p>
        </w:tc>
        <w:tc>
          <w:tcPr>
            <w:tcW w:w="648" w:type="dxa"/>
            <w:tcBorders>
              <w:top w:val="nil"/>
              <w:left w:val="nil"/>
              <w:bottom w:val="single" w:sz="4" w:space="0" w:color="auto"/>
              <w:right w:val="single" w:sz="4" w:space="0" w:color="auto"/>
            </w:tcBorders>
            <w:noWrap/>
            <w:vAlign w:val="center"/>
            <w:hideMark/>
          </w:tcPr>
          <w:p w14:paraId="383CA23E" w14:textId="4041B6E6" w:rsidR="00D702AF" w:rsidRPr="001A2D42" w:rsidRDefault="00341F02"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100%*</w:t>
            </w:r>
          </w:p>
        </w:tc>
        <w:tc>
          <w:tcPr>
            <w:tcW w:w="648" w:type="dxa"/>
            <w:tcBorders>
              <w:top w:val="nil"/>
              <w:left w:val="nil"/>
              <w:bottom w:val="single" w:sz="4" w:space="0" w:color="auto"/>
              <w:right w:val="single" w:sz="4" w:space="0" w:color="auto"/>
            </w:tcBorders>
            <w:noWrap/>
            <w:vAlign w:val="center"/>
            <w:hideMark/>
          </w:tcPr>
          <w:p w14:paraId="0929000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94.6%</w:t>
            </w:r>
          </w:p>
        </w:tc>
        <w:tc>
          <w:tcPr>
            <w:tcW w:w="648" w:type="dxa"/>
            <w:tcBorders>
              <w:top w:val="nil"/>
              <w:left w:val="nil"/>
              <w:bottom w:val="single" w:sz="4" w:space="0" w:color="auto"/>
              <w:right w:val="single" w:sz="4" w:space="0" w:color="auto"/>
            </w:tcBorders>
            <w:noWrap/>
            <w:vAlign w:val="center"/>
            <w:hideMark/>
          </w:tcPr>
          <w:p w14:paraId="04F2449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93.4%</w:t>
            </w:r>
          </w:p>
        </w:tc>
        <w:tc>
          <w:tcPr>
            <w:tcW w:w="663" w:type="dxa"/>
            <w:tcBorders>
              <w:top w:val="nil"/>
              <w:left w:val="nil"/>
              <w:bottom w:val="single" w:sz="4" w:space="0" w:color="auto"/>
              <w:right w:val="single" w:sz="4" w:space="0" w:color="auto"/>
            </w:tcBorders>
            <w:noWrap/>
            <w:vAlign w:val="center"/>
            <w:hideMark/>
          </w:tcPr>
          <w:p w14:paraId="5D3F067D" w14:textId="3412723E"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95.5%*</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55E8BFE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90.8%</w:t>
            </w:r>
          </w:p>
        </w:tc>
      </w:tr>
      <w:tr w:rsidR="00D702AF" w:rsidRPr="001A2D42" w14:paraId="60C080BE"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C1B7D0C"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Visitas de bienestar para niños y adolescentes (de 3 a 6 años de edad)</w:t>
            </w:r>
          </w:p>
        </w:tc>
        <w:tc>
          <w:tcPr>
            <w:tcW w:w="648" w:type="dxa"/>
            <w:tcBorders>
              <w:top w:val="nil"/>
              <w:left w:val="nil"/>
              <w:bottom w:val="single" w:sz="4" w:space="0" w:color="auto"/>
              <w:right w:val="single" w:sz="4" w:space="0" w:color="auto"/>
            </w:tcBorders>
            <w:noWrap/>
            <w:vAlign w:val="center"/>
            <w:hideMark/>
          </w:tcPr>
          <w:p w14:paraId="3598F2B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70.3%</w:t>
            </w:r>
          </w:p>
        </w:tc>
        <w:tc>
          <w:tcPr>
            <w:tcW w:w="648" w:type="dxa"/>
            <w:tcBorders>
              <w:top w:val="nil"/>
              <w:left w:val="nil"/>
              <w:bottom w:val="single" w:sz="4" w:space="0" w:color="auto"/>
              <w:right w:val="single" w:sz="4" w:space="0" w:color="auto"/>
            </w:tcBorders>
            <w:noWrap/>
            <w:vAlign w:val="center"/>
            <w:hideMark/>
          </w:tcPr>
          <w:p w14:paraId="47A49A5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68.6%</w:t>
            </w:r>
          </w:p>
        </w:tc>
        <w:tc>
          <w:tcPr>
            <w:tcW w:w="648" w:type="dxa"/>
            <w:tcBorders>
              <w:top w:val="nil"/>
              <w:left w:val="nil"/>
              <w:bottom w:val="single" w:sz="4" w:space="0" w:color="auto"/>
              <w:right w:val="single" w:sz="4" w:space="0" w:color="auto"/>
            </w:tcBorders>
            <w:noWrap/>
            <w:vAlign w:val="center"/>
            <w:hideMark/>
          </w:tcPr>
          <w:p w14:paraId="10C1F47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75.3%</w:t>
            </w:r>
          </w:p>
        </w:tc>
        <w:tc>
          <w:tcPr>
            <w:tcW w:w="663" w:type="dxa"/>
            <w:tcBorders>
              <w:top w:val="nil"/>
              <w:left w:val="nil"/>
              <w:bottom w:val="single" w:sz="4" w:space="0" w:color="auto"/>
              <w:right w:val="single" w:sz="4" w:space="0" w:color="auto"/>
            </w:tcBorders>
            <w:noWrap/>
            <w:vAlign w:val="center"/>
            <w:hideMark/>
          </w:tcPr>
          <w:p w14:paraId="7BCC528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66.8%</w:t>
            </w:r>
          </w:p>
        </w:tc>
        <w:tc>
          <w:tcPr>
            <w:tcW w:w="648" w:type="dxa"/>
            <w:tcBorders>
              <w:top w:val="nil"/>
              <w:left w:val="nil"/>
              <w:bottom w:val="single" w:sz="4" w:space="0" w:color="auto"/>
              <w:right w:val="single" w:sz="4" w:space="0" w:color="auto"/>
            </w:tcBorders>
            <w:noWrap/>
            <w:vAlign w:val="center"/>
            <w:hideMark/>
          </w:tcPr>
          <w:p w14:paraId="68878C1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70.5%</w:t>
            </w:r>
          </w:p>
        </w:tc>
        <w:tc>
          <w:tcPr>
            <w:tcW w:w="648" w:type="dxa"/>
            <w:tcBorders>
              <w:top w:val="nil"/>
              <w:left w:val="nil"/>
              <w:bottom w:val="single" w:sz="4" w:space="0" w:color="auto"/>
              <w:right w:val="single" w:sz="4" w:space="0" w:color="auto"/>
            </w:tcBorders>
            <w:noWrap/>
            <w:vAlign w:val="center"/>
            <w:hideMark/>
          </w:tcPr>
          <w:p w14:paraId="33172AD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73.0%</w:t>
            </w:r>
          </w:p>
        </w:tc>
        <w:tc>
          <w:tcPr>
            <w:tcW w:w="648" w:type="dxa"/>
            <w:tcBorders>
              <w:top w:val="nil"/>
              <w:left w:val="nil"/>
              <w:bottom w:val="single" w:sz="4" w:space="0" w:color="auto"/>
              <w:right w:val="single" w:sz="4" w:space="0" w:color="auto"/>
            </w:tcBorders>
            <w:noWrap/>
            <w:vAlign w:val="center"/>
            <w:hideMark/>
          </w:tcPr>
          <w:p w14:paraId="1AD3996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75.4%</w:t>
            </w:r>
          </w:p>
        </w:tc>
        <w:tc>
          <w:tcPr>
            <w:tcW w:w="648" w:type="dxa"/>
            <w:tcBorders>
              <w:top w:val="nil"/>
              <w:left w:val="nil"/>
              <w:bottom w:val="single" w:sz="4" w:space="0" w:color="auto"/>
              <w:right w:val="single" w:sz="4" w:space="0" w:color="auto"/>
            </w:tcBorders>
            <w:noWrap/>
            <w:vAlign w:val="center"/>
            <w:hideMark/>
          </w:tcPr>
          <w:p w14:paraId="42B0E4B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68.5%</w:t>
            </w:r>
          </w:p>
        </w:tc>
        <w:tc>
          <w:tcPr>
            <w:tcW w:w="648" w:type="dxa"/>
            <w:tcBorders>
              <w:top w:val="nil"/>
              <w:left w:val="nil"/>
              <w:bottom w:val="single" w:sz="4" w:space="0" w:color="auto"/>
              <w:right w:val="single" w:sz="4" w:space="0" w:color="auto"/>
            </w:tcBorders>
            <w:noWrap/>
            <w:vAlign w:val="center"/>
            <w:hideMark/>
          </w:tcPr>
          <w:p w14:paraId="1742908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76.3%</w:t>
            </w:r>
          </w:p>
        </w:tc>
        <w:tc>
          <w:tcPr>
            <w:tcW w:w="663" w:type="dxa"/>
            <w:tcBorders>
              <w:top w:val="nil"/>
              <w:left w:val="nil"/>
              <w:bottom w:val="single" w:sz="4" w:space="0" w:color="auto"/>
              <w:right w:val="single" w:sz="4" w:space="0" w:color="auto"/>
            </w:tcBorders>
            <w:noWrap/>
            <w:vAlign w:val="center"/>
            <w:hideMark/>
          </w:tcPr>
          <w:p w14:paraId="6FAF5B4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75.8%</w:t>
            </w:r>
          </w:p>
        </w:tc>
        <w:tc>
          <w:tcPr>
            <w:tcW w:w="663" w:type="dxa"/>
            <w:tcBorders>
              <w:top w:val="nil"/>
              <w:left w:val="nil"/>
              <w:bottom w:val="single" w:sz="4" w:space="0" w:color="auto"/>
              <w:right w:val="single" w:sz="4" w:space="0" w:color="auto"/>
            </w:tcBorders>
            <w:noWrap/>
            <w:vAlign w:val="center"/>
            <w:hideMark/>
          </w:tcPr>
          <w:p w14:paraId="354E145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62.3%</w:t>
            </w:r>
          </w:p>
        </w:tc>
        <w:tc>
          <w:tcPr>
            <w:tcW w:w="663" w:type="dxa"/>
            <w:tcBorders>
              <w:top w:val="nil"/>
              <w:left w:val="nil"/>
              <w:bottom w:val="single" w:sz="4" w:space="0" w:color="auto"/>
              <w:right w:val="single" w:sz="4" w:space="0" w:color="auto"/>
            </w:tcBorders>
            <w:noWrap/>
            <w:vAlign w:val="center"/>
            <w:hideMark/>
          </w:tcPr>
          <w:p w14:paraId="0F6EAA7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72.7%</w:t>
            </w:r>
          </w:p>
        </w:tc>
        <w:tc>
          <w:tcPr>
            <w:tcW w:w="648" w:type="dxa"/>
            <w:tcBorders>
              <w:top w:val="nil"/>
              <w:left w:val="nil"/>
              <w:bottom w:val="single" w:sz="4" w:space="0" w:color="auto"/>
              <w:right w:val="single" w:sz="4" w:space="0" w:color="auto"/>
            </w:tcBorders>
            <w:noWrap/>
            <w:vAlign w:val="center"/>
            <w:hideMark/>
          </w:tcPr>
          <w:p w14:paraId="238E69C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55.4%</w:t>
            </w:r>
          </w:p>
        </w:tc>
        <w:tc>
          <w:tcPr>
            <w:tcW w:w="648" w:type="dxa"/>
            <w:tcBorders>
              <w:top w:val="nil"/>
              <w:left w:val="nil"/>
              <w:bottom w:val="single" w:sz="4" w:space="0" w:color="auto"/>
              <w:right w:val="single" w:sz="4" w:space="0" w:color="auto"/>
            </w:tcBorders>
            <w:noWrap/>
            <w:vAlign w:val="center"/>
            <w:hideMark/>
          </w:tcPr>
          <w:p w14:paraId="297DBDC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59.0%</w:t>
            </w:r>
          </w:p>
        </w:tc>
        <w:tc>
          <w:tcPr>
            <w:tcW w:w="648" w:type="dxa"/>
            <w:tcBorders>
              <w:top w:val="nil"/>
              <w:left w:val="nil"/>
              <w:bottom w:val="single" w:sz="4" w:space="0" w:color="auto"/>
              <w:right w:val="single" w:sz="4" w:space="0" w:color="auto"/>
            </w:tcBorders>
            <w:noWrap/>
            <w:vAlign w:val="center"/>
            <w:hideMark/>
          </w:tcPr>
          <w:p w14:paraId="57E57E9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76.7%</w:t>
            </w:r>
          </w:p>
        </w:tc>
        <w:tc>
          <w:tcPr>
            <w:tcW w:w="663" w:type="dxa"/>
            <w:tcBorders>
              <w:top w:val="nil"/>
              <w:left w:val="nil"/>
              <w:bottom w:val="single" w:sz="4" w:space="0" w:color="auto"/>
              <w:right w:val="single" w:sz="4" w:space="0" w:color="auto"/>
            </w:tcBorders>
            <w:noWrap/>
            <w:vAlign w:val="center"/>
            <w:hideMark/>
          </w:tcPr>
          <w:p w14:paraId="1A371D4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73.9%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F6B419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71.3%</w:t>
            </w:r>
          </w:p>
        </w:tc>
      </w:tr>
      <w:tr w:rsidR="00D702AF" w:rsidRPr="001A2D42" w14:paraId="022A46D7"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417E405"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Estado de vacunación infantil: combinación 3</w:t>
            </w:r>
          </w:p>
        </w:tc>
        <w:tc>
          <w:tcPr>
            <w:tcW w:w="648" w:type="dxa"/>
            <w:tcBorders>
              <w:top w:val="nil"/>
              <w:left w:val="nil"/>
              <w:bottom w:val="single" w:sz="4" w:space="0" w:color="auto"/>
              <w:right w:val="single" w:sz="4" w:space="0" w:color="auto"/>
            </w:tcBorders>
            <w:noWrap/>
            <w:vAlign w:val="center"/>
            <w:hideMark/>
          </w:tcPr>
          <w:p w14:paraId="33937C5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63.2%</w:t>
            </w:r>
          </w:p>
        </w:tc>
        <w:tc>
          <w:tcPr>
            <w:tcW w:w="648" w:type="dxa"/>
            <w:tcBorders>
              <w:top w:val="nil"/>
              <w:left w:val="nil"/>
              <w:bottom w:val="single" w:sz="4" w:space="0" w:color="auto"/>
              <w:right w:val="single" w:sz="4" w:space="0" w:color="auto"/>
            </w:tcBorders>
            <w:noWrap/>
            <w:vAlign w:val="center"/>
            <w:hideMark/>
          </w:tcPr>
          <w:p w14:paraId="3C15FE5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43.7%</w:t>
            </w:r>
          </w:p>
        </w:tc>
        <w:tc>
          <w:tcPr>
            <w:tcW w:w="648" w:type="dxa"/>
            <w:tcBorders>
              <w:top w:val="nil"/>
              <w:left w:val="nil"/>
              <w:bottom w:val="single" w:sz="4" w:space="0" w:color="auto"/>
              <w:right w:val="single" w:sz="4" w:space="0" w:color="auto"/>
            </w:tcBorders>
            <w:noWrap/>
            <w:vAlign w:val="center"/>
            <w:hideMark/>
          </w:tcPr>
          <w:p w14:paraId="32CBC05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63.3%</w:t>
            </w:r>
          </w:p>
        </w:tc>
        <w:tc>
          <w:tcPr>
            <w:tcW w:w="663" w:type="dxa"/>
            <w:tcBorders>
              <w:top w:val="nil"/>
              <w:left w:val="nil"/>
              <w:bottom w:val="single" w:sz="4" w:space="0" w:color="auto"/>
              <w:right w:val="single" w:sz="4" w:space="0" w:color="auto"/>
            </w:tcBorders>
            <w:noWrap/>
            <w:vAlign w:val="center"/>
            <w:hideMark/>
          </w:tcPr>
          <w:p w14:paraId="4D9F07A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51.2%</w:t>
            </w:r>
          </w:p>
        </w:tc>
        <w:tc>
          <w:tcPr>
            <w:tcW w:w="648" w:type="dxa"/>
            <w:tcBorders>
              <w:top w:val="nil"/>
              <w:left w:val="nil"/>
              <w:bottom w:val="single" w:sz="4" w:space="0" w:color="auto"/>
              <w:right w:val="single" w:sz="4" w:space="0" w:color="auto"/>
            </w:tcBorders>
            <w:noWrap/>
            <w:vAlign w:val="center"/>
            <w:hideMark/>
          </w:tcPr>
          <w:p w14:paraId="68F4512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63.1%</w:t>
            </w:r>
          </w:p>
        </w:tc>
        <w:tc>
          <w:tcPr>
            <w:tcW w:w="648" w:type="dxa"/>
            <w:tcBorders>
              <w:top w:val="nil"/>
              <w:left w:val="nil"/>
              <w:bottom w:val="single" w:sz="4" w:space="0" w:color="auto"/>
              <w:right w:val="single" w:sz="4" w:space="0" w:color="auto"/>
            </w:tcBorders>
            <w:noWrap/>
            <w:vAlign w:val="center"/>
            <w:hideMark/>
          </w:tcPr>
          <w:p w14:paraId="7FDB133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61.9%</w:t>
            </w:r>
          </w:p>
        </w:tc>
        <w:tc>
          <w:tcPr>
            <w:tcW w:w="648" w:type="dxa"/>
            <w:tcBorders>
              <w:top w:val="nil"/>
              <w:left w:val="nil"/>
              <w:bottom w:val="single" w:sz="4" w:space="0" w:color="auto"/>
              <w:right w:val="single" w:sz="4" w:space="0" w:color="auto"/>
            </w:tcBorders>
            <w:noWrap/>
            <w:vAlign w:val="center"/>
            <w:hideMark/>
          </w:tcPr>
          <w:p w14:paraId="127C5BE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58.1%</w:t>
            </w:r>
          </w:p>
        </w:tc>
        <w:tc>
          <w:tcPr>
            <w:tcW w:w="648" w:type="dxa"/>
            <w:tcBorders>
              <w:top w:val="nil"/>
              <w:left w:val="nil"/>
              <w:bottom w:val="single" w:sz="4" w:space="0" w:color="auto"/>
              <w:right w:val="single" w:sz="4" w:space="0" w:color="auto"/>
            </w:tcBorders>
            <w:noWrap/>
            <w:vAlign w:val="center"/>
            <w:hideMark/>
          </w:tcPr>
          <w:p w14:paraId="47DF693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56.3%</w:t>
            </w:r>
          </w:p>
        </w:tc>
        <w:tc>
          <w:tcPr>
            <w:tcW w:w="648" w:type="dxa"/>
            <w:tcBorders>
              <w:top w:val="nil"/>
              <w:left w:val="nil"/>
              <w:bottom w:val="single" w:sz="4" w:space="0" w:color="auto"/>
              <w:right w:val="single" w:sz="4" w:space="0" w:color="auto"/>
            </w:tcBorders>
            <w:noWrap/>
            <w:vAlign w:val="center"/>
            <w:hideMark/>
          </w:tcPr>
          <w:p w14:paraId="60D34B5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57.8%</w:t>
            </w:r>
          </w:p>
        </w:tc>
        <w:tc>
          <w:tcPr>
            <w:tcW w:w="663" w:type="dxa"/>
            <w:tcBorders>
              <w:top w:val="nil"/>
              <w:left w:val="nil"/>
              <w:bottom w:val="single" w:sz="4" w:space="0" w:color="auto"/>
              <w:right w:val="single" w:sz="4" w:space="0" w:color="auto"/>
            </w:tcBorders>
            <w:noWrap/>
            <w:vAlign w:val="center"/>
            <w:hideMark/>
          </w:tcPr>
          <w:p w14:paraId="24FD96C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65.6%</w:t>
            </w:r>
          </w:p>
        </w:tc>
        <w:tc>
          <w:tcPr>
            <w:tcW w:w="663" w:type="dxa"/>
            <w:tcBorders>
              <w:top w:val="nil"/>
              <w:left w:val="nil"/>
              <w:bottom w:val="single" w:sz="4" w:space="0" w:color="auto"/>
              <w:right w:val="single" w:sz="4" w:space="0" w:color="auto"/>
            </w:tcBorders>
            <w:noWrap/>
            <w:vAlign w:val="center"/>
            <w:hideMark/>
          </w:tcPr>
          <w:p w14:paraId="2F8E322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64.4%</w:t>
            </w:r>
          </w:p>
        </w:tc>
        <w:tc>
          <w:tcPr>
            <w:tcW w:w="663" w:type="dxa"/>
            <w:tcBorders>
              <w:top w:val="nil"/>
              <w:left w:val="nil"/>
              <w:bottom w:val="single" w:sz="4" w:space="0" w:color="auto"/>
              <w:right w:val="single" w:sz="4" w:space="0" w:color="auto"/>
            </w:tcBorders>
            <w:noWrap/>
            <w:vAlign w:val="center"/>
            <w:hideMark/>
          </w:tcPr>
          <w:p w14:paraId="7D26BE2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63.1%</w:t>
            </w:r>
          </w:p>
        </w:tc>
        <w:tc>
          <w:tcPr>
            <w:tcW w:w="648" w:type="dxa"/>
            <w:tcBorders>
              <w:top w:val="nil"/>
              <w:left w:val="nil"/>
              <w:bottom w:val="single" w:sz="4" w:space="0" w:color="auto"/>
              <w:right w:val="single" w:sz="4" w:space="0" w:color="auto"/>
            </w:tcBorders>
            <w:noWrap/>
            <w:vAlign w:val="center"/>
            <w:hideMark/>
          </w:tcPr>
          <w:p w14:paraId="525AFDD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48.7%</w:t>
            </w:r>
          </w:p>
        </w:tc>
        <w:tc>
          <w:tcPr>
            <w:tcW w:w="648" w:type="dxa"/>
            <w:tcBorders>
              <w:top w:val="nil"/>
              <w:left w:val="nil"/>
              <w:bottom w:val="single" w:sz="4" w:space="0" w:color="auto"/>
              <w:right w:val="single" w:sz="4" w:space="0" w:color="auto"/>
            </w:tcBorders>
            <w:noWrap/>
            <w:vAlign w:val="center"/>
            <w:hideMark/>
          </w:tcPr>
          <w:p w14:paraId="07CA23F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56.9%</w:t>
            </w:r>
          </w:p>
        </w:tc>
        <w:tc>
          <w:tcPr>
            <w:tcW w:w="648" w:type="dxa"/>
            <w:tcBorders>
              <w:top w:val="nil"/>
              <w:left w:val="nil"/>
              <w:bottom w:val="single" w:sz="4" w:space="0" w:color="auto"/>
              <w:right w:val="single" w:sz="4" w:space="0" w:color="auto"/>
            </w:tcBorders>
            <w:noWrap/>
            <w:vAlign w:val="center"/>
            <w:hideMark/>
          </w:tcPr>
          <w:p w14:paraId="70D266E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54.0%</w:t>
            </w:r>
          </w:p>
        </w:tc>
        <w:tc>
          <w:tcPr>
            <w:tcW w:w="663" w:type="dxa"/>
            <w:tcBorders>
              <w:top w:val="nil"/>
              <w:left w:val="nil"/>
              <w:bottom w:val="single" w:sz="4" w:space="0" w:color="auto"/>
              <w:right w:val="single" w:sz="4" w:space="0" w:color="auto"/>
            </w:tcBorders>
            <w:noWrap/>
            <w:vAlign w:val="center"/>
            <w:hideMark/>
          </w:tcPr>
          <w:p w14:paraId="52C3E57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63.3%</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47162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60.1%</w:t>
            </w:r>
          </w:p>
        </w:tc>
      </w:tr>
      <w:tr w:rsidR="00D702AF" w:rsidRPr="001A2D42" w14:paraId="765955A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2AEC6A11"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Diabetes: control deficiente de HbA1c§</w:t>
            </w:r>
          </w:p>
        </w:tc>
        <w:tc>
          <w:tcPr>
            <w:tcW w:w="648" w:type="dxa"/>
            <w:tcBorders>
              <w:top w:val="nil"/>
              <w:left w:val="nil"/>
              <w:bottom w:val="single" w:sz="4" w:space="0" w:color="auto"/>
              <w:right w:val="single" w:sz="4" w:space="0" w:color="auto"/>
            </w:tcBorders>
            <w:noWrap/>
            <w:vAlign w:val="center"/>
            <w:hideMark/>
          </w:tcPr>
          <w:p w14:paraId="4AADDE5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31.4%</w:t>
            </w:r>
          </w:p>
        </w:tc>
        <w:tc>
          <w:tcPr>
            <w:tcW w:w="648" w:type="dxa"/>
            <w:tcBorders>
              <w:top w:val="nil"/>
              <w:left w:val="nil"/>
              <w:bottom w:val="single" w:sz="4" w:space="0" w:color="auto"/>
              <w:right w:val="single" w:sz="4" w:space="0" w:color="auto"/>
            </w:tcBorders>
            <w:noWrap/>
            <w:vAlign w:val="center"/>
            <w:hideMark/>
          </w:tcPr>
          <w:p w14:paraId="0B37FAD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18.3%</w:t>
            </w:r>
          </w:p>
        </w:tc>
        <w:tc>
          <w:tcPr>
            <w:tcW w:w="648" w:type="dxa"/>
            <w:tcBorders>
              <w:top w:val="nil"/>
              <w:left w:val="nil"/>
              <w:bottom w:val="single" w:sz="4" w:space="0" w:color="auto"/>
              <w:right w:val="single" w:sz="4" w:space="0" w:color="auto"/>
            </w:tcBorders>
            <w:noWrap/>
            <w:vAlign w:val="center"/>
            <w:hideMark/>
          </w:tcPr>
          <w:p w14:paraId="7D9DC86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17.7%</w:t>
            </w:r>
          </w:p>
        </w:tc>
        <w:tc>
          <w:tcPr>
            <w:tcW w:w="663" w:type="dxa"/>
            <w:tcBorders>
              <w:top w:val="nil"/>
              <w:left w:val="nil"/>
              <w:bottom w:val="single" w:sz="4" w:space="0" w:color="auto"/>
              <w:right w:val="single" w:sz="4" w:space="0" w:color="auto"/>
            </w:tcBorders>
            <w:noWrap/>
            <w:vAlign w:val="center"/>
            <w:hideMark/>
          </w:tcPr>
          <w:p w14:paraId="291E75F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21.7%</w:t>
            </w:r>
          </w:p>
        </w:tc>
        <w:tc>
          <w:tcPr>
            <w:tcW w:w="648" w:type="dxa"/>
            <w:tcBorders>
              <w:top w:val="nil"/>
              <w:left w:val="nil"/>
              <w:bottom w:val="single" w:sz="4" w:space="0" w:color="auto"/>
              <w:right w:val="single" w:sz="4" w:space="0" w:color="auto"/>
            </w:tcBorders>
            <w:noWrap/>
            <w:vAlign w:val="center"/>
            <w:hideMark/>
          </w:tcPr>
          <w:p w14:paraId="109FFDC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18.3%</w:t>
            </w:r>
          </w:p>
        </w:tc>
        <w:tc>
          <w:tcPr>
            <w:tcW w:w="648" w:type="dxa"/>
            <w:tcBorders>
              <w:top w:val="nil"/>
              <w:left w:val="nil"/>
              <w:bottom w:val="single" w:sz="4" w:space="0" w:color="auto"/>
              <w:right w:val="single" w:sz="4" w:space="0" w:color="auto"/>
            </w:tcBorders>
            <w:noWrap/>
            <w:vAlign w:val="center"/>
            <w:hideMark/>
          </w:tcPr>
          <w:p w14:paraId="64D6FFC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22.3%</w:t>
            </w:r>
          </w:p>
        </w:tc>
        <w:tc>
          <w:tcPr>
            <w:tcW w:w="648" w:type="dxa"/>
            <w:tcBorders>
              <w:top w:val="nil"/>
              <w:left w:val="nil"/>
              <w:bottom w:val="single" w:sz="4" w:space="0" w:color="auto"/>
              <w:right w:val="single" w:sz="4" w:space="0" w:color="auto"/>
            </w:tcBorders>
            <w:noWrap/>
            <w:vAlign w:val="center"/>
            <w:hideMark/>
          </w:tcPr>
          <w:p w14:paraId="27202CC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25.4%</w:t>
            </w:r>
          </w:p>
        </w:tc>
        <w:tc>
          <w:tcPr>
            <w:tcW w:w="648" w:type="dxa"/>
            <w:tcBorders>
              <w:top w:val="nil"/>
              <w:left w:val="nil"/>
              <w:bottom w:val="single" w:sz="4" w:space="0" w:color="auto"/>
              <w:right w:val="single" w:sz="4" w:space="0" w:color="auto"/>
            </w:tcBorders>
            <w:noWrap/>
            <w:vAlign w:val="center"/>
            <w:hideMark/>
          </w:tcPr>
          <w:p w14:paraId="18625E7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20.7%</w:t>
            </w:r>
          </w:p>
        </w:tc>
        <w:tc>
          <w:tcPr>
            <w:tcW w:w="648" w:type="dxa"/>
            <w:tcBorders>
              <w:top w:val="nil"/>
              <w:left w:val="nil"/>
              <w:bottom w:val="single" w:sz="4" w:space="0" w:color="auto"/>
              <w:right w:val="single" w:sz="4" w:space="0" w:color="auto"/>
            </w:tcBorders>
            <w:noWrap/>
            <w:vAlign w:val="center"/>
            <w:hideMark/>
          </w:tcPr>
          <w:p w14:paraId="10CF512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18.1%</w:t>
            </w:r>
          </w:p>
        </w:tc>
        <w:tc>
          <w:tcPr>
            <w:tcW w:w="663" w:type="dxa"/>
            <w:tcBorders>
              <w:top w:val="nil"/>
              <w:left w:val="nil"/>
              <w:bottom w:val="single" w:sz="4" w:space="0" w:color="auto"/>
              <w:right w:val="single" w:sz="4" w:space="0" w:color="auto"/>
            </w:tcBorders>
            <w:noWrap/>
            <w:vAlign w:val="center"/>
            <w:hideMark/>
          </w:tcPr>
          <w:p w14:paraId="7C690F0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19.5%</w:t>
            </w:r>
          </w:p>
        </w:tc>
        <w:tc>
          <w:tcPr>
            <w:tcW w:w="663" w:type="dxa"/>
            <w:tcBorders>
              <w:top w:val="nil"/>
              <w:left w:val="nil"/>
              <w:bottom w:val="single" w:sz="4" w:space="0" w:color="auto"/>
              <w:right w:val="single" w:sz="4" w:space="0" w:color="auto"/>
            </w:tcBorders>
            <w:noWrap/>
            <w:vAlign w:val="center"/>
            <w:hideMark/>
          </w:tcPr>
          <w:p w14:paraId="65731CF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17.7%</w:t>
            </w:r>
          </w:p>
        </w:tc>
        <w:tc>
          <w:tcPr>
            <w:tcW w:w="663" w:type="dxa"/>
            <w:tcBorders>
              <w:top w:val="nil"/>
              <w:left w:val="nil"/>
              <w:bottom w:val="single" w:sz="4" w:space="0" w:color="auto"/>
              <w:right w:val="single" w:sz="4" w:space="0" w:color="auto"/>
            </w:tcBorders>
            <w:noWrap/>
            <w:vAlign w:val="center"/>
            <w:hideMark/>
          </w:tcPr>
          <w:p w14:paraId="0C2A44D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25.1%</w:t>
            </w:r>
          </w:p>
        </w:tc>
        <w:tc>
          <w:tcPr>
            <w:tcW w:w="648" w:type="dxa"/>
            <w:tcBorders>
              <w:top w:val="nil"/>
              <w:left w:val="nil"/>
              <w:bottom w:val="single" w:sz="4" w:space="0" w:color="auto"/>
              <w:right w:val="single" w:sz="4" w:space="0" w:color="auto"/>
            </w:tcBorders>
            <w:noWrap/>
            <w:vAlign w:val="center"/>
            <w:hideMark/>
          </w:tcPr>
          <w:p w14:paraId="4C9E8B5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16.1%</w:t>
            </w:r>
          </w:p>
        </w:tc>
        <w:tc>
          <w:tcPr>
            <w:tcW w:w="648" w:type="dxa"/>
            <w:tcBorders>
              <w:top w:val="nil"/>
              <w:left w:val="nil"/>
              <w:bottom w:val="single" w:sz="4" w:space="0" w:color="auto"/>
              <w:right w:val="single" w:sz="4" w:space="0" w:color="auto"/>
            </w:tcBorders>
            <w:noWrap/>
            <w:vAlign w:val="center"/>
            <w:hideMark/>
          </w:tcPr>
          <w:p w14:paraId="7953A59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20.2%</w:t>
            </w:r>
          </w:p>
        </w:tc>
        <w:tc>
          <w:tcPr>
            <w:tcW w:w="648" w:type="dxa"/>
            <w:tcBorders>
              <w:top w:val="nil"/>
              <w:left w:val="nil"/>
              <w:bottom w:val="single" w:sz="4" w:space="0" w:color="auto"/>
              <w:right w:val="single" w:sz="4" w:space="0" w:color="auto"/>
            </w:tcBorders>
            <w:noWrap/>
            <w:vAlign w:val="center"/>
            <w:hideMark/>
          </w:tcPr>
          <w:p w14:paraId="1905C6F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21.3%</w:t>
            </w:r>
          </w:p>
        </w:tc>
        <w:tc>
          <w:tcPr>
            <w:tcW w:w="663" w:type="dxa"/>
            <w:tcBorders>
              <w:top w:val="nil"/>
              <w:left w:val="nil"/>
              <w:bottom w:val="single" w:sz="4" w:space="0" w:color="auto"/>
              <w:right w:val="single" w:sz="4" w:space="0" w:color="auto"/>
            </w:tcBorders>
            <w:noWrap/>
            <w:vAlign w:val="center"/>
            <w:hideMark/>
          </w:tcPr>
          <w:p w14:paraId="0DAFA61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22.2%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682789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21.0%</w:t>
            </w:r>
          </w:p>
        </w:tc>
      </w:tr>
      <w:tr w:rsidR="00D702AF" w:rsidRPr="001A2D42" w14:paraId="4AB85C0E"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C38D4B8"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Vacunación para adolescentes: combinación 2</w:t>
            </w:r>
          </w:p>
        </w:tc>
        <w:tc>
          <w:tcPr>
            <w:tcW w:w="648" w:type="dxa"/>
            <w:tcBorders>
              <w:top w:val="nil"/>
              <w:left w:val="nil"/>
              <w:bottom w:val="single" w:sz="4" w:space="0" w:color="auto"/>
              <w:right w:val="single" w:sz="4" w:space="0" w:color="auto"/>
            </w:tcBorders>
            <w:noWrap/>
            <w:vAlign w:val="center"/>
            <w:hideMark/>
          </w:tcPr>
          <w:p w14:paraId="0B456EE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29.9%</w:t>
            </w:r>
          </w:p>
        </w:tc>
        <w:tc>
          <w:tcPr>
            <w:tcW w:w="648" w:type="dxa"/>
            <w:tcBorders>
              <w:top w:val="nil"/>
              <w:left w:val="nil"/>
              <w:bottom w:val="single" w:sz="4" w:space="0" w:color="auto"/>
              <w:right w:val="single" w:sz="4" w:space="0" w:color="auto"/>
            </w:tcBorders>
            <w:noWrap/>
            <w:vAlign w:val="center"/>
            <w:hideMark/>
          </w:tcPr>
          <w:p w14:paraId="01BBBE5B" w14:textId="1332199D"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15.5%</w:t>
            </w:r>
          </w:p>
        </w:tc>
        <w:tc>
          <w:tcPr>
            <w:tcW w:w="648" w:type="dxa"/>
            <w:tcBorders>
              <w:top w:val="nil"/>
              <w:left w:val="nil"/>
              <w:bottom w:val="single" w:sz="4" w:space="0" w:color="auto"/>
              <w:right w:val="single" w:sz="4" w:space="0" w:color="auto"/>
            </w:tcBorders>
            <w:noWrap/>
            <w:vAlign w:val="center"/>
            <w:hideMark/>
          </w:tcPr>
          <w:p w14:paraId="1A824BE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40.9%</w:t>
            </w:r>
          </w:p>
        </w:tc>
        <w:tc>
          <w:tcPr>
            <w:tcW w:w="663" w:type="dxa"/>
            <w:tcBorders>
              <w:top w:val="nil"/>
              <w:left w:val="nil"/>
              <w:bottom w:val="single" w:sz="4" w:space="0" w:color="auto"/>
              <w:right w:val="single" w:sz="4" w:space="0" w:color="auto"/>
            </w:tcBorders>
            <w:noWrap/>
            <w:vAlign w:val="center"/>
            <w:hideMark/>
          </w:tcPr>
          <w:p w14:paraId="13A6A22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27.9%</w:t>
            </w:r>
          </w:p>
        </w:tc>
        <w:tc>
          <w:tcPr>
            <w:tcW w:w="648" w:type="dxa"/>
            <w:tcBorders>
              <w:top w:val="nil"/>
              <w:left w:val="nil"/>
              <w:bottom w:val="single" w:sz="4" w:space="0" w:color="auto"/>
              <w:right w:val="single" w:sz="4" w:space="0" w:color="auto"/>
            </w:tcBorders>
            <w:noWrap/>
            <w:vAlign w:val="center"/>
            <w:hideMark/>
          </w:tcPr>
          <w:p w14:paraId="7AA79CB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38.8%</w:t>
            </w:r>
          </w:p>
        </w:tc>
        <w:tc>
          <w:tcPr>
            <w:tcW w:w="648" w:type="dxa"/>
            <w:tcBorders>
              <w:top w:val="nil"/>
              <w:left w:val="nil"/>
              <w:bottom w:val="single" w:sz="4" w:space="0" w:color="auto"/>
              <w:right w:val="single" w:sz="4" w:space="0" w:color="auto"/>
            </w:tcBorders>
            <w:noWrap/>
            <w:vAlign w:val="center"/>
            <w:hideMark/>
          </w:tcPr>
          <w:p w14:paraId="0B33FD9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42.3%</w:t>
            </w:r>
          </w:p>
        </w:tc>
        <w:tc>
          <w:tcPr>
            <w:tcW w:w="648" w:type="dxa"/>
            <w:tcBorders>
              <w:top w:val="nil"/>
              <w:left w:val="nil"/>
              <w:bottom w:val="single" w:sz="4" w:space="0" w:color="auto"/>
              <w:right w:val="single" w:sz="4" w:space="0" w:color="auto"/>
            </w:tcBorders>
            <w:noWrap/>
            <w:vAlign w:val="center"/>
            <w:hideMark/>
          </w:tcPr>
          <w:p w14:paraId="6493322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26.6%</w:t>
            </w:r>
          </w:p>
        </w:tc>
        <w:tc>
          <w:tcPr>
            <w:tcW w:w="648" w:type="dxa"/>
            <w:tcBorders>
              <w:top w:val="nil"/>
              <w:left w:val="nil"/>
              <w:bottom w:val="single" w:sz="4" w:space="0" w:color="auto"/>
              <w:right w:val="single" w:sz="4" w:space="0" w:color="auto"/>
            </w:tcBorders>
            <w:noWrap/>
            <w:vAlign w:val="center"/>
            <w:hideMark/>
          </w:tcPr>
          <w:p w14:paraId="7DF744B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29.9%</w:t>
            </w:r>
          </w:p>
        </w:tc>
        <w:tc>
          <w:tcPr>
            <w:tcW w:w="648" w:type="dxa"/>
            <w:tcBorders>
              <w:top w:val="nil"/>
              <w:left w:val="nil"/>
              <w:bottom w:val="single" w:sz="4" w:space="0" w:color="auto"/>
              <w:right w:val="single" w:sz="4" w:space="0" w:color="auto"/>
            </w:tcBorders>
            <w:noWrap/>
            <w:vAlign w:val="center"/>
            <w:hideMark/>
          </w:tcPr>
          <w:p w14:paraId="12146F8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38.1%</w:t>
            </w:r>
          </w:p>
        </w:tc>
        <w:tc>
          <w:tcPr>
            <w:tcW w:w="663" w:type="dxa"/>
            <w:tcBorders>
              <w:top w:val="nil"/>
              <w:left w:val="nil"/>
              <w:bottom w:val="single" w:sz="4" w:space="0" w:color="auto"/>
              <w:right w:val="single" w:sz="4" w:space="0" w:color="auto"/>
            </w:tcBorders>
            <w:noWrap/>
            <w:vAlign w:val="center"/>
            <w:hideMark/>
          </w:tcPr>
          <w:p w14:paraId="3506A34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47.0%</w:t>
            </w:r>
          </w:p>
        </w:tc>
        <w:tc>
          <w:tcPr>
            <w:tcW w:w="663" w:type="dxa"/>
            <w:tcBorders>
              <w:top w:val="nil"/>
              <w:left w:val="nil"/>
              <w:bottom w:val="single" w:sz="4" w:space="0" w:color="auto"/>
              <w:right w:val="single" w:sz="4" w:space="0" w:color="auto"/>
            </w:tcBorders>
            <w:noWrap/>
            <w:vAlign w:val="center"/>
            <w:hideMark/>
          </w:tcPr>
          <w:p w14:paraId="5AB26E2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30.5%</w:t>
            </w:r>
          </w:p>
        </w:tc>
        <w:tc>
          <w:tcPr>
            <w:tcW w:w="663" w:type="dxa"/>
            <w:tcBorders>
              <w:top w:val="nil"/>
              <w:left w:val="nil"/>
              <w:bottom w:val="single" w:sz="4" w:space="0" w:color="auto"/>
              <w:right w:val="single" w:sz="4" w:space="0" w:color="auto"/>
            </w:tcBorders>
            <w:noWrap/>
            <w:vAlign w:val="center"/>
            <w:hideMark/>
          </w:tcPr>
          <w:p w14:paraId="0A37963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40.8%</w:t>
            </w:r>
          </w:p>
        </w:tc>
        <w:tc>
          <w:tcPr>
            <w:tcW w:w="648" w:type="dxa"/>
            <w:tcBorders>
              <w:top w:val="nil"/>
              <w:left w:val="nil"/>
              <w:bottom w:val="single" w:sz="4" w:space="0" w:color="auto"/>
              <w:right w:val="single" w:sz="4" w:space="0" w:color="auto"/>
            </w:tcBorders>
            <w:noWrap/>
            <w:vAlign w:val="center"/>
            <w:hideMark/>
          </w:tcPr>
          <w:p w14:paraId="118ABEF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23.1%</w:t>
            </w:r>
          </w:p>
        </w:tc>
        <w:tc>
          <w:tcPr>
            <w:tcW w:w="648" w:type="dxa"/>
            <w:tcBorders>
              <w:top w:val="nil"/>
              <w:left w:val="nil"/>
              <w:bottom w:val="single" w:sz="4" w:space="0" w:color="auto"/>
              <w:right w:val="single" w:sz="4" w:space="0" w:color="auto"/>
            </w:tcBorders>
            <w:noWrap/>
            <w:vAlign w:val="center"/>
            <w:hideMark/>
          </w:tcPr>
          <w:p w14:paraId="12CC83F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25.8%</w:t>
            </w:r>
          </w:p>
        </w:tc>
        <w:tc>
          <w:tcPr>
            <w:tcW w:w="648" w:type="dxa"/>
            <w:tcBorders>
              <w:top w:val="nil"/>
              <w:left w:val="nil"/>
              <w:bottom w:val="single" w:sz="4" w:space="0" w:color="auto"/>
              <w:right w:val="single" w:sz="4" w:space="0" w:color="auto"/>
            </w:tcBorders>
            <w:noWrap/>
            <w:vAlign w:val="center"/>
            <w:hideMark/>
          </w:tcPr>
          <w:p w14:paraId="4AEF4EB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30.6%</w:t>
            </w:r>
          </w:p>
        </w:tc>
        <w:tc>
          <w:tcPr>
            <w:tcW w:w="663" w:type="dxa"/>
            <w:tcBorders>
              <w:top w:val="nil"/>
              <w:left w:val="nil"/>
              <w:bottom w:val="single" w:sz="4" w:space="0" w:color="auto"/>
              <w:right w:val="single" w:sz="4" w:space="0" w:color="auto"/>
            </w:tcBorders>
            <w:noWrap/>
            <w:vAlign w:val="center"/>
            <w:hideMark/>
          </w:tcPr>
          <w:p w14:paraId="59AC380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41.2%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EEDFAB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36.3%</w:t>
            </w:r>
          </w:p>
        </w:tc>
      </w:tr>
      <w:tr w:rsidR="00D702AF" w:rsidRPr="001A2D42" w14:paraId="54314984"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1DB05E8E" w14:textId="45517B30"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Inicio y participación en el tratamiento del SUD: Participación</w:t>
            </w:r>
          </w:p>
        </w:tc>
        <w:tc>
          <w:tcPr>
            <w:tcW w:w="648" w:type="dxa"/>
            <w:tcBorders>
              <w:top w:val="nil"/>
              <w:left w:val="nil"/>
              <w:bottom w:val="single" w:sz="4" w:space="0" w:color="auto"/>
              <w:right w:val="single" w:sz="4" w:space="0" w:color="auto"/>
            </w:tcBorders>
            <w:noWrap/>
            <w:vAlign w:val="center"/>
            <w:hideMark/>
          </w:tcPr>
          <w:p w14:paraId="12281C6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15.9%</w:t>
            </w:r>
          </w:p>
        </w:tc>
        <w:tc>
          <w:tcPr>
            <w:tcW w:w="648" w:type="dxa"/>
            <w:tcBorders>
              <w:top w:val="nil"/>
              <w:left w:val="nil"/>
              <w:bottom w:val="single" w:sz="4" w:space="0" w:color="auto"/>
              <w:right w:val="single" w:sz="4" w:space="0" w:color="auto"/>
            </w:tcBorders>
            <w:noWrap/>
            <w:vAlign w:val="center"/>
            <w:hideMark/>
          </w:tcPr>
          <w:p w14:paraId="27D6FC8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13.3%</w:t>
            </w:r>
          </w:p>
        </w:tc>
        <w:tc>
          <w:tcPr>
            <w:tcW w:w="648" w:type="dxa"/>
            <w:tcBorders>
              <w:top w:val="nil"/>
              <w:left w:val="nil"/>
              <w:bottom w:val="single" w:sz="4" w:space="0" w:color="auto"/>
              <w:right w:val="single" w:sz="4" w:space="0" w:color="auto"/>
            </w:tcBorders>
            <w:noWrap/>
            <w:vAlign w:val="center"/>
            <w:hideMark/>
          </w:tcPr>
          <w:p w14:paraId="7DA1AD3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20.2%</w:t>
            </w:r>
          </w:p>
        </w:tc>
        <w:tc>
          <w:tcPr>
            <w:tcW w:w="663" w:type="dxa"/>
            <w:tcBorders>
              <w:top w:val="nil"/>
              <w:left w:val="nil"/>
              <w:bottom w:val="single" w:sz="4" w:space="0" w:color="auto"/>
              <w:right w:val="single" w:sz="4" w:space="0" w:color="auto"/>
            </w:tcBorders>
            <w:noWrap/>
            <w:vAlign w:val="center"/>
            <w:hideMark/>
          </w:tcPr>
          <w:p w14:paraId="3E7EF45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14.6%</w:t>
            </w:r>
          </w:p>
        </w:tc>
        <w:tc>
          <w:tcPr>
            <w:tcW w:w="648" w:type="dxa"/>
            <w:tcBorders>
              <w:top w:val="nil"/>
              <w:left w:val="nil"/>
              <w:bottom w:val="single" w:sz="4" w:space="0" w:color="auto"/>
              <w:right w:val="single" w:sz="4" w:space="0" w:color="auto"/>
            </w:tcBorders>
            <w:noWrap/>
            <w:vAlign w:val="center"/>
            <w:hideMark/>
          </w:tcPr>
          <w:p w14:paraId="2770940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13.6%</w:t>
            </w:r>
          </w:p>
        </w:tc>
        <w:tc>
          <w:tcPr>
            <w:tcW w:w="648" w:type="dxa"/>
            <w:tcBorders>
              <w:top w:val="nil"/>
              <w:left w:val="nil"/>
              <w:bottom w:val="single" w:sz="4" w:space="0" w:color="auto"/>
              <w:right w:val="single" w:sz="4" w:space="0" w:color="auto"/>
            </w:tcBorders>
            <w:noWrap/>
            <w:vAlign w:val="center"/>
            <w:hideMark/>
          </w:tcPr>
          <w:p w14:paraId="24EBDC5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19.1%</w:t>
            </w:r>
          </w:p>
        </w:tc>
        <w:tc>
          <w:tcPr>
            <w:tcW w:w="648" w:type="dxa"/>
            <w:tcBorders>
              <w:top w:val="nil"/>
              <w:left w:val="nil"/>
              <w:bottom w:val="single" w:sz="4" w:space="0" w:color="auto"/>
              <w:right w:val="single" w:sz="4" w:space="0" w:color="auto"/>
            </w:tcBorders>
            <w:noWrap/>
            <w:vAlign w:val="center"/>
            <w:hideMark/>
          </w:tcPr>
          <w:p w14:paraId="07718D0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19.9%</w:t>
            </w:r>
          </w:p>
        </w:tc>
        <w:tc>
          <w:tcPr>
            <w:tcW w:w="648" w:type="dxa"/>
            <w:tcBorders>
              <w:top w:val="nil"/>
              <w:left w:val="nil"/>
              <w:bottom w:val="single" w:sz="4" w:space="0" w:color="auto"/>
              <w:right w:val="single" w:sz="4" w:space="0" w:color="auto"/>
            </w:tcBorders>
            <w:noWrap/>
            <w:vAlign w:val="center"/>
            <w:hideMark/>
          </w:tcPr>
          <w:p w14:paraId="2A3B92E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16.1%</w:t>
            </w:r>
          </w:p>
        </w:tc>
        <w:tc>
          <w:tcPr>
            <w:tcW w:w="648" w:type="dxa"/>
            <w:tcBorders>
              <w:top w:val="nil"/>
              <w:left w:val="nil"/>
              <w:bottom w:val="single" w:sz="4" w:space="0" w:color="auto"/>
              <w:right w:val="single" w:sz="4" w:space="0" w:color="auto"/>
            </w:tcBorders>
            <w:noWrap/>
            <w:vAlign w:val="center"/>
            <w:hideMark/>
          </w:tcPr>
          <w:p w14:paraId="4A7F16C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18.1%</w:t>
            </w:r>
          </w:p>
        </w:tc>
        <w:tc>
          <w:tcPr>
            <w:tcW w:w="663" w:type="dxa"/>
            <w:tcBorders>
              <w:top w:val="nil"/>
              <w:left w:val="nil"/>
              <w:bottom w:val="single" w:sz="4" w:space="0" w:color="auto"/>
              <w:right w:val="single" w:sz="4" w:space="0" w:color="auto"/>
            </w:tcBorders>
            <w:noWrap/>
            <w:vAlign w:val="center"/>
            <w:hideMark/>
          </w:tcPr>
          <w:p w14:paraId="0898F9D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w:t>
            </w:r>
          </w:p>
        </w:tc>
        <w:tc>
          <w:tcPr>
            <w:tcW w:w="663" w:type="dxa"/>
            <w:tcBorders>
              <w:top w:val="nil"/>
              <w:left w:val="nil"/>
              <w:bottom w:val="single" w:sz="4" w:space="0" w:color="auto"/>
              <w:right w:val="single" w:sz="4" w:space="0" w:color="auto"/>
            </w:tcBorders>
            <w:noWrap/>
            <w:vAlign w:val="center"/>
            <w:hideMark/>
          </w:tcPr>
          <w:p w14:paraId="6FB4FC5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18.1%</w:t>
            </w:r>
          </w:p>
        </w:tc>
        <w:tc>
          <w:tcPr>
            <w:tcW w:w="663" w:type="dxa"/>
            <w:tcBorders>
              <w:top w:val="nil"/>
              <w:left w:val="nil"/>
              <w:bottom w:val="single" w:sz="4" w:space="0" w:color="auto"/>
              <w:right w:val="single" w:sz="4" w:space="0" w:color="auto"/>
            </w:tcBorders>
            <w:noWrap/>
            <w:vAlign w:val="center"/>
            <w:hideMark/>
          </w:tcPr>
          <w:p w14:paraId="0D40F2D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16.1%</w:t>
            </w:r>
          </w:p>
        </w:tc>
        <w:tc>
          <w:tcPr>
            <w:tcW w:w="648" w:type="dxa"/>
            <w:tcBorders>
              <w:top w:val="nil"/>
              <w:left w:val="nil"/>
              <w:bottom w:val="single" w:sz="4" w:space="0" w:color="auto"/>
              <w:right w:val="single" w:sz="4" w:space="0" w:color="auto"/>
            </w:tcBorders>
            <w:noWrap/>
            <w:vAlign w:val="center"/>
            <w:hideMark/>
          </w:tcPr>
          <w:p w14:paraId="0FB0F12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19.1%</w:t>
            </w:r>
          </w:p>
        </w:tc>
        <w:tc>
          <w:tcPr>
            <w:tcW w:w="648" w:type="dxa"/>
            <w:tcBorders>
              <w:top w:val="nil"/>
              <w:left w:val="nil"/>
              <w:bottom w:val="single" w:sz="4" w:space="0" w:color="auto"/>
              <w:right w:val="single" w:sz="4" w:space="0" w:color="auto"/>
            </w:tcBorders>
            <w:noWrap/>
            <w:vAlign w:val="center"/>
            <w:hideMark/>
          </w:tcPr>
          <w:p w14:paraId="1220573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17.9%</w:t>
            </w:r>
          </w:p>
        </w:tc>
        <w:tc>
          <w:tcPr>
            <w:tcW w:w="648" w:type="dxa"/>
            <w:tcBorders>
              <w:top w:val="nil"/>
              <w:left w:val="nil"/>
              <w:bottom w:val="single" w:sz="4" w:space="0" w:color="auto"/>
              <w:right w:val="single" w:sz="4" w:space="0" w:color="auto"/>
            </w:tcBorders>
            <w:noWrap/>
            <w:vAlign w:val="center"/>
            <w:hideMark/>
          </w:tcPr>
          <w:p w14:paraId="7DBE779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18.3%</w:t>
            </w:r>
          </w:p>
        </w:tc>
        <w:tc>
          <w:tcPr>
            <w:tcW w:w="663" w:type="dxa"/>
            <w:tcBorders>
              <w:top w:val="nil"/>
              <w:left w:val="nil"/>
              <w:bottom w:val="single" w:sz="4" w:space="0" w:color="auto"/>
              <w:right w:val="single" w:sz="4" w:space="0" w:color="auto"/>
            </w:tcBorders>
            <w:noWrap/>
            <w:vAlign w:val="center"/>
            <w:hideMark/>
          </w:tcPr>
          <w:p w14:paraId="0F001A2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18.4%</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1F7382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17.5%</w:t>
            </w:r>
          </w:p>
        </w:tc>
      </w:tr>
      <w:tr w:rsidR="00D702AF" w:rsidRPr="001A2D42" w14:paraId="268790C6"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01DE2CA4" w14:textId="61EFC032"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Inicio y participación en el tratamiento del SUD: Inicio</w:t>
            </w:r>
          </w:p>
        </w:tc>
        <w:tc>
          <w:tcPr>
            <w:tcW w:w="648" w:type="dxa"/>
            <w:tcBorders>
              <w:top w:val="nil"/>
              <w:left w:val="nil"/>
              <w:bottom w:val="single" w:sz="4" w:space="0" w:color="auto"/>
              <w:right w:val="single" w:sz="4" w:space="0" w:color="auto"/>
            </w:tcBorders>
            <w:noWrap/>
            <w:vAlign w:val="center"/>
            <w:hideMark/>
          </w:tcPr>
          <w:p w14:paraId="4363415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44.5%</w:t>
            </w:r>
          </w:p>
        </w:tc>
        <w:tc>
          <w:tcPr>
            <w:tcW w:w="648" w:type="dxa"/>
            <w:tcBorders>
              <w:top w:val="nil"/>
              <w:left w:val="nil"/>
              <w:bottom w:val="single" w:sz="4" w:space="0" w:color="auto"/>
              <w:right w:val="single" w:sz="4" w:space="0" w:color="auto"/>
            </w:tcBorders>
            <w:noWrap/>
            <w:vAlign w:val="center"/>
            <w:hideMark/>
          </w:tcPr>
          <w:p w14:paraId="51CE24B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41.5%</w:t>
            </w:r>
          </w:p>
        </w:tc>
        <w:tc>
          <w:tcPr>
            <w:tcW w:w="648" w:type="dxa"/>
            <w:tcBorders>
              <w:top w:val="nil"/>
              <w:left w:val="nil"/>
              <w:bottom w:val="single" w:sz="4" w:space="0" w:color="auto"/>
              <w:right w:val="single" w:sz="4" w:space="0" w:color="auto"/>
            </w:tcBorders>
            <w:noWrap/>
            <w:vAlign w:val="center"/>
            <w:hideMark/>
          </w:tcPr>
          <w:p w14:paraId="6C641C6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47.5%</w:t>
            </w:r>
          </w:p>
        </w:tc>
        <w:tc>
          <w:tcPr>
            <w:tcW w:w="663" w:type="dxa"/>
            <w:tcBorders>
              <w:top w:val="nil"/>
              <w:left w:val="nil"/>
              <w:bottom w:val="single" w:sz="4" w:space="0" w:color="auto"/>
              <w:right w:val="single" w:sz="4" w:space="0" w:color="auto"/>
            </w:tcBorders>
            <w:noWrap/>
            <w:vAlign w:val="center"/>
            <w:hideMark/>
          </w:tcPr>
          <w:p w14:paraId="57A1BE8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36.3%</w:t>
            </w:r>
          </w:p>
        </w:tc>
        <w:tc>
          <w:tcPr>
            <w:tcW w:w="648" w:type="dxa"/>
            <w:tcBorders>
              <w:top w:val="nil"/>
              <w:left w:val="nil"/>
              <w:bottom w:val="single" w:sz="4" w:space="0" w:color="auto"/>
              <w:right w:val="single" w:sz="4" w:space="0" w:color="auto"/>
            </w:tcBorders>
            <w:noWrap/>
            <w:vAlign w:val="center"/>
            <w:hideMark/>
          </w:tcPr>
          <w:p w14:paraId="7316521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36.3%</w:t>
            </w:r>
          </w:p>
        </w:tc>
        <w:tc>
          <w:tcPr>
            <w:tcW w:w="648" w:type="dxa"/>
            <w:tcBorders>
              <w:top w:val="nil"/>
              <w:left w:val="nil"/>
              <w:bottom w:val="single" w:sz="4" w:space="0" w:color="auto"/>
              <w:right w:val="single" w:sz="4" w:space="0" w:color="auto"/>
            </w:tcBorders>
            <w:noWrap/>
            <w:vAlign w:val="center"/>
            <w:hideMark/>
          </w:tcPr>
          <w:p w14:paraId="3A577C5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46.0%</w:t>
            </w:r>
          </w:p>
        </w:tc>
        <w:tc>
          <w:tcPr>
            <w:tcW w:w="648" w:type="dxa"/>
            <w:tcBorders>
              <w:top w:val="nil"/>
              <w:left w:val="nil"/>
              <w:bottom w:val="single" w:sz="4" w:space="0" w:color="auto"/>
              <w:right w:val="single" w:sz="4" w:space="0" w:color="auto"/>
            </w:tcBorders>
            <w:noWrap/>
            <w:vAlign w:val="center"/>
            <w:hideMark/>
          </w:tcPr>
          <w:p w14:paraId="494AF77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42.1%</w:t>
            </w:r>
          </w:p>
        </w:tc>
        <w:tc>
          <w:tcPr>
            <w:tcW w:w="648" w:type="dxa"/>
            <w:tcBorders>
              <w:top w:val="nil"/>
              <w:left w:val="nil"/>
              <w:bottom w:val="single" w:sz="4" w:space="0" w:color="auto"/>
              <w:right w:val="single" w:sz="4" w:space="0" w:color="auto"/>
            </w:tcBorders>
            <w:noWrap/>
            <w:vAlign w:val="center"/>
            <w:hideMark/>
          </w:tcPr>
          <w:p w14:paraId="5C05725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40.1%</w:t>
            </w:r>
          </w:p>
        </w:tc>
        <w:tc>
          <w:tcPr>
            <w:tcW w:w="648" w:type="dxa"/>
            <w:tcBorders>
              <w:top w:val="nil"/>
              <w:left w:val="nil"/>
              <w:bottom w:val="single" w:sz="4" w:space="0" w:color="auto"/>
              <w:right w:val="single" w:sz="4" w:space="0" w:color="auto"/>
            </w:tcBorders>
            <w:noWrap/>
            <w:vAlign w:val="center"/>
            <w:hideMark/>
          </w:tcPr>
          <w:p w14:paraId="58005E1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41.0%</w:t>
            </w:r>
          </w:p>
        </w:tc>
        <w:tc>
          <w:tcPr>
            <w:tcW w:w="663" w:type="dxa"/>
            <w:tcBorders>
              <w:top w:val="nil"/>
              <w:left w:val="nil"/>
              <w:bottom w:val="single" w:sz="4" w:space="0" w:color="auto"/>
              <w:right w:val="single" w:sz="4" w:space="0" w:color="auto"/>
            </w:tcBorders>
            <w:noWrap/>
            <w:vAlign w:val="center"/>
            <w:hideMark/>
          </w:tcPr>
          <w:p w14:paraId="2126036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28.0%</w:t>
            </w:r>
          </w:p>
        </w:tc>
        <w:tc>
          <w:tcPr>
            <w:tcW w:w="663" w:type="dxa"/>
            <w:tcBorders>
              <w:top w:val="nil"/>
              <w:left w:val="nil"/>
              <w:bottom w:val="single" w:sz="4" w:space="0" w:color="auto"/>
              <w:right w:val="single" w:sz="4" w:space="0" w:color="auto"/>
            </w:tcBorders>
            <w:noWrap/>
            <w:vAlign w:val="center"/>
            <w:hideMark/>
          </w:tcPr>
          <w:p w14:paraId="4A5C591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41.8%</w:t>
            </w:r>
          </w:p>
        </w:tc>
        <w:tc>
          <w:tcPr>
            <w:tcW w:w="663" w:type="dxa"/>
            <w:tcBorders>
              <w:top w:val="nil"/>
              <w:left w:val="nil"/>
              <w:bottom w:val="single" w:sz="4" w:space="0" w:color="auto"/>
              <w:right w:val="single" w:sz="4" w:space="0" w:color="auto"/>
            </w:tcBorders>
            <w:noWrap/>
            <w:vAlign w:val="center"/>
            <w:hideMark/>
          </w:tcPr>
          <w:p w14:paraId="53D35BD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38.3%</w:t>
            </w:r>
          </w:p>
        </w:tc>
        <w:tc>
          <w:tcPr>
            <w:tcW w:w="648" w:type="dxa"/>
            <w:tcBorders>
              <w:top w:val="nil"/>
              <w:left w:val="nil"/>
              <w:bottom w:val="single" w:sz="4" w:space="0" w:color="auto"/>
              <w:right w:val="single" w:sz="4" w:space="0" w:color="auto"/>
            </w:tcBorders>
            <w:noWrap/>
            <w:vAlign w:val="center"/>
            <w:hideMark/>
          </w:tcPr>
          <w:p w14:paraId="6E772AA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49.1%</w:t>
            </w:r>
          </w:p>
        </w:tc>
        <w:tc>
          <w:tcPr>
            <w:tcW w:w="648" w:type="dxa"/>
            <w:tcBorders>
              <w:top w:val="nil"/>
              <w:left w:val="nil"/>
              <w:bottom w:val="single" w:sz="4" w:space="0" w:color="auto"/>
              <w:right w:val="single" w:sz="4" w:space="0" w:color="auto"/>
            </w:tcBorders>
            <w:noWrap/>
            <w:vAlign w:val="center"/>
            <w:hideMark/>
          </w:tcPr>
          <w:p w14:paraId="6CAD64C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41.3%</w:t>
            </w:r>
          </w:p>
        </w:tc>
        <w:tc>
          <w:tcPr>
            <w:tcW w:w="648" w:type="dxa"/>
            <w:tcBorders>
              <w:top w:val="nil"/>
              <w:left w:val="nil"/>
              <w:bottom w:val="single" w:sz="4" w:space="0" w:color="auto"/>
              <w:right w:val="single" w:sz="4" w:space="0" w:color="auto"/>
            </w:tcBorders>
            <w:noWrap/>
            <w:vAlign w:val="center"/>
            <w:hideMark/>
          </w:tcPr>
          <w:p w14:paraId="52FFDAA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40.0%</w:t>
            </w:r>
          </w:p>
        </w:tc>
        <w:tc>
          <w:tcPr>
            <w:tcW w:w="663" w:type="dxa"/>
            <w:tcBorders>
              <w:top w:val="nil"/>
              <w:left w:val="nil"/>
              <w:bottom w:val="single" w:sz="4" w:space="0" w:color="auto"/>
              <w:right w:val="single" w:sz="4" w:space="0" w:color="auto"/>
            </w:tcBorders>
            <w:noWrap/>
            <w:vAlign w:val="center"/>
            <w:hideMark/>
          </w:tcPr>
          <w:p w14:paraId="3C74AAC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39.6%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2C7D01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42.4%</w:t>
            </w:r>
          </w:p>
        </w:tc>
      </w:tr>
      <w:tr w:rsidR="00D702AF" w:rsidRPr="001A2D42" w14:paraId="18E16D6C"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39C9C429"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Acceso significativo al idioma (equidad en salud)</w:t>
            </w:r>
          </w:p>
        </w:tc>
        <w:tc>
          <w:tcPr>
            <w:tcW w:w="648" w:type="dxa"/>
            <w:tcBorders>
              <w:top w:val="nil"/>
              <w:left w:val="nil"/>
              <w:bottom w:val="single" w:sz="4" w:space="0" w:color="auto"/>
              <w:right w:val="single" w:sz="4" w:space="0" w:color="auto"/>
            </w:tcBorders>
            <w:noWrap/>
            <w:vAlign w:val="center"/>
            <w:hideMark/>
          </w:tcPr>
          <w:p w14:paraId="0C7736A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w:t>
            </w:r>
          </w:p>
        </w:tc>
        <w:tc>
          <w:tcPr>
            <w:tcW w:w="648" w:type="dxa"/>
            <w:tcBorders>
              <w:top w:val="nil"/>
              <w:left w:val="nil"/>
              <w:bottom w:val="single" w:sz="4" w:space="0" w:color="auto"/>
              <w:right w:val="single" w:sz="4" w:space="0" w:color="auto"/>
            </w:tcBorders>
            <w:noWrap/>
            <w:vAlign w:val="center"/>
            <w:hideMark/>
          </w:tcPr>
          <w:p w14:paraId="5477A13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15.7%</w:t>
            </w:r>
          </w:p>
        </w:tc>
        <w:tc>
          <w:tcPr>
            <w:tcW w:w="648" w:type="dxa"/>
            <w:tcBorders>
              <w:top w:val="nil"/>
              <w:left w:val="nil"/>
              <w:bottom w:val="single" w:sz="4" w:space="0" w:color="auto"/>
              <w:right w:val="single" w:sz="4" w:space="0" w:color="auto"/>
            </w:tcBorders>
            <w:noWrap/>
            <w:vAlign w:val="center"/>
            <w:hideMark/>
          </w:tcPr>
          <w:p w14:paraId="0C71B0C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11.1%</w:t>
            </w:r>
          </w:p>
        </w:tc>
        <w:tc>
          <w:tcPr>
            <w:tcW w:w="663" w:type="dxa"/>
            <w:tcBorders>
              <w:top w:val="nil"/>
              <w:left w:val="nil"/>
              <w:bottom w:val="single" w:sz="4" w:space="0" w:color="auto"/>
              <w:right w:val="single" w:sz="4" w:space="0" w:color="auto"/>
            </w:tcBorders>
            <w:noWrap/>
            <w:vAlign w:val="center"/>
            <w:hideMark/>
          </w:tcPr>
          <w:p w14:paraId="009863D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w:t>
            </w:r>
          </w:p>
        </w:tc>
        <w:tc>
          <w:tcPr>
            <w:tcW w:w="648" w:type="dxa"/>
            <w:tcBorders>
              <w:top w:val="nil"/>
              <w:left w:val="nil"/>
              <w:bottom w:val="single" w:sz="4" w:space="0" w:color="auto"/>
              <w:right w:val="single" w:sz="4" w:space="0" w:color="auto"/>
            </w:tcBorders>
            <w:noWrap/>
            <w:vAlign w:val="center"/>
            <w:hideMark/>
          </w:tcPr>
          <w:p w14:paraId="713A1D5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8.0%</w:t>
            </w:r>
          </w:p>
        </w:tc>
        <w:tc>
          <w:tcPr>
            <w:tcW w:w="648" w:type="dxa"/>
            <w:tcBorders>
              <w:top w:val="nil"/>
              <w:left w:val="nil"/>
              <w:bottom w:val="single" w:sz="4" w:space="0" w:color="auto"/>
              <w:right w:val="single" w:sz="4" w:space="0" w:color="auto"/>
            </w:tcBorders>
            <w:noWrap/>
            <w:vAlign w:val="center"/>
            <w:hideMark/>
          </w:tcPr>
          <w:p w14:paraId="5D859430" w14:textId="126494C5" w:rsidR="00D702AF" w:rsidRPr="001A2D42" w:rsidRDefault="00EA7B0C" w:rsidP="003B32F9">
            <w:pPr>
              <w:spacing w:after="0" w:line="240" w:lineRule="auto"/>
              <w:jc w:val="center"/>
              <w:rPr>
                <w:rFonts w:ascii="Aptos Display" w:eastAsia="Times New Roman" w:hAnsi="Aptos Display" w:cs="Arial"/>
                <w:kern w:val="0"/>
                <w:sz w:val="20"/>
                <w:szCs w:val="20"/>
                <w14:ligatures w14:val="none"/>
              </w:rPr>
            </w:pPr>
            <w:r>
              <w:rPr>
                <w:rFonts w:ascii="Aptos Display" w:eastAsia="Times New Roman" w:hAnsi="Aptos Display" w:cs="Arial"/>
                <w:kern w:val="0"/>
                <w:sz w:val="20"/>
                <w:szCs w:val="20"/>
                <w:lang w:bidi="es-419"/>
                <w14:ligatures w14:val="none"/>
              </w:rPr>
              <w:t>20.4</w:t>
            </w:r>
            <w:r w:rsidR="00D702AF" w:rsidRPr="001A2D42">
              <w:rPr>
                <w:rFonts w:ascii="Aptos Display" w:eastAsia="Times New Roman" w:hAnsi="Aptos Display" w:cs="Arial"/>
                <w:kern w:val="0"/>
                <w:sz w:val="20"/>
                <w:szCs w:val="20"/>
                <w:lang w:bidi="es-419"/>
                <w14:ligatures w14:val="none"/>
              </w:rPr>
              <w:t>%</w:t>
            </w:r>
          </w:p>
        </w:tc>
        <w:tc>
          <w:tcPr>
            <w:tcW w:w="648" w:type="dxa"/>
            <w:tcBorders>
              <w:top w:val="nil"/>
              <w:left w:val="nil"/>
              <w:bottom w:val="single" w:sz="4" w:space="0" w:color="auto"/>
              <w:right w:val="single" w:sz="4" w:space="0" w:color="auto"/>
            </w:tcBorders>
            <w:noWrap/>
            <w:vAlign w:val="center"/>
            <w:hideMark/>
          </w:tcPr>
          <w:p w14:paraId="6892D02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3.8%</w:t>
            </w:r>
          </w:p>
        </w:tc>
        <w:tc>
          <w:tcPr>
            <w:tcW w:w="648" w:type="dxa"/>
            <w:tcBorders>
              <w:top w:val="nil"/>
              <w:left w:val="nil"/>
              <w:bottom w:val="single" w:sz="4" w:space="0" w:color="auto"/>
              <w:right w:val="single" w:sz="4" w:space="0" w:color="auto"/>
            </w:tcBorders>
            <w:noWrap/>
            <w:vAlign w:val="center"/>
            <w:hideMark/>
          </w:tcPr>
          <w:p w14:paraId="634926E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10.6%</w:t>
            </w:r>
          </w:p>
        </w:tc>
        <w:tc>
          <w:tcPr>
            <w:tcW w:w="648" w:type="dxa"/>
            <w:tcBorders>
              <w:top w:val="nil"/>
              <w:left w:val="nil"/>
              <w:bottom w:val="single" w:sz="4" w:space="0" w:color="auto"/>
              <w:right w:val="single" w:sz="4" w:space="0" w:color="auto"/>
            </w:tcBorders>
            <w:noWrap/>
            <w:vAlign w:val="center"/>
            <w:hideMark/>
          </w:tcPr>
          <w:p w14:paraId="0866AD5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12.6%</w:t>
            </w:r>
          </w:p>
        </w:tc>
        <w:tc>
          <w:tcPr>
            <w:tcW w:w="663" w:type="dxa"/>
            <w:tcBorders>
              <w:top w:val="nil"/>
              <w:left w:val="nil"/>
              <w:bottom w:val="single" w:sz="4" w:space="0" w:color="auto"/>
              <w:right w:val="single" w:sz="4" w:space="0" w:color="auto"/>
            </w:tcBorders>
            <w:noWrap/>
            <w:vAlign w:val="center"/>
            <w:hideMark/>
          </w:tcPr>
          <w:p w14:paraId="6613826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18.8%</w:t>
            </w:r>
          </w:p>
        </w:tc>
        <w:tc>
          <w:tcPr>
            <w:tcW w:w="663" w:type="dxa"/>
            <w:tcBorders>
              <w:top w:val="nil"/>
              <w:left w:val="nil"/>
              <w:bottom w:val="single" w:sz="4" w:space="0" w:color="auto"/>
              <w:right w:val="single" w:sz="4" w:space="0" w:color="auto"/>
            </w:tcBorders>
            <w:noWrap/>
            <w:vAlign w:val="center"/>
            <w:hideMark/>
          </w:tcPr>
          <w:p w14:paraId="157F311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12.2%</w:t>
            </w:r>
          </w:p>
        </w:tc>
        <w:tc>
          <w:tcPr>
            <w:tcW w:w="663" w:type="dxa"/>
            <w:tcBorders>
              <w:top w:val="nil"/>
              <w:left w:val="nil"/>
              <w:bottom w:val="single" w:sz="4" w:space="0" w:color="auto"/>
              <w:right w:val="single" w:sz="4" w:space="0" w:color="auto"/>
            </w:tcBorders>
            <w:noWrap/>
            <w:vAlign w:val="center"/>
            <w:hideMark/>
          </w:tcPr>
          <w:p w14:paraId="4B8B209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14.9%</w:t>
            </w:r>
          </w:p>
        </w:tc>
        <w:tc>
          <w:tcPr>
            <w:tcW w:w="648" w:type="dxa"/>
            <w:tcBorders>
              <w:top w:val="nil"/>
              <w:left w:val="nil"/>
              <w:bottom w:val="single" w:sz="4" w:space="0" w:color="auto"/>
              <w:right w:val="single" w:sz="4" w:space="0" w:color="auto"/>
            </w:tcBorders>
            <w:noWrap/>
            <w:vAlign w:val="center"/>
            <w:hideMark/>
          </w:tcPr>
          <w:p w14:paraId="336EF80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23.2%</w:t>
            </w:r>
          </w:p>
        </w:tc>
        <w:tc>
          <w:tcPr>
            <w:tcW w:w="648" w:type="dxa"/>
            <w:tcBorders>
              <w:top w:val="nil"/>
              <w:left w:val="nil"/>
              <w:bottom w:val="single" w:sz="4" w:space="0" w:color="auto"/>
              <w:right w:val="single" w:sz="4" w:space="0" w:color="auto"/>
            </w:tcBorders>
            <w:noWrap/>
            <w:vAlign w:val="center"/>
            <w:hideMark/>
          </w:tcPr>
          <w:p w14:paraId="432E324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13.9%</w:t>
            </w:r>
          </w:p>
        </w:tc>
        <w:tc>
          <w:tcPr>
            <w:tcW w:w="648" w:type="dxa"/>
            <w:tcBorders>
              <w:top w:val="nil"/>
              <w:left w:val="nil"/>
              <w:bottom w:val="single" w:sz="4" w:space="0" w:color="auto"/>
              <w:right w:val="single" w:sz="4" w:space="0" w:color="auto"/>
            </w:tcBorders>
            <w:noWrap/>
            <w:vAlign w:val="center"/>
            <w:hideMark/>
          </w:tcPr>
          <w:p w14:paraId="5E4CCDA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13.7%</w:t>
            </w:r>
          </w:p>
        </w:tc>
        <w:tc>
          <w:tcPr>
            <w:tcW w:w="663" w:type="dxa"/>
            <w:tcBorders>
              <w:top w:val="nil"/>
              <w:left w:val="nil"/>
              <w:bottom w:val="single" w:sz="4" w:space="0" w:color="auto"/>
              <w:right w:val="single" w:sz="4" w:space="0" w:color="auto"/>
            </w:tcBorders>
            <w:noWrap/>
            <w:vAlign w:val="center"/>
            <w:hideMark/>
          </w:tcPr>
          <w:p w14:paraId="437A480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21.1%</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52AE008" w14:textId="5EF20895"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w:t>
            </w:r>
            <w:r w:rsidR="00EA7B0C">
              <w:rPr>
                <w:rFonts w:ascii="Aptos Display" w:eastAsia="Times New Roman" w:hAnsi="Aptos Display" w:cs="Arial"/>
                <w:kern w:val="0"/>
                <w:sz w:val="20"/>
                <w:szCs w:val="20"/>
                <w:lang w:bidi="es-419"/>
                <w14:ligatures w14:val="none"/>
              </w:rPr>
              <w:t>7.7</w:t>
            </w:r>
            <w:r w:rsidRPr="001A2D42">
              <w:rPr>
                <w:rFonts w:ascii="Aptos Display" w:eastAsia="Times New Roman" w:hAnsi="Aptos Display" w:cs="Arial"/>
                <w:kern w:val="0"/>
                <w:sz w:val="20"/>
                <w:szCs w:val="20"/>
                <w:lang w:bidi="es-419"/>
                <w14:ligatures w14:val="none"/>
              </w:rPr>
              <w:t>%</w:t>
            </w:r>
          </w:p>
        </w:tc>
      </w:tr>
      <w:tr w:rsidR="00D702AF" w:rsidRPr="001A2D42" w14:paraId="7A531576" w14:textId="77777777" w:rsidTr="00CF74BD">
        <w:trPr>
          <w:trHeight w:val="510"/>
        </w:trPr>
        <w:tc>
          <w:tcPr>
            <w:tcW w:w="2592" w:type="dxa"/>
            <w:tcBorders>
              <w:top w:val="single" w:sz="4" w:space="0" w:color="auto"/>
              <w:left w:val="single" w:sz="4" w:space="0" w:color="auto"/>
              <w:bottom w:val="nil"/>
              <w:right w:val="single" w:sz="4" w:space="0" w:color="auto"/>
            </w:tcBorders>
            <w:vAlign w:val="center"/>
            <w:hideMark/>
          </w:tcPr>
          <w:p w14:paraId="1B2F8BE6"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lastRenderedPageBreak/>
              <w:t>Cuidados prenatales y posparto: cuidados posparto</w:t>
            </w:r>
          </w:p>
        </w:tc>
        <w:tc>
          <w:tcPr>
            <w:tcW w:w="648" w:type="dxa"/>
            <w:tcBorders>
              <w:top w:val="nil"/>
              <w:left w:val="nil"/>
              <w:bottom w:val="nil"/>
              <w:right w:val="single" w:sz="4" w:space="0" w:color="auto"/>
            </w:tcBorders>
            <w:noWrap/>
            <w:vAlign w:val="center"/>
            <w:hideMark/>
          </w:tcPr>
          <w:p w14:paraId="0A16AAD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90.7%</w:t>
            </w:r>
          </w:p>
        </w:tc>
        <w:tc>
          <w:tcPr>
            <w:tcW w:w="648" w:type="dxa"/>
            <w:tcBorders>
              <w:top w:val="nil"/>
              <w:left w:val="nil"/>
              <w:bottom w:val="nil"/>
              <w:right w:val="single" w:sz="4" w:space="0" w:color="auto"/>
            </w:tcBorders>
            <w:noWrap/>
            <w:vAlign w:val="center"/>
            <w:hideMark/>
          </w:tcPr>
          <w:p w14:paraId="22A5652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88.6%</w:t>
            </w:r>
          </w:p>
        </w:tc>
        <w:tc>
          <w:tcPr>
            <w:tcW w:w="648" w:type="dxa"/>
            <w:tcBorders>
              <w:top w:val="nil"/>
              <w:left w:val="nil"/>
              <w:bottom w:val="nil"/>
              <w:right w:val="single" w:sz="4" w:space="0" w:color="auto"/>
            </w:tcBorders>
            <w:noWrap/>
            <w:vAlign w:val="center"/>
            <w:hideMark/>
          </w:tcPr>
          <w:p w14:paraId="3E2681F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87.0%</w:t>
            </w:r>
          </w:p>
        </w:tc>
        <w:tc>
          <w:tcPr>
            <w:tcW w:w="663" w:type="dxa"/>
            <w:tcBorders>
              <w:top w:val="nil"/>
              <w:left w:val="nil"/>
              <w:bottom w:val="nil"/>
              <w:right w:val="single" w:sz="4" w:space="0" w:color="auto"/>
            </w:tcBorders>
            <w:noWrap/>
            <w:vAlign w:val="center"/>
            <w:hideMark/>
          </w:tcPr>
          <w:p w14:paraId="66543FF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88.6%</w:t>
            </w:r>
          </w:p>
        </w:tc>
        <w:tc>
          <w:tcPr>
            <w:tcW w:w="648" w:type="dxa"/>
            <w:tcBorders>
              <w:top w:val="nil"/>
              <w:left w:val="nil"/>
              <w:bottom w:val="nil"/>
              <w:right w:val="single" w:sz="4" w:space="0" w:color="auto"/>
            </w:tcBorders>
            <w:noWrap/>
            <w:vAlign w:val="center"/>
            <w:hideMark/>
          </w:tcPr>
          <w:p w14:paraId="4927984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83.0%</w:t>
            </w:r>
          </w:p>
        </w:tc>
        <w:tc>
          <w:tcPr>
            <w:tcW w:w="648" w:type="dxa"/>
            <w:tcBorders>
              <w:top w:val="nil"/>
              <w:left w:val="nil"/>
              <w:bottom w:val="nil"/>
              <w:right w:val="single" w:sz="4" w:space="0" w:color="auto"/>
            </w:tcBorders>
            <w:noWrap/>
            <w:vAlign w:val="center"/>
            <w:hideMark/>
          </w:tcPr>
          <w:p w14:paraId="0F0A1E6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87.0%</w:t>
            </w:r>
          </w:p>
        </w:tc>
        <w:tc>
          <w:tcPr>
            <w:tcW w:w="648" w:type="dxa"/>
            <w:tcBorders>
              <w:top w:val="nil"/>
              <w:left w:val="nil"/>
              <w:bottom w:val="nil"/>
              <w:right w:val="single" w:sz="4" w:space="0" w:color="auto"/>
            </w:tcBorders>
            <w:noWrap/>
            <w:vAlign w:val="center"/>
            <w:hideMark/>
          </w:tcPr>
          <w:p w14:paraId="123C64B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87.7%</w:t>
            </w:r>
          </w:p>
        </w:tc>
        <w:tc>
          <w:tcPr>
            <w:tcW w:w="648" w:type="dxa"/>
            <w:tcBorders>
              <w:top w:val="nil"/>
              <w:left w:val="nil"/>
              <w:bottom w:val="nil"/>
              <w:right w:val="single" w:sz="4" w:space="0" w:color="auto"/>
            </w:tcBorders>
            <w:noWrap/>
            <w:vAlign w:val="center"/>
            <w:hideMark/>
          </w:tcPr>
          <w:p w14:paraId="31F1063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89.1%</w:t>
            </w:r>
          </w:p>
        </w:tc>
        <w:tc>
          <w:tcPr>
            <w:tcW w:w="648" w:type="dxa"/>
            <w:tcBorders>
              <w:top w:val="nil"/>
              <w:left w:val="nil"/>
              <w:bottom w:val="nil"/>
              <w:right w:val="single" w:sz="4" w:space="0" w:color="auto"/>
            </w:tcBorders>
            <w:noWrap/>
            <w:vAlign w:val="center"/>
            <w:hideMark/>
          </w:tcPr>
          <w:p w14:paraId="0688533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88.3%</w:t>
            </w:r>
          </w:p>
        </w:tc>
        <w:tc>
          <w:tcPr>
            <w:tcW w:w="663" w:type="dxa"/>
            <w:tcBorders>
              <w:top w:val="nil"/>
              <w:left w:val="nil"/>
              <w:bottom w:val="nil"/>
              <w:right w:val="single" w:sz="4" w:space="0" w:color="auto"/>
            </w:tcBorders>
            <w:noWrap/>
            <w:vAlign w:val="center"/>
            <w:hideMark/>
          </w:tcPr>
          <w:p w14:paraId="36EDE3D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88.6%</w:t>
            </w:r>
          </w:p>
        </w:tc>
        <w:tc>
          <w:tcPr>
            <w:tcW w:w="663" w:type="dxa"/>
            <w:tcBorders>
              <w:top w:val="nil"/>
              <w:left w:val="nil"/>
              <w:bottom w:val="nil"/>
              <w:right w:val="single" w:sz="4" w:space="0" w:color="auto"/>
            </w:tcBorders>
            <w:noWrap/>
            <w:vAlign w:val="center"/>
            <w:hideMark/>
          </w:tcPr>
          <w:p w14:paraId="5F49732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88.0%</w:t>
            </w:r>
          </w:p>
        </w:tc>
        <w:tc>
          <w:tcPr>
            <w:tcW w:w="663" w:type="dxa"/>
            <w:tcBorders>
              <w:top w:val="nil"/>
              <w:left w:val="nil"/>
              <w:bottom w:val="nil"/>
              <w:right w:val="single" w:sz="4" w:space="0" w:color="auto"/>
            </w:tcBorders>
            <w:noWrap/>
            <w:vAlign w:val="center"/>
            <w:hideMark/>
          </w:tcPr>
          <w:p w14:paraId="1FD4BD0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87.7%</w:t>
            </w:r>
          </w:p>
        </w:tc>
        <w:tc>
          <w:tcPr>
            <w:tcW w:w="648" w:type="dxa"/>
            <w:tcBorders>
              <w:top w:val="nil"/>
              <w:left w:val="nil"/>
              <w:bottom w:val="nil"/>
              <w:right w:val="single" w:sz="4" w:space="0" w:color="auto"/>
            </w:tcBorders>
            <w:noWrap/>
            <w:vAlign w:val="center"/>
            <w:hideMark/>
          </w:tcPr>
          <w:p w14:paraId="3F63643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85.0%</w:t>
            </w:r>
          </w:p>
        </w:tc>
        <w:tc>
          <w:tcPr>
            <w:tcW w:w="648" w:type="dxa"/>
            <w:tcBorders>
              <w:top w:val="nil"/>
              <w:left w:val="nil"/>
              <w:bottom w:val="nil"/>
              <w:right w:val="single" w:sz="4" w:space="0" w:color="auto"/>
            </w:tcBorders>
            <w:noWrap/>
            <w:vAlign w:val="center"/>
            <w:hideMark/>
          </w:tcPr>
          <w:p w14:paraId="630798A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88.0%</w:t>
            </w:r>
          </w:p>
        </w:tc>
        <w:tc>
          <w:tcPr>
            <w:tcW w:w="648" w:type="dxa"/>
            <w:tcBorders>
              <w:top w:val="nil"/>
              <w:left w:val="nil"/>
              <w:bottom w:val="nil"/>
              <w:right w:val="single" w:sz="4" w:space="0" w:color="auto"/>
            </w:tcBorders>
            <w:noWrap/>
            <w:vAlign w:val="center"/>
            <w:hideMark/>
          </w:tcPr>
          <w:p w14:paraId="3578D56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90.0%</w:t>
            </w:r>
          </w:p>
        </w:tc>
        <w:tc>
          <w:tcPr>
            <w:tcW w:w="663" w:type="dxa"/>
            <w:tcBorders>
              <w:top w:val="nil"/>
              <w:left w:val="nil"/>
              <w:bottom w:val="nil"/>
              <w:right w:val="single" w:sz="4" w:space="0" w:color="auto"/>
            </w:tcBorders>
            <w:noWrap/>
            <w:vAlign w:val="center"/>
            <w:hideMark/>
          </w:tcPr>
          <w:p w14:paraId="779F9ED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89.0%</w:t>
            </w:r>
          </w:p>
        </w:tc>
        <w:tc>
          <w:tcPr>
            <w:tcW w:w="648" w:type="dxa"/>
            <w:tcBorders>
              <w:top w:val="single" w:sz="4" w:space="0" w:color="auto"/>
              <w:left w:val="single" w:sz="4" w:space="0" w:color="auto"/>
              <w:bottom w:val="nil"/>
              <w:right w:val="single" w:sz="4" w:space="0" w:color="auto"/>
            </w:tcBorders>
            <w:noWrap/>
            <w:vAlign w:val="center"/>
            <w:hideMark/>
          </w:tcPr>
          <w:p w14:paraId="419E8B4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87.8%</w:t>
            </w:r>
          </w:p>
        </w:tc>
      </w:tr>
      <w:tr w:rsidR="00D702AF" w:rsidRPr="001A2D42" w14:paraId="289AFDB8"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606B3FCF" w14:textId="76EF7CB9"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 xml:space="preserve">Servicios de salud dental o bucal preventivos (niños de </w:t>
            </w:r>
            <w:r w:rsidR="00892354">
              <w:rPr>
                <w:rFonts w:ascii="Aptos Display" w:eastAsia="Times New Roman" w:hAnsi="Aptos Display" w:cs="Arial"/>
                <w:kern w:val="0"/>
                <w:sz w:val="20"/>
                <w:szCs w:val="20"/>
                <w:lang w:bidi="es-419"/>
                <w14:ligatures w14:val="none"/>
              </w:rPr>
              <w:br/>
            </w:r>
            <w:r w:rsidRPr="001A2D42">
              <w:rPr>
                <w:rFonts w:ascii="Aptos Display" w:eastAsia="Times New Roman" w:hAnsi="Aptos Display" w:cs="Arial"/>
                <w:kern w:val="0"/>
                <w:sz w:val="20"/>
                <w:szCs w:val="20"/>
                <w:lang w:bidi="es-419"/>
                <w14:ligatures w14:val="none"/>
              </w:rPr>
              <w:t>1 a 5 años de edad)</w:t>
            </w:r>
          </w:p>
        </w:tc>
        <w:tc>
          <w:tcPr>
            <w:tcW w:w="648" w:type="dxa"/>
            <w:tcBorders>
              <w:top w:val="single" w:sz="4" w:space="0" w:color="auto"/>
              <w:left w:val="nil"/>
              <w:bottom w:val="single" w:sz="4" w:space="0" w:color="auto"/>
              <w:right w:val="single" w:sz="4" w:space="0" w:color="auto"/>
            </w:tcBorders>
            <w:noWrap/>
            <w:vAlign w:val="center"/>
            <w:hideMark/>
          </w:tcPr>
          <w:p w14:paraId="0D7BD06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68.4%</w:t>
            </w:r>
          </w:p>
        </w:tc>
        <w:tc>
          <w:tcPr>
            <w:tcW w:w="648" w:type="dxa"/>
            <w:tcBorders>
              <w:top w:val="single" w:sz="4" w:space="0" w:color="auto"/>
              <w:left w:val="nil"/>
              <w:bottom w:val="single" w:sz="4" w:space="0" w:color="auto"/>
              <w:right w:val="single" w:sz="4" w:space="0" w:color="auto"/>
            </w:tcBorders>
            <w:noWrap/>
            <w:vAlign w:val="center"/>
            <w:hideMark/>
          </w:tcPr>
          <w:p w14:paraId="61F7B27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59.6%</w:t>
            </w:r>
          </w:p>
        </w:tc>
        <w:tc>
          <w:tcPr>
            <w:tcW w:w="648" w:type="dxa"/>
            <w:tcBorders>
              <w:top w:val="single" w:sz="4" w:space="0" w:color="auto"/>
              <w:left w:val="nil"/>
              <w:bottom w:val="single" w:sz="4" w:space="0" w:color="auto"/>
              <w:right w:val="single" w:sz="4" w:space="0" w:color="auto"/>
            </w:tcBorders>
            <w:noWrap/>
            <w:vAlign w:val="center"/>
            <w:hideMark/>
          </w:tcPr>
          <w:p w14:paraId="7686B3B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57.1%</w:t>
            </w:r>
          </w:p>
        </w:tc>
        <w:tc>
          <w:tcPr>
            <w:tcW w:w="663" w:type="dxa"/>
            <w:tcBorders>
              <w:top w:val="single" w:sz="4" w:space="0" w:color="auto"/>
              <w:left w:val="nil"/>
              <w:bottom w:val="single" w:sz="4" w:space="0" w:color="auto"/>
              <w:right w:val="single" w:sz="4" w:space="0" w:color="auto"/>
            </w:tcBorders>
            <w:noWrap/>
            <w:vAlign w:val="center"/>
            <w:hideMark/>
          </w:tcPr>
          <w:p w14:paraId="28A9FCB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51.9%</w:t>
            </w:r>
          </w:p>
        </w:tc>
        <w:tc>
          <w:tcPr>
            <w:tcW w:w="648" w:type="dxa"/>
            <w:tcBorders>
              <w:top w:val="single" w:sz="4" w:space="0" w:color="auto"/>
              <w:left w:val="nil"/>
              <w:bottom w:val="single" w:sz="4" w:space="0" w:color="auto"/>
              <w:right w:val="single" w:sz="4" w:space="0" w:color="auto"/>
            </w:tcBorders>
            <w:noWrap/>
            <w:vAlign w:val="center"/>
            <w:hideMark/>
          </w:tcPr>
          <w:p w14:paraId="1C5145B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63.5%</w:t>
            </w:r>
          </w:p>
        </w:tc>
        <w:tc>
          <w:tcPr>
            <w:tcW w:w="648" w:type="dxa"/>
            <w:tcBorders>
              <w:top w:val="single" w:sz="4" w:space="0" w:color="auto"/>
              <w:left w:val="nil"/>
              <w:bottom w:val="single" w:sz="4" w:space="0" w:color="auto"/>
              <w:right w:val="single" w:sz="4" w:space="0" w:color="auto"/>
            </w:tcBorders>
            <w:noWrap/>
            <w:vAlign w:val="center"/>
            <w:hideMark/>
          </w:tcPr>
          <w:p w14:paraId="74EC1E4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62.6%</w:t>
            </w:r>
          </w:p>
        </w:tc>
        <w:tc>
          <w:tcPr>
            <w:tcW w:w="648" w:type="dxa"/>
            <w:tcBorders>
              <w:top w:val="single" w:sz="4" w:space="0" w:color="auto"/>
              <w:left w:val="nil"/>
              <w:bottom w:val="single" w:sz="4" w:space="0" w:color="auto"/>
              <w:right w:val="single" w:sz="4" w:space="0" w:color="auto"/>
            </w:tcBorders>
            <w:noWrap/>
            <w:vAlign w:val="center"/>
            <w:hideMark/>
          </w:tcPr>
          <w:p w14:paraId="215338E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65.5%</w:t>
            </w:r>
          </w:p>
        </w:tc>
        <w:tc>
          <w:tcPr>
            <w:tcW w:w="648" w:type="dxa"/>
            <w:tcBorders>
              <w:top w:val="single" w:sz="4" w:space="0" w:color="auto"/>
              <w:left w:val="nil"/>
              <w:bottom w:val="single" w:sz="4" w:space="0" w:color="auto"/>
              <w:right w:val="single" w:sz="4" w:space="0" w:color="auto"/>
            </w:tcBorders>
            <w:noWrap/>
            <w:vAlign w:val="center"/>
            <w:hideMark/>
          </w:tcPr>
          <w:p w14:paraId="10B9DF8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66.6%</w:t>
            </w:r>
          </w:p>
        </w:tc>
        <w:tc>
          <w:tcPr>
            <w:tcW w:w="648" w:type="dxa"/>
            <w:tcBorders>
              <w:top w:val="single" w:sz="4" w:space="0" w:color="auto"/>
              <w:left w:val="nil"/>
              <w:bottom w:val="single" w:sz="4" w:space="0" w:color="auto"/>
              <w:right w:val="single" w:sz="4" w:space="0" w:color="auto"/>
            </w:tcBorders>
            <w:noWrap/>
            <w:vAlign w:val="center"/>
            <w:hideMark/>
          </w:tcPr>
          <w:p w14:paraId="45C175C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58.5%</w:t>
            </w:r>
          </w:p>
        </w:tc>
        <w:tc>
          <w:tcPr>
            <w:tcW w:w="663" w:type="dxa"/>
            <w:tcBorders>
              <w:top w:val="single" w:sz="4" w:space="0" w:color="auto"/>
              <w:left w:val="nil"/>
              <w:bottom w:val="single" w:sz="4" w:space="0" w:color="auto"/>
              <w:right w:val="single" w:sz="4" w:space="0" w:color="auto"/>
            </w:tcBorders>
            <w:noWrap/>
            <w:vAlign w:val="center"/>
            <w:hideMark/>
          </w:tcPr>
          <w:p w14:paraId="29CFC8B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58.5%</w:t>
            </w:r>
          </w:p>
        </w:tc>
        <w:tc>
          <w:tcPr>
            <w:tcW w:w="663" w:type="dxa"/>
            <w:tcBorders>
              <w:top w:val="single" w:sz="4" w:space="0" w:color="auto"/>
              <w:left w:val="nil"/>
              <w:bottom w:val="single" w:sz="4" w:space="0" w:color="auto"/>
              <w:right w:val="single" w:sz="4" w:space="0" w:color="auto"/>
            </w:tcBorders>
            <w:noWrap/>
            <w:vAlign w:val="center"/>
            <w:hideMark/>
          </w:tcPr>
          <w:p w14:paraId="2354705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69.1%</w:t>
            </w:r>
          </w:p>
        </w:tc>
        <w:tc>
          <w:tcPr>
            <w:tcW w:w="663" w:type="dxa"/>
            <w:tcBorders>
              <w:top w:val="single" w:sz="4" w:space="0" w:color="auto"/>
              <w:left w:val="nil"/>
              <w:bottom w:val="single" w:sz="4" w:space="0" w:color="auto"/>
              <w:right w:val="single" w:sz="4" w:space="0" w:color="auto"/>
            </w:tcBorders>
            <w:noWrap/>
            <w:vAlign w:val="center"/>
            <w:hideMark/>
          </w:tcPr>
          <w:p w14:paraId="7965D11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65.5%</w:t>
            </w:r>
          </w:p>
        </w:tc>
        <w:tc>
          <w:tcPr>
            <w:tcW w:w="648" w:type="dxa"/>
            <w:tcBorders>
              <w:top w:val="single" w:sz="4" w:space="0" w:color="auto"/>
              <w:left w:val="nil"/>
              <w:bottom w:val="single" w:sz="4" w:space="0" w:color="auto"/>
              <w:right w:val="single" w:sz="4" w:space="0" w:color="auto"/>
            </w:tcBorders>
            <w:noWrap/>
            <w:vAlign w:val="center"/>
            <w:hideMark/>
          </w:tcPr>
          <w:p w14:paraId="5212DD8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50.9%</w:t>
            </w:r>
          </w:p>
        </w:tc>
        <w:tc>
          <w:tcPr>
            <w:tcW w:w="648" w:type="dxa"/>
            <w:tcBorders>
              <w:top w:val="single" w:sz="4" w:space="0" w:color="auto"/>
              <w:left w:val="nil"/>
              <w:bottom w:val="single" w:sz="4" w:space="0" w:color="auto"/>
              <w:right w:val="single" w:sz="4" w:space="0" w:color="auto"/>
            </w:tcBorders>
            <w:noWrap/>
            <w:vAlign w:val="center"/>
            <w:hideMark/>
          </w:tcPr>
          <w:p w14:paraId="38CA830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63.6%</w:t>
            </w:r>
          </w:p>
        </w:tc>
        <w:tc>
          <w:tcPr>
            <w:tcW w:w="648" w:type="dxa"/>
            <w:tcBorders>
              <w:top w:val="single" w:sz="4" w:space="0" w:color="auto"/>
              <w:left w:val="nil"/>
              <w:bottom w:val="single" w:sz="4" w:space="0" w:color="auto"/>
              <w:right w:val="single" w:sz="4" w:space="0" w:color="auto"/>
            </w:tcBorders>
            <w:noWrap/>
            <w:vAlign w:val="center"/>
            <w:hideMark/>
          </w:tcPr>
          <w:p w14:paraId="4C107ED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59.4%</w:t>
            </w:r>
          </w:p>
        </w:tc>
        <w:tc>
          <w:tcPr>
            <w:tcW w:w="663" w:type="dxa"/>
            <w:tcBorders>
              <w:top w:val="single" w:sz="4" w:space="0" w:color="auto"/>
              <w:left w:val="nil"/>
              <w:bottom w:val="single" w:sz="4" w:space="0" w:color="auto"/>
              <w:right w:val="single" w:sz="4" w:space="0" w:color="auto"/>
            </w:tcBorders>
            <w:noWrap/>
            <w:vAlign w:val="center"/>
            <w:hideMark/>
          </w:tcPr>
          <w:p w14:paraId="2FDF419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2E43A3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62.7%</w:t>
            </w:r>
          </w:p>
        </w:tc>
      </w:tr>
      <w:tr w:rsidR="00D702AF" w:rsidRPr="001A2D42" w14:paraId="39831002"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5D04413A" w14:textId="5C90CFAC"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 xml:space="preserve">Servicios de salud dental o bucal preventivos (niños de </w:t>
            </w:r>
            <w:r w:rsidR="00892354">
              <w:rPr>
                <w:rFonts w:ascii="Aptos Display" w:eastAsia="Times New Roman" w:hAnsi="Aptos Display" w:cs="Arial"/>
                <w:kern w:val="0"/>
                <w:sz w:val="20"/>
                <w:szCs w:val="20"/>
                <w:lang w:bidi="es-419"/>
                <w14:ligatures w14:val="none"/>
              </w:rPr>
              <w:br/>
            </w:r>
            <w:r w:rsidRPr="001A2D42">
              <w:rPr>
                <w:rFonts w:ascii="Aptos Display" w:eastAsia="Times New Roman" w:hAnsi="Aptos Display" w:cs="Arial"/>
                <w:kern w:val="0"/>
                <w:sz w:val="20"/>
                <w:szCs w:val="20"/>
                <w:lang w:bidi="es-419"/>
                <w14:ligatures w14:val="none"/>
              </w:rPr>
              <w:t>6 a 14 años de edad)</w:t>
            </w:r>
          </w:p>
        </w:tc>
        <w:tc>
          <w:tcPr>
            <w:tcW w:w="648" w:type="dxa"/>
            <w:tcBorders>
              <w:top w:val="nil"/>
              <w:left w:val="nil"/>
              <w:bottom w:val="single" w:sz="4" w:space="0" w:color="auto"/>
              <w:right w:val="single" w:sz="4" w:space="0" w:color="auto"/>
            </w:tcBorders>
            <w:noWrap/>
            <w:vAlign w:val="center"/>
            <w:hideMark/>
          </w:tcPr>
          <w:p w14:paraId="07472F8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68.8%</w:t>
            </w:r>
          </w:p>
        </w:tc>
        <w:tc>
          <w:tcPr>
            <w:tcW w:w="648" w:type="dxa"/>
            <w:tcBorders>
              <w:top w:val="nil"/>
              <w:left w:val="nil"/>
              <w:bottom w:val="single" w:sz="4" w:space="0" w:color="auto"/>
              <w:right w:val="single" w:sz="4" w:space="0" w:color="auto"/>
            </w:tcBorders>
            <w:noWrap/>
            <w:vAlign w:val="center"/>
            <w:hideMark/>
          </w:tcPr>
          <w:p w14:paraId="50F81A2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59.8%</w:t>
            </w:r>
          </w:p>
        </w:tc>
        <w:tc>
          <w:tcPr>
            <w:tcW w:w="648" w:type="dxa"/>
            <w:tcBorders>
              <w:top w:val="nil"/>
              <w:left w:val="nil"/>
              <w:bottom w:val="single" w:sz="4" w:space="0" w:color="auto"/>
              <w:right w:val="single" w:sz="4" w:space="0" w:color="auto"/>
            </w:tcBorders>
            <w:noWrap/>
            <w:vAlign w:val="center"/>
            <w:hideMark/>
          </w:tcPr>
          <w:p w14:paraId="590F18A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65.5%</w:t>
            </w:r>
          </w:p>
        </w:tc>
        <w:tc>
          <w:tcPr>
            <w:tcW w:w="663" w:type="dxa"/>
            <w:tcBorders>
              <w:top w:val="nil"/>
              <w:left w:val="nil"/>
              <w:bottom w:val="single" w:sz="4" w:space="0" w:color="auto"/>
              <w:right w:val="single" w:sz="4" w:space="0" w:color="auto"/>
            </w:tcBorders>
            <w:noWrap/>
            <w:vAlign w:val="center"/>
            <w:hideMark/>
          </w:tcPr>
          <w:p w14:paraId="3331FFD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57.6%</w:t>
            </w:r>
          </w:p>
        </w:tc>
        <w:tc>
          <w:tcPr>
            <w:tcW w:w="648" w:type="dxa"/>
            <w:tcBorders>
              <w:top w:val="nil"/>
              <w:left w:val="nil"/>
              <w:bottom w:val="single" w:sz="4" w:space="0" w:color="auto"/>
              <w:right w:val="single" w:sz="4" w:space="0" w:color="auto"/>
            </w:tcBorders>
            <w:noWrap/>
            <w:vAlign w:val="center"/>
            <w:hideMark/>
          </w:tcPr>
          <w:p w14:paraId="2030728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69.3%</w:t>
            </w:r>
          </w:p>
        </w:tc>
        <w:tc>
          <w:tcPr>
            <w:tcW w:w="648" w:type="dxa"/>
            <w:tcBorders>
              <w:top w:val="nil"/>
              <w:left w:val="nil"/>
              <w:bottom w:val="single" w:sz="4" w:space="0" w:color="auto"/>
              <w:right w:val="single" w:sz="4" w:space="0" w:color="auto"/>
            </w:tcBorders>
            <w:noWrap/>
            <w:vAlign w:val="center"/>
            <w:hideMark/>
          </w:tcPr>
          <w:p w14:paraId="7DA7AC2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62.3%</w:t>
            </w:r>
          </w:p>
        </w:tc>
        <w:tc>
          <w:tcPr>
            <w:tcW w:w="648" w:type="dxa"/>
            <w:tcBorders>
              <w:top w:val="nil"/>
              <w:left w:val="nil"/>
              <w:bottom w:val="single" w:sz="4" w:space="0" w:color="auto"/>
              <w:right w:val="single" w:sz="4" w:space="0" w:color="auto"/>
            </w:tcBorders>
            <w:noWrap/>
            <w:vAlign w:val="center"/>
            <w:hideMark/>
          </w:tcPr>
          <w:p w14:paraId="2484CDC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67.6%</w:t>
            </w:r>
          </w:p>
        </w:tc>
        <w:tc>
          <w:tcPr>
            <w:tcW w:w="648" w:type="dxa"/>
            <w:tcBorders>
              <w:top w:val="nil"/>
              <w:left w:val="nil"/>
              <w:bottom w:val="single" w:sz="4" w:space="0" w:color="auto"/>
              <w:right w:val="single" w:sz="4" w:space="0" w:color="auto"/>
            </w:tcBorders>
            <w:noWrap/>
            <w:vAlign w:val="center"/>
            <w:hideMark/>
          </w:tcPr>
          <w:p w14:paraId="15D640C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65.6%</w:t>
            </w:r>
          </w:p>
        </w:tc>
        <w:tc>
          <w:tcPr>
            <w:tcW w:w="648" w:type="dxa"/>
            <w:tcBorders>
              <w:top w:val="nil"/>
              <w:left w:val="nil"/>
              <w:bottom w:val="single" w:sz="4" w:space="0" w:color="auto"/>
              <w:right w:val="single" w:sz="4" w:space="0" w:color="auto"/>
            </w:tcBorders>
            <w:noWrap/>
            <w:vAlign w:val="center"/>
            <w:hideMark/>
          </w:tcPr>
          <w:p w14:paraId="577EE53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65.4%</w:t>
            </w:r>
          </w:p>
        </w:tc>
        <w:tc>
          <w:tcPr>
            <w:tcW w:w="663" w:type="dxa"/>
            <w:tcBorders>
              <w:top w:val="nil"/>
              <w:left w:val="nil"/>
              <w:bottom w:val="single" w:sz="4" w:space="0" w:color="auto"/>
              <w:right w:val="single" w:sz="4" w:space="0" w:color="auto"/>
            </w:tcBorders>
            <w:noWrap/>
            <w:vAlign w:val="center"/>
            <w:hideMark/>
          </w:tcPr>
          <w:p w14:paraId="3A2C0BD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68.1%</w:t>
            </w:r>
          </w:p>
        </w:tc>
        <w:tc>
          <w:tcPr>
            <w:tcW w:w="663" w:type="dxa"/>
            <w:tcBorders>
              <w:top w:val="nil"/>
              <w:left w:val="nil"/>
              <w:bottom w:val="single" w:sz="4" w:space="0" w:color="auto"/>
              <w:right w:val="single" w:sz="4" w:space="0" w:color="auto"/>
            </w:tcBorders>
            <w:noWrap/>
            <w:vAlign w:val="center"/>
            <w:hideMark/>
          </w:tcPr>
          <w:p w14:paraId="46CE9B3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70.8%</w:t>
            </w:r>
          </w:p>
        </w:tc>
        <w:tc>
          <w:tcPr>
            <w:tcW w:w="663" w:type="dxa"/>
            <w:tcBorders>
              <w:top w:val="nil"/>
              <w:left w:val="nil"/>
              <w:bottom w:val="single" w:sz="4" w:space="0" w:color="auto"/>
              <w:right w:val="single" w:sz="4" w:space="0" w:color="auto"/>
            </w:tcBorders>
            <w:noWrap/>
            <w:vAlign w:val="center"/>
            <w:hideMark/>
          </w:tcPr>
          <w:p w14:paraId="7F2610C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71.7%</w:t>
            </w:r>
          </w:p>
        </w:tc>
        <w:tc>
          <w:tcPr>
            <w:tcW w:w="648" w:type="dxa"/>
            <w:tcBorders>
              <w:top w:val="nil"/>
              <w:left w:val="nil"/>
              <w:bottom w:val="single" w:sz="4" w:space="0" w:color="auto"/>
              <w:right w:val="single" w:sz="4" w:space="0" w:color="auto"/>
            </w:tcBorders>
            <w:noWrap/>
            <w:vAlign w:val="center"/>
            <w:hideMark/>
          </w:tcPr>
          <w:p w14:paraId="725DB2A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42.5%</w:t>
            </w:r>
          </w:p>
        </w:tc>
        <w:tc>
          <w:tcPr>
            <w:tcW w:w="648" w:type="dxa"/>
            <w:tcBorders>
              <w:top w:val="nil"/>
              <w:left w:val="nil"/>
              <w:bottom w:val="single" w:sz="4" w:space="0" w:color="auto"/>
              <w:right w:val="single" w:sz="4" w:space="0" w:color="auto"/>
            </w:tcBorders>
            <w:noWrap/>
            <w:vAlign w:val="center"/>
            <w:hideMark/>
          </w:tcPr>
          <w:p w14:paraId="0F9B71E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60.7%</w:t>
            </w:r>
          </w:p>
        </w:tc>
        <w:tc>
          <w:tcPr>
            <w:tcW w:w="648" w:type="dxa"/>
            <w:tcBorders>
              <w:top w:val="nil"/>
              <w:left w:val="nil"/>
              <w:bottom w:val="single" w:sz="4" w:space="0" w:color="auto"/>
              <w:right w:val="single" w:sz="4" w:space="0" w:color="auto"/>
            </w:tcBorders>
            <w:noWrap/>
            <w:vAlign w:val="center"/>
            <w:hideMark/>
          </w:tcPr>
          <w:p w14:paraId="596E996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69.3%</w:t>
            </w:r>
          </w:p>
        </w:tc>
        <w:tc>
          <w:tcPr>
            <w:tcW w:w="663" w:type="dxa"/>
            <w:tcBorders>
              <w:top w:val="nil"/>
              <w:left w:val="nil"/>
              <w:bottom w:val="single" w:sz="4" w:space="0" w:color="auto"/>
              <w:right w:val="single" w:sz="4" w:space="0" w:color="auto"/>
            </w:tcBorders>
            <w:noWrap/>
            <w:vAlign w:val="center"/>
            <w:hideMark/>
          </w:tcPr>
          <w:p w14:paraId="02FF7AA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65.1%</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E12278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65.0%</w:t>
            </w:r>
          </w:p>
        </w:tc>
      </w:tr>
      <w:tr w:rsidR="00D702AF" w:rsidRPr="001A2D42" w14:paraId="397767F2"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7409DC6A" w14:textId="77777777"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Prueba de detección de depresión y plan de seguimiento</w:t>
            </w:r>
          </w:p>
        </w:tc>
        <w:tc>
          <w:tcPr>
            <w:tcW w:w="648" w:type="dxa"/>
            <w:tcBorders>
              <w:top w:val="nil"/>
              <w:left w:val="nil"/>
              <w:bottom w:val="single" w:sz="4" w:space="0" w:color="auto"/>
              <w:right w:val="single" w:sz="4" w:space="0" w:color="auto"/>
            </w:tcBorders>
            <w:noWrap/>
            <w:vAlign w:val="center"/>
            <w:hideMark/>
          </w:tcPr>
          <w:p w14:paraId="3959B77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51.0%</w:t>
            </w:r>
          </w:p>
        </w:tc>
        <w:tc>
          <w:tcPr>
            <w:tcW w:w="648" w:type="dxa"/>
            <w:tcBorders>
              <w:top w:val="nil"/>
              <w:left w:val="nil"/>
              <w:bottom w:val="single" w:sz="4" w:space="0" w:color="auto"/>
              <w:right w:val="single" w:sz="4" w:space="0" w:color="auto"/>
            </w:tcBorders>
            <w:noWrap/>
            <w:vAlign w:val="center"/>
            <w:hideMark/>
          </w:tcPr>
          <w:p w14:paraId="41E0D5F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75.2%</w:t>
            </w:r>
          </w:p>
        </w:tc>
        <w:tc>
          <w:tcPr>
            <w:tcW w:w="648" w:type="dxa"/>
            <w:tcBorders>
              <w:top w:val="nil"/>
              <w:left w:val="nil"/>
              <w:bottom w:val="single" w:sz="4" w:space="0" w:color="auto"/>
              <w:right w:val="single" w:sz="4" w:space="0" w:color="auto"/>
            </w:tcBorders>
            <w:noWrap/>
            <w:vAlign w:val="center"/>
            <w:hideMark/>
          </w:tcPr>
          <w:p w14:paraId="697CDD8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59.6%</w:t>
            </w:r>
          </w:p>
        </w:tc>
        <w:tc>
          <w:tcPr>
            <w:tcW w:w="663" w:type="dxa"/>
            <w:tcBorders>
              <w:top w:val="nil"/>
              <w:left w:val="nil"/>
              <w:bottom w:val="single" w:sz="4" w:space="0" w:color="auto"/>
              <w:right w:val="single" w:sz="4" w:space="0" w:color="auto"/>
            </w:tcBorders>
            <w:noWrap/>
            <w:vAlign w:val="center"/>
            <w:hideMark/>
          </w:tcPr>
          <w:p w14:paraId="764BC02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73.0%</w:t>
            </w:r>
          </w:p>
        </w:tc>
        <w:tc>
          <w:tcPr>
            <w:tcW w:w="648" w:type="dxa"/>
            <w:tcBorders>
              <w:top w:val="nil"/>
              <w:left w:val="nil"/>
              <w:bottom w:val="single" w:sz="4" w:space="0" w:color="auto"/>
              <w:right w:val="single" w:sz="4" w:space="0" w:color="auto"/>
            </w:tcBorders>
            <w:noWrap/>
            <w:vAlign w:val="center"/>
            <w:hideMark/>
          </w:tcPr>
          <w:p w14:paraId="5318CF1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75.3%</w:t>
            </w:r>
          </w:p>
        </w:tc>
        <w:tc>
          <w:tcPr>
            <w:tcW w:w="648" w:type="dxa"/>
            <w:tcBorders>
              <w:top w:val="nil"/>
              <w:left w:val="nil"/>
              <w:bottom w:val="single" w:sz="4" w:space="0" w:color="auto"/>
              <w:right w:val="single" w:sz="4" w:space="0" w:color="auto"/>
            </w:tcBorders>
            <w:noWrap/>
            <w:vAlign w:val="center"/>
            <w:hideMark/>
          </w:tcPr>
          <w:p w14:paraId="79CDCE0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73.0%</w:t>
            </w:r>
          </w:p>
        </w:tc>
        <w:tc>
          <w:tcPr>
            <w:tcW w:w="648" w:type="dxa"/>
            <w:tcBorders>
              <w:top w:val="nil"/>
              <w:left w:val="nil"/>
              <w:bottom w:val="single" w:sz="4" w:space="0" w:color="auto"/>
              <w:right w:val="single" w:sz="4" w:space="0" w:color="auto"/>
            </w:tcBorders>
            <w:noWrap/>
            <w:vAlign w:val="center"/>
            <w:hideMark/>
          </w:tcPr>
          <w:p w14:paraId="67656AC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55.8%</w:t>
            </w:r>
          </w:p>
        </w:tc>
        <w:tc>
          <w:tcPr>
            <w:tcW w:w="648" w:type="dxa"/>
            <w:tcBorders>
              <w:top w:val="nil"/>
              <w:left w:val="nil"/>
              <w:bottom w:val="single" w:sz="4" w:space="0" w:color="auto"/>
              <w:right w:val="single" w:sz="4" w:space="0" w:color="auto"/>
            </w:tcBorders>
            <w:noWrap/>
            <w:vAlign w:val="center"/>
            <w:hideMark/>
          </w:tcPr>
          <w:p w14:paraId="38BE7A4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79.7%</w:t>
            </w:r>
          </w:p>
        </w:tc>
        <w:tc>
          <w:tcPr>
            <w:tcW w:w="648" w:type="dxa"/>
            <w:tcBorders>
              <w:top w:val="nil"/>
              <w:left w:val="nil"/>
              <w:bottom w:val="single" w:sz="4" w:space="0" w:color="auto"/>
              <w:right w:val="single" w:sz="4" w:space="0" w:color="auto"/>
            </w:tcBorders>
            <w:noWrap/>
            <w:vAlign w:val="center"/>
            <w:hideMark/>
          </w:tcPr>
          <w:p w14:paraId="7E651CA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78.4%</w:t>
            </w:r>
          </w:p>
        </w:tc>
        <w:tc>
          <w:tcPr>
            <w:tcW w:w="663" w:type="dxa"/>
            <w:tcBorders>
              <w:top w:val="nil"/>
              <w:left w:val="nil"/>
              <w:bottom w:val="single" w:sz="4" w:space="0" w:color="auto"/>
              <w:right w:val="single" w:sz="4" w:space="0" w:color="auto"/>
            </w:tcBorders>
            <w:noWrap/>
            <w:vAlign w:val="center"/>
            <w:hideMark/>
          </w:tcPr>
          <w:p w14:paraId="0808207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64.9%</w:t>
            </w:r>
          </w:p>
        </w:tc>
        <w:tc>
          <w:tcPr>
            <w:tcW w:w="663" w:type="dxa"/>
            <w:tcBorders>
              <w:top w:val="nil"/>
              <w:left w:val="nil"/>
              <w:bottom w:val="single" w:sz="4" w:space="0" w:color="auto"/>
              <w:right w:val="single" w:sz="4" w:space="0" w:color="auto"/>
            </w:tcBorders>
            <w:noWrap/>
            <w:vAlign w:val="center"/>
            <w:hideMark/>
          </w:tcPr>
          <w:p w14:paraId="3AD3005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82.7%</w:t>
            </w:r>
          </w:p>
        </w:tc>
        <w:tc>
          <w:tcPr>
            <w:tcW w:w="663" w:type="dxa"/>
            <w:tcBorders>
              <w:top w:val="nil"/>
              <w:left w:val="nil"/>
              <w:bottom w:val="single" w:sz="4" w:space="0" w:color="auto"/>
              <w:right w:val="single" w:sz="4" w:space="0" w:color="auto"/>
            </w:tcBorders>
            <w:noWrap/>
            <w:vAlign w:val="center"/>
            <w:hideMark/>
          </w:tcPr>
          <w:p w14:paraId="4BC1453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62.4%</w:t>
            </w:r>
          </w:p>
        </w:tc>
        <w:tc>
          <w:tcPr>
            <w:tcW w:w="648" w:type="dxa"/>
            <w:tcBorders>
              <w:top w:val="nil"/>
              <w:left w:val="nil"/>
              <w:bottom w:val="single" w:sz="4" w:space="0" w:color="auto"/>
              <w:right w:val="single" w:sz="4" w:space="0" w:color="auto"/>
            </w:tcBorders>
            <w:noWrap/>
            <w:vAlign w:val="center"/>
            <w:hideMark/>
          </w:tcPr>
          <w:p w14:paraId="5089955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78.4%</w:t>
            </w:r>
          </w:p>
        </w:tc>
        <w:tc>
          <w:tcPr>
            <w:tcW w:w="648" w:type="dxa"/>
            <w:tcBorders>
              <w:top w:val="nil"/>
              <w:left w:val="nil"/>
              <w:bottom w:val="single" w:sz="4" w:space="0" w:color="auto"/>
              <w:right w:val="single" w:sz="4" w:space="0" w:color="auto"/>
            </w:tcBorders>
            <w:noWrap/>
            <w:vAlign w:val="center"/>
            <w:hideMark/>
          </w:tcPr>
          <w:p w14:paraId="493216B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81.3%</w:t>
            </w:r>
          </w:p>
        </w:tc>
        <w:tc>
          <w:tcPr>
            <w:tcW w:w="648" w:type="dxa"/>
            <w:tcBorders>
              <w:top w:val="nil"/>
              <w:left w:val="nil"/>
              <w:bottom w:val="single" w:sz="4" w:space="0" w:color="auto"/>
              <w:right w:val="single" w:sz="4" w:space="0" w:color="auto"/>
            </w:tcBorders>
            <w:noWrap/>
            <w:vAlign w:val="center"/>
            <w:hideMark/>
          </w:tcPr>
          <w:p w14:paraId="219D957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73.0%</w:t>
            </w:r>
          </w:p>
        </w:tc>
        <w:tc>
          <w:tcPr>
            <w:tcW w:w="663" w:type="dxa"/>
            <w:tcBorders>
              <w:top w:val="nil"/>
              <w:left w:val="nil"/>
              <w:bottom w:val="single" w:sz="4" w:space="0" w:color="auto"/>
              <w:right w:val="single" w:sz="4" w:space="0" w:color="auto"/>
            </w:tcBorders>
            <w:noWrap/>
            <w:vAlign w:val="center"/>
            <w:hideMark/>
          </w:tcPr>
          <w:p w14:paraId="357ABD4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82.8%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0BD4E7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72.4%</w:t>
            </w:r>
          </w:p>
        </w:tc>
      </w:tr>
      <w:tr w:rsidR="00D702AF" w:rsidRPr="001A2D42" w14:paraId="2A02BDCD"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34DB8469" w14:textId="3A7BED19"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 xml:space="preserve">SDOH: prueba de detección </w:t>
            </w:r>
            <w:r w:rsidR="00892354">
              <w:rPr>
                <w:rFonts w:ascii="Aptos Display" w:eastAsia="Times New Roman" w:hAnsi="Aptos Display" w:cs="Arial"/>
                <w:kern w:val="0"/>
                <w:sz w:val="20"/>
                <w:szCs w:val="20"/>
                <w:lang w:bidi="es-419"/>
                <w14:ligatures w14:val="none"/>
              </w:rPr>
              <w:br/>
            </w:r>
            <w:r w:rsidRPr="001A2D42">
              <w:rPr>
                <w:rFonts w:ascii="Aptos Display" w:eastAsia="Times New Roman" w:hAnsi="Aptos Display" w:cs="Arial"/>
                <w:kern w:val="0"/>
                <w:sz w:val="20"/>
                <w:szCs w:val="20"/>
                <w:lang w:bidi="es-419"/>
                <w14:ligatures w14:val="none"/>
              </w:rPr>
              <w:t>de necesidades sociales y remisión: prueba de detección</w:t>
            </w:r>
          </w:p>
        </w:tc>
        <w:tc>
          <w:tcPr>
            <w:tcW w:w="648" w:type="dxa"/>
            <w:tcBorders>
              <w:top w:val="nil"/>
              <w:left w:val="nil"/>
              <w:bottom w:val="single" w:sz="4" w:space="0" w:color="auto"/>
              <w:right w:val="single" w:sz="4" w:space="0" w:color="auto"/>
            </w:tcBorders>
            <w:noWrap/>
            <w:vAlign w:val="center"/>
            <w:hideMark/>
          </w:tcPr>
          <w:p w14:paraId="64736D4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17.9%</w:t>
            </w:r>
          </w:p>
        </w:tc>
        <w:tc>
          <w:tcPr>
            <w:tcW w:w="648" w:type="dxa"/>
            <w:tcBorders>
              <w:top w:val="nil"/>
              <w:left w:val="nil"/>
              <w:bottom w:val="single" w:sz="4" w:space="0" w:color="auto"/>
              <w:right w:val="single" w:sz="4" w:space="0" w:color="auto"/>
            </w:tcBorders>
            <w:noWrap/>
            <w:vAlign w:val="center"/>
            <w:hideMark/>
          </w:tcPr>
          <w:p w14:paraId="3B346BC0"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w:t>
            </w:r>
          </w:p>
        </w:tc>
        <w:tc>
          <w:tcPr>
            <w:tcW w:w="648" w:type="dxa"/>
            <w:tcBorders>
              <w:top w:val="nil"/>
              <w:left w:val="nil"/>
              <w:bottom w:val="single" w:sz="4" w:space="0" w:color="auto"/>
              <w:right w:val="single" w:sz="4" w:space="0" w:color="auto"/>
            </w:tcBorders>
            <w:noWrap/>
            <w:vAlign w:val="center"/>
            <w:hideMark/>
          </w:tcPr>
          <w:p w14:paraId="6516839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6.7%</w:t>
            </w:r>
          </w:p>
        </w:tc>
        <w:tc>
          <w:tcPr>
            <w:tcW w:w="663" w:type="dxa"/>
            <w:tcBorders>
              <w:top w:val="nil"/>
              <w:left w:val="nil"/>
              <w:bottom w:val="single" w:sz="4" w:space="0" w:color="auto"/>
              <w:right w:val="single" w:sz="4" w:space="0" w:color="auto"/>
            </w:tcBorders>
            <w:noWrap/>
            <w:vAlign w:val="center"/>
            <w:hideMark/>
          </w:tcPr>
          <w:p w14:paraId="2BC3CFD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2.4%</w:t>
            </w:r>
          </w:p>
        </w:tc>
        <w:tc>
          <w:tcPr>
            <w:tcW w:w="648" w:type="dxa"/>
            <w:tcBorders>
              <w:top w:val="nil"/>
              <w:left w:val="nil"/>
              <w:bottom w:val="single" w:sz="4" w:space="0" w:color="auto"/>
              <w:right w:val="single" w:sz="4" w:space="0" w:color="auto"/>
            </w:tcBorders>
            <w:noWrap/>
            <w:vAlign w:val="center"/>
            <w:hideMark/>
          </w:tcPr>
          <w:p w14:paraId="120A231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26.2%</w:t>
            </w:r>
          </w:p>
        </w:tc>
        <w:tc>
          <w:tcPr>
            <w:tcW w:w="648" w:type="dxa"/>
            <w:tcBorders>
              <w:top w:val="nil"/>
              <w:left w:val="nil"/>
              <w:bottom w:val="single" w:sz="4" w:space="0" w:color="auto"/>
              <w:right w:val="single" w:sz="4" w:space="0" w:color="auto"/>
            </w:tcBorders>
            <w:noWrap/>
            <w:vAlign w:val="center"/>
            <w:hideMark/>
          </w:tcPr>
          <w:p w14:paraId="29F1AA2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6.4%</w:t>
            </w:r>
          </w:p>
        </w:tc>
        <w:tc>
          <w:tcPr>
            <w:tcW w:w="648" w:type="dxa"/>
            <w:tcBorders>
              <w:top w:val="nil"/>
              <w:left w:val="nil"/>
              <w:bottom w:val="single" w:sz="4" w:space="0" w:color="auto"/>
              <w:right w:val="single" w:sz="4" w:space="0" w:color="auto"/>
            </w:tcBorders>
            <w:noWrap/>
            <w:vAlign w:val="center"/>
            <w:hideMark/>
          </w:tcPr>
          <w:p w14:paraId="3718C6B3"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w:t>
            </w:r>
          </w:p>
        </w:tc>
        <w:tc>
          <w:tcPr>
            <w:tcW w:w="648" w:type="dxa"/>
            <w:tcBorders>
              <w:top w:val="nil"/>
              <w:left w:val="nil"/>
              <w:bottom w:val="single" w:sz="4" w:space="0" w:color="auto"/>
              <w:right w:val="single" w:sz="4" w:space="0" w:color="auto"/>
            </w:tcBorders>
            <w:noWrap/>
            <w:vAlign w:val="center"/>
            <w:hideMark/>
          </w:tcPr>
          <w:p w14:paraId="4C8B8D87"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w:t>
            </w:r>
          </w:p>
        </w:tc>
        <w:tc>
          <w:tcPr>
            <w:tcW w:w="648" w:type="dxa"/>
            <w:tcBorders>
              <w:top w:val="nil"/>
              <w:left w:val="nil"/>
              <w:bottom w:val="single" w:sz="4" w:space="0" w:color="auto"/>
              <w:right w:val="single" w:sz="4" w:space="0" w:color="auto"/>
            </w:tcBorders>
            <w:noWrap/>
            <w:vAlign w:val="center"/>
            <w:hideMark/>
          </w:tcPr>
          <w:p w14:paraId="20C15F5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28.2%</w:t>
            </w:r>
          </w:p>
        </w:tc>
        <w:tc>
          <w:tcPr>
            <w:tcW w:w="663" w:type="dxa"/>
            <w:tcBorders>
              <w:top w:val="nil"/>
              <w:left w:val="nil"/>
              <w:bottom w:val="single" w:sz="4" w:space="0" w:color="auto"/>
              <w:right w:val="single" w:sz="4" w:space="0" w:color="auto"/>
            </w:tcBorders>
            <w:noWrap/>
            <w:vAlign w:val="center"/>
            <w:hideMark/>
          </w:tcPr>
          <w:p w14:paraId="35736AA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13.8%</w:t>
            </w:r>
          </w:p>
        </w:tc>
        <w:tc>
          <w:tcPr>
            <w:tcW w:w="663" w:type="dxa"/>
            <w:tcBorders>
              <w:top w:val="nil"/>
              <w:left w:val="nil"/>
              <w:bottom w:val="single" w:sz="4" w:space="0" w:color="auto"/>
              <w:right w:val="single" w:sz="4" w:space="0" w:color="auto"/>
            </w:tcBorders>
            <w:noWrap/>
            <w:vAlign w:val="center"/>
            <w:hideMark/>
          </w:tcPr>
          <w:p w14:paraId="27CEEDD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5.6%</w:t>
            </w:r>
          </w:p>
        </w:tc>
        <w:tc>
          <w:tcPr>
            <w:tcW w:w="663" w:type="dxa"/>
            <w:tcBorders>
              <w:top w:val="nil"/>
              <w:left w:val="nil"/>
              <w:bottom w:val="single" w:sz="4" w:space="0" w:color="auto"/>
              <w:right w:val="single" w:sz="4" w:space="0" w:color="auto"/>
            </w:tcBorders>
            <w:noWrap/>
            <w:vAlign w:val="center"/>
            <w:hideMark/>
          </w:tcPr>
          <w:p w14:paraId="4887504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20.0%</w:t>
            </w:r>
          </w:p>
        </w:tc>
        <w:tc>
          <w:tcPr>
            <w:tcW w:w="648" w:type="dxa"/>
            <w:tcBorders>
              <w:top w:val="nil"/>
              <w:left w:val="nil"/>
              <w:bottom w:val="single" w:sz="4" w:space="0" w:color="auto"/>
              <w:right w:val="single" w:sz="4" w:space="0" w:color="auto"/>
            </w:tcBorders>
            <w:noWrap/>
            <w:vAlign w:val="center"/>
            <w:hideMark/>
          </w:tcPr>
          <w:p w14:paraId="0A1ED72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28.1%</w:t>
            </w:r>
          </w:p>
        </w:tc>
        <w:tc>
          <w:tcPr>
            <w:tcW w:w="648" w:type="dxa"/>
            <w:tcBorders>
              <w:top w:val="nil"/>
              <w:left w:val="nil"/>
              <w:bottom w:val="single" w:sz="4" w:space="0" w:color="auto"/>
              <w:right w:val="single" w:sz="4" w:space="0" w:color="auto"/>
            </w:tcBorders>
            <w:noWrap/>
            <w:vAlign w:val="center"/>
            <w:hideMark/>
          </w:tcPr>
          <w:p w14:paraId="5C31EC6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52.3%</w:t>
            </w:r>
          </w:p>
        </w:tc>
        <w:tc>
          <w:tcPr>
            <w:tcW w:w="648" w:type="dxa"/>
            <w:tcBorders>
              <w:top w:val="nil"/>
              <w:left w:val="nil"/>
              <w:bottom w:val="single" w:sz="4" w:space="0" w:color="auto"/>
              <w:right w:val="single" w:sz="4" w:space="0" w:color="auto"/>
            </w:tcBorders>
            <w:noWrap/>
            <w:vAlign w:val="center"/>
            <w:hideMark/>
          </w:tcPr>
          <w:p w14:paraId="0248274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35.5%</w:t>
            </w:r>
          </w:p>
        </w:tc>
        <w:tc>
          <w:tcPr>
            <w:tcW w:w="663" w:type="dxa"/>
            <w:tcBorders>
              <w:top w:val="nil"/>
              <w:left w:val="nil"/>
              <w:bottom w:val="single" w:sz="4" w:space="0" w:color="auto"/>
              <w:right w:val="single" w:sz="4" w:space="0" w:color="auto"/>
            </w:tcBorders>
            <w:noWrap/>
            <w:vAlign w:val="center"/>
            <w:hideMark/>
          </w:tcPr>
          <w:p w14:paraId="2518B208"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0.0%</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F72967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16.3%</w:t>
            </w:r>
          </w:p>
        </w:tc>
      </w:tr>
      <w:tr w:rsidR="00D702AF" w:rsidRPr="001A2D42" w14:paraId="415FA649"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46383D42" w14:textId="3F43BC56"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 xml:space="preserve">SDOH: prueba de detección </w:t>
            </w:r>
            <w:r w:rsidR="00892354">
              <w:rPr>
                <w:rFonts w:ascii="Aptos Display" w:eastAsia="Times New Roman" w:hAnsi="Aptos Display" w:cs="Arial"/>
                <w:kern w:val="0"/>
                <w:sz w:val="20"/>
                <w:szCs w:val="20"/>
                <w:lang w:bidi="es-419"/>
                <w14:ligatures w14:val="none"/>
              </w:rPr>
              <w:br/>
            </w:r>
            <w:r w:rsidRPr="001A2D42">
              <w:rPr>
                <w:rFonts w:ascii="Aptos Display" w:eastAsia="Times New Roman" w:hAnsi="Aptos Display" w:cs="Arial"/>
                <w:kern w:val="0"/>
                <w:sz w:val="20"/>
                <w:szCs w:val="20"/>
                <w:lang w:bidi="es-419"/>
                <w14:ligatures w14:val="none"/>
              </w:rPr>
              <w:t>de necesidades sociales y remisión: remisión</w:t>
            </w:r>
          </w:p>
        </w:tc>
        <w:tc>
          <w:tcPr>
            <w:tcW w:w="648" w:type="dxa"/>
            <w:tcBorders>
              <w:top w:val="nil"/>
              <w:left w:val="nil"/>
              <w:bottom w:val="single" w:sz="4" w:space="0" w:color="auto"/>
              <w:right w:val="single" w:sz="4" w:space="0" w:color="auto"/>
            </w:tcBorders>
            <w:noWrap/>
            <w:vAlign w:val="center"/>
            <w:hideMark/>
          </w:tcPr>
          <w:p w14:paraId="7692FA5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19.4%</w:t>
            </w:r>
          </w:p>
        </w:tc>
        <w:tc>
          <w:tcPr>
            <w:tcW w:w="648" w:type="dxa"/>
            <w:tcBorders>
              <w:top w:val="nil"/>
              <w:left w:val="nil"/>
              <w:bottom w:val="single" w:sz="4" w:space="0" w:color="auto"/>
              <w:right w:val="single" w:sz="4" w:space="0" w:color="auto"/>
            </w:tcBorders>
            <w:noWrap/>
            <w:vAlign w:val="center"/>
            <w:hideMark/>
          </w:tcPr>
          <w:p w14:paraId="7F9BEFD7" w14:textId="351E65A6" w:rsidR="00D702AF" w:rsidRPr="001A2D42" w:rsidRDefault="00035AE7"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100%*</w:t>
            </w:r>
          </w:p>
        </w:tc>
        <w:tc>
          <w:tcPr>
            <w:tcW w:w="648" w:type="dxa"/>
            <w:tcBorders>
              <w:top w:val="nil"/>
              <w:left w:val="nil"/>
              <w:bottom w:val="single" w:sz="4" w:space="0" w:color="auto"/>
              <w:right w:val="single" w:sz="4" w:space="0" w:color="auto"/>
            </w:tcBorders>
            <w:noWrap/>
            <w:vAlign w:val="center"/>
            <w:hideMark/>
          </w:tcPr>
          <w:p w14:paraId="1C4D0983" w14:textId="6A2E69DE"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w:t>
            </w:r>
          </w:p>
        </w:tc>
        <w:tc>
          <w:tcPr>
            <w:tcW w:w="663" w:type="dxa"/>
            <w:tcBorders>
              <w:top w:val="nil"/>
              <w:left w:val="nil"/>
              <w:bottom w:val="single" w:sz="4" w:space="0" w:color="auto"/>
              <w:right w:val="single" w:sz="4" w:space="0" w:color="auto"/>
            </w:tcBorders>
            <w:noWrap/>
            <w:vAlign w:val="center"/>
            <w:hideMark/>
          </w:tcPr>
          <w:p w14:paraId="5272AA8D" w14:textId="11A05E51"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15.4%*</w:t>
            </w:r>
          </w:p>
        </w:tc>
        <w:tc>
          <w:tcPr>
            <w:tcW w:w="648" w:type="dxa"/>
            <w:tcBorders>
              <w:top w:val="nil"/>
              <w:left w:val="nil"/>
              <w:bottom w:val="single" w:sz="4" w:space="0" w:color="auto"/>
              <w:right w:val="single" w:sz="4" w:space="0" w:color="auto"/>
            </w:tcBorders>
            <w:noWrap/>
            <w:vAlign w:val="center"/>
            <w:hideMark/>
          </w:tcPr>
          <w:p w14:paraId="1405B36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51.4%</w:t>
            </w:r>
          </w:p>
        </w:tc>
        <w:tc>
          <w:tcPr>
            <w:tcW w:w="648" w:type="dxa"/>
            <w:tcBorders>
              <w:top w:val="nil"/>
              <w:left w:val="nil"/>
              <w:bottom w:val="single" w:sz="4" w:space="0" w:color="auto"/>
              <w:right w:val="single" w:sz="4" w:space="0" w:color="auto"/>
            </w:tcBorders>
            <w:noWrap/>
            <w:vAlign w:val="center"/>
            <w:hideMark/>
          </w:tcPr>
          <w:p w14:paraId="39C0112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6.5%</w:t>
            </w:r>
          </w:p>
        </w:tc>
        <w:tc>
          <w:tcPr>
            <w:tcW w:w="648" w:type="dxa"/>
            <w:tcBorders>
              <w:top w:val="nil"/>
              <w:left w:val="nil"/>
              <w:bottom w:val="single" w:sz="4" w:space="0" w:color="auto"/>
              <w:right w:val="single" w:sz="4" w:space="0" w:color="auto"/>
            </w:tcBorders>
            <w:noWrap/>
            <w:vAlign w:val="center"/>
            <w:hideMark/>
          </w:tcPr>
          <w:p w14:paraId="185F728B" w14:textId="504EF5C8"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0.0%*</w:t>
            </w:r>
          </w:p>
        </w:tc>
        <w:tc>
          <w:tcPr>
            <w:tcW w:w="648" w:type="dxa"/>
            <w:tcBorders>
              <w:top w:val="nil"/>
              <w:left w:val="nil"/>
              <w:bottom w:val="single" w:sz="4" w:space="0" w:color="auto"/>
              <w:right w:val="single" w:sz="4" w:space="0" w:color="auto"/>
            </w:tcBorders>
            <w:noWrap/>
            <w:vAlign w:val="center"/>
            <w:hideMark/>
          </w:tcPr>
          <w:p w14:paraId="20BA02C2"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12.1%</w:t>
            </w:r>
          </w:p>
        </w:tc>
        <w:tc>
          <w:tcPr>
            <w:tcW w:w="648" w:type="dxa"/>
            <w:tcBorders>
              <w:top w:val="nil"/>
              <w:left w:val="nil"/>
              <w:bottom w:val="single" w:sz="4" w:space="0" w:color="auto"/>
              <w:right w:val="single" w:sz="4" w:space="0" w:color="auto"/>
            </w:tcBorders>
            <w:noWrap/>
            <w:vAlign w:val="center"/>
            <w:hideMark/>
          </w:tcPr>
          <w:p w14:paraId="1B08922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21.3%</w:t>
            </w:r>
          </w:p>
        </w:tc>
        <w:tc>
          <w:tcPr>
            <w:tcW w:w="663" w:type="dxa"/>
            <w:tcBorders>
              <w:top w:val="nil"/>
              <w:left w:val="nil"/>
              <w:bottom w:val="single" w:sz="4" w:space="0" w:color="auto"/>
              <w:right w:val="single" w:sz="4" w:space="0" w:color="auto"/>
            </w:tcBorders>
            <w:noWrap/>
            <w:vAlign w:val="center"/>
            <w:hideMark/>
          </w:tcPr>
          <w:p w14:paraId="32DC05E3" w14:textId="0037E7E1"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16.7%*</w:t>
            </w:r>
          </w:p>
        </w:tc>
        <w:tc>
          <w:tcPr>
            <w:tcW w:w="663" w:type="dxa"/>
            <w:tcBorders>
              <w:top w:val="nil"/>
              <w:left w:val="nil"/>
              <w:bottom w:val="single" w:sz="4" w:space="0" w:color="auto"/>
              <w:right w:val="single" w:sz="4" w:space="0" w:color="auto"/>
            </w:tcBorders>
            <w:noWrap/>
            <w:vAlign w:val="center"/>
            <w:hideMark/>
          </w:tcPr>
          <w:p w14:paraId="3DDAAAE2" w14:textId="7BC75DA1"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20.0%*</w:t>
            </w:r>
          </w:p>
        </w:tc>
        <w:tc>
          <w:tcPr>
            <w:tcW w:w="663" w:type="dxa"/>
            <w:tcBorders>
              <w:top w:val="nil"/>
              <w:left w:val="nil"/>
              <w:bottom w:val="single" w:sz="4" w:space="0" w:color="auto"/>
              <w:right w:val="single" w:sz="4" w:space="0" w:color="auto"/>
            </w:tcBorders>
            <w:noWrap/>
            <w:vAlign w:val="center"/>
            <w:hideMark/>
          </w:tcPr>
          <w:p w14:paraId="08DA7CA4" w14:textId="2A5FE0DA"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27.8%*</w:t>
            </w:r>
          </w:p>
        </w:tc>
        <w:tc>
          <w:tcPr>
            <w:tcW w:w="648" w:type="dxa"/>
            <w:tcBorders>
              <w:top w:val="nil"/>
              <w:left w:val="nil"/>
              <w:bottom w:val="single" w:sz="4" w:space="0" w:color="auto"/>
              <w:right w:val="single" w:sz="4" w:space="0" w:color="auto"/>
            </w:tcBorders>
            <w:noWrap/>
            <w:vAlign w:val="center"/>
            <w:hideMark/>
          </w:tcPr>
          <w:p w14:paraId="40EC5F91" w14:textId="3B41DAB2"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0.0%*</w:t>
            </w:r>
          </w:p>
        </w:tc>
        <w:tc>
          <w:tcPr>
            <w:tcW w:w="648" w:type="dxa"/>
            <w:tcBorders>
              <w:top w:val="nil"/>
              <w:left w:val="nil"/>
              <w:bottom w:val="single" w:sz="4" w:space="0" w:color="auto"/>
              <w:right w:val="single" w:sz="4" w:space="0" w:color="auto"/>
            </w:tcBorders>
            <w:noWrap/>
            <w:vAlign w:val="center"/>
            <w:hideMark/>
          </w:tcPr>
          <w:p w14:paraId="471B1C29" w14:textId="686FADC9"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7.1%*</w:t>
            </w:r>
          </w:p>
        </w:tc>
        <w:tc>
          <w:tcPr>
            <w:tcW w:w="648" w:type="dxa"/>
            <w:tcBorders>
              <w:top w:val="nil"/>
              <w:left w:val="nil"/>
              <w:bottom w:val="single" w:sz="4" w:space="0" w:color="auto"/>
              <w:right w:val="single" w:sz="4" w:space="0" w:color="auto"/>
            </w:tcBorders>
            <w:noWrap/>
            <w:vAlign w:val="center"/>
            <w:hideMark/>
          </w:tcPr>
          <w:p w14:paraId="76142C9B"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27.0%</w:t>
            </w:r>
          </w:p>
        </w:tc>
        <w:tc>
          <w:tcPr>
            <w:tcW w:w="663" w:type="dxa"/>
            <w:tcBorders>
              <w:top w:val="nil"/>
              <w:left w:val="nil"/>
              <w:bottom w:val="single" w:sz="4" w:space="0" w:color="auto"/>
              <w:right w:val="single" w:sz="4" w:space="0" w:color="auto"/>
            </w:tcBorders>
            <w:noWrap/>
            <w:vAlign w:val="center"/>
            <w:hideMark/>
          </w:tcPr>
          <w:p w14:paraId="7F001CBB" w14:textId="1F6AF108"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0.0%*</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25B3DD3" w14:textId="5E8AC9D3" w:rsidR="00D702AF" w:rsidRPr="001A2D42" w:rsidRDefault="004323CB"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20.4%</w:t>
            </w:r>
          </w:p>
        </w:tc>
      </w:tr>
      <w:tr w:rsidR="00D702AF" w:rsidRPr="001A2D42" w14:paraId="7B2EF18C" w14:textId="77777777" w:rsidTr="00CF74BD">
        <w:trPr>
          <w:trHeight w:val="510"/>
        </w:trPr>
        <w:tc>
          <w:tcPr>
            <w:tcW w:w="2592" w:type="dxa"/>
            <w:tcBorders>
              <w:top w:val="single" w:sz="4" w:space="0" w:color="auto"/>
              <w:left w:val="single" w:sz="4" w:space="0" w:color="auto"/>
              <w:bottom w:val="single" w:sz="4" w:space="0" w:color="auto"/>
              <w:right w:val="single" w:sz="4" w:space="0" w:color="auto"/>
            </w:tcBorders>
            <w:vAlign w:val="center"/>
            <w:hideMark/>
          </w:tcPr>
          <w:p w14:paraId="0D7B282C" w14:textId="60C27EBF" w:rsidR="00D702AF" w:rsidRPr="001A2D42" w:rsidRDefault="00D702AF" w:rsidP="003B32F9">
            <w:pPr>
              <w:spacing w:after="0" w:line="240" w:lineRule="auto"/>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Niños pequeños que reciben servicios de intervención o tratamiento centrados en problemas socioemocionales</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8C0D7C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923E00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4.4%</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056B02E"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4.7%</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78B1B8A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5506376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3.7%</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A8989E5"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97BF799"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3.9%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63D68784"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8.5%</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819B21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9.1%</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4CD2D03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6.8%</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4E8B757F"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8.7%</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572771F6"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4.8%</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1F4BC8A1"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7.2%</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395C8F4C"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5.9%</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2EF2230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6.2%</w:t>
            </w:r>
          </w:p>
        </w:tc>
        <w:tc>
          <w:tcPr>
            <w:tcW w:w="663" w:type="dxa"/>
            <w:tcBorders>
              <w:top w:val="single" w:sz="4" w:space="0" w:color="auto"/>
              <w:left w:val="single" w:sz="4" w:space="0" w:color="auto"/>
              <w:bottom w:val="single" w:sz="4" w:space="0" w:color="auto"/>
              <w:right w:val="single" w:sz="4" w:space="0" w:color="auto"/>
            </w:tcBorders>
            <w:noWrap/>
            <w:vAlign w:val="center"/>
            <w:hideMark/>
          </w:tcPr>
          <w:p w14:paraId="1A36F49A"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5.6%</w:t>
            </w:r>
          </w:p>
        </w:tc>
        <w:tc>
          <w:tcPr>
            <w:tcW w:w="648" w:type="dxa"/>
            <w:tcBorders>
              <w:top w:val="single" w:sz="4" w:space="0" w:color="auto"/>
              <w:left w:val="single" w:sz="4" w:space="0" w:color="auto"/>
              <w:bottom w:val="single" w:sz="4" w:space="0" w:color="auto"/>
              <w:right w:val="single" w:sz="4" w:space="0" w:color="auto"/>
            </w:tcBorders>
            <w:noWrap/>
            <w:vAlign w:val="center"/>
            <w:hideMark/>
          </w:tcPr>
          <w:p w14:paraId="495273BD" w14:textId="77777777" w:rsidR="00D702AF" w:rsidRPr="001A2D42" w:rsidRDefault="00D702AF" w:rsidP="003B32F9">
            <w:pPr>
              <w:spacing w:after="0" w:line="240" w:lineRule="auto"/>
              <w:jc w:val="center"/>
              <w:rPr>
                <w:rFonts w:ascii="Aptos Display" w:eastAsia="Times New Roman" w:hAnsi="Aptos Display" w:cs="Arial"/>
                <w:kern w:val="0"/>
                <w:sz w:val="20"/>
                <w:szCs w:val="20"/>
                <w14:ligatures w14:val="none"/>
              </w:rPr>
            </w:pPr>
            <w:r w:rsidRPr="001A2D42">
              <w:rPr>
                <w:rFonts w:ascii="Aptos Display" w:eastAsia="Times New Roman" w:hAnsi="Aptos Display" w:cs="Arial"/>
                <w:kern w:val="0"/>
                <w:sz w:val="20"/>
                <w:szCs w:val="20"/>
                <w:lang w:bidi="es-419"/>
                <w14:ligatures w14:val="none"/>
              </w:rPr>
              <w:t>6.3%</w:t>
            </w:r>
          </w:p>
        </w:tc>
      </w:tr>
    </w:tbl>
    <w:p w14:paraId="3C2C48DF" w14:textId="77777777" w:rsidR="00D47D28" w:rsidRPr="001A2D42" w:rsidRDefault="00D47D28" w:rsidP="003B32F9">
      <w:pPr>
        <w:spacing w:line="240" w:lineRule="auto"/>
        <w:rPr>
          <w:sz w:val="22"/>
          <w:szCs w:val="20"/>
        </w:rPr>
        <w:sectPr w:rsidR="00D47D28" w:rsidRPr="001A2D42" w:rsidSect="00CF74BD">
          <w:footnotePr>
            <w:numFmt w:val="lowerLetter"/>
          </w:footnotePr>
          <w:pgSz w:w="15840" w:h="12240" w:orient="landscape"/>
          <w:pgMar w:top="1440" w:right="1152" w:bottom="1440" w:left="1152" w:header="86" w:footer="720" w:gutter="0"/>
          <w:cols w:space="720"/>
          <w:docGrid w:linePitch="360"/>
        </w:sectPr>
      </w:pPr>
    </w:p>
    <w:p w14:paraId="42FF9A8E" w14:textId="0D51937E" w:rsidR="00D47D28" w:rsidRPr="001A2D42" w:rsidRDefault="00D47D28" w:rsidP="003B32F9">
      <w:pPr>
        <w:pStyle w:val="Heading2"/>
        <w:spacing w:line="240" w:lineRule="auto"/>
      </w:pPr>
      <w:bookmarkStart w:id="30" w:name="_Toc241770419"/>
      <w:r w:rsidRPr="001A2D42">
        <w:rPr>
          <w:lang w:bidi="es-419"/>
        </w:rPr>
        <w:lastRenderedPageBreak/>
        <w:t>Apéndice E: citas [en inglés]</w:t>
      </w:r>
      <w:bookmarkEnd w:id="30"/>
    </w:p>
    <w:p w14:paraId="5DF54DA9" w14:textId="249D0A6F" w:rsidR="004321BF" w:rsidRPr="001A2D42" w:rsidRDefault="004863E7" w:rsidP="003B32F9">
      <w:pPr>
        <w:pStyle w:val="ListParagraph"/>
        <w:numPr>
          <w:ilvl w:val="0"/>
          <w:numId w:val="19"/>
        </w:numPr>
        <w:spacing w:line="240" w:lineRule="auto"/>
        <w:contextualSpacing w:val="0"/>
      </w:pPr>
      <w:r w:rsidRPr="001A2D42">
        <w:rPr>
          <w:lang w:bidi="es-419"/>
        </w:rPr>
        <w:t xml:space="preserve">Derose KP, Bahney BW, Lurie N, Escarce JJ. Revisión: los inmigrantes y el acceso, </w:t>
      </w:r>
      <w:r w:rsidR="00892354">
        <w:rPr>
          <w:lang w:bidi="es-419"/>
        </w:rPr>
        <w:br/>
      </w:r>
      <w:r w:rsidRPr="001A2D42">
        <w:rPr>
          <w:lang w:bidi="es-419"/>
        </w:rPr>
        <w:t>la calidad y el costo de la atención médica. Med Care Res Rev., agosto de 2009; 66(4):355-408. doi: 10.1177/1077558708330425. Publicación electrónica del 29 de enero de 2009. Identificador de PubMed (PubMed Identifier, PMID, por sus siglas en inglés): 19179539.</w:t>
      </w:r>
    </w:p>
    <w:p w14:paraId="6348C5B1" w14:textId="37A5F9F9" w:rsidR="004863E7" w:rsidRPr="001A2D42" w:rsidRDefault="004321BF" w:rsidP="003B32F9">
      <w:pPr>
        <w:pStyle w:val="ListParagraph"/>
        <w:numPr>
          <w:ilvl w:val="0"/>
          <w:numId w:val="19"/>
        </w:numPr>
        <w:spacing w:line="240" w:lineRule="auto"/>
        <w:contextualSpacing w:val="0"/>
      </w:pPr>
      <w:r w:rsidRPr="00262EEF">
        <w:rPr>
          <w:lang w:val="en-US" w:bidi="es-419"/>
        </w:rPr>
        <w:t xml:space="preserve">Wasserman M, Renfrew MR, Green AR, Lopez L, Tan-McGrory A, Brach C, Betancourt JR. </w:t>
      </w:r>
      <w:r w:rsidRPr="001A2D42">
        <w:rPr>
          <w:lang w:bidi="es-419"/>
        </w:rPr>
        <w:t xml:space="preserve">Identificación y prevención de errores médicos en pacientes con dominio limitado del inglés: hallazgos clave y herramientas para el campo. </w:t>
      </w:r>
      <w:r w:rsidR="00892354">
        <w:rPr>
          <w:lang w:bidi="es-419"/>
        </w:rPr>
        <w:br/>
      </w:r>
      <w:r w:rsidRPr="001A2D42">
        <w:rPr>
          <w:lang w:bidi="es-419"/>
        </w:rPr>
        <w:t>J Healthc Qual. de mayo a junio de 2014; 36(3):5-16. doi: 10.1111/jhq.12065. Publicación electrónica del 16 de marzo de 2014. PMID: 24629098; PMCID: PMC5111827.</w:t>
      </w:r>
    </w:p>
    <w:p w14:paraId="3115F7AD" w14:textId="7573A164" w:rsidR="001C103B" w:rsidRPr="001A2D42" w:rsidRDefault="00393FC9" w:rsidP="003B32F9">
      <w:pPr>
        <w:pStyle w:val="ListParagraph"/>
        <w:numPr>
          <w:ilvl w:val="0"/>
          <w:numId w:val="19"/>
        </w:numPr>
        <w:spacing w:line="240" w:lineRule="auto"/>
        <w:contextualSpacing w:val="0"/>
      </w:pPr>
      <w:r w:rsidRPr="001A2D42">
        <w:rPr>
          <w:lang w:bidi="es-419"/>
        </w:rPr>
        <w:t xml:space="preserve">www.who.int [en Internet]. Organización Mundial de la Salud (OMS). </w:t>
      </w:r>
      <w:r w:rsidR="00892354">
        <w:rPr>
          <w:lang w:bidi="es-419"/>
        </w:rPr>
        <w:br/>
      </w:r>
      <w:r w:rsidRPr="001A2D42">
        <w:rPr>
          <w:lang w:bidi="es-419"/>
        </w:rPr>
        <w:t xml:space="preserve">Hoja informativa sobre la diabetes; c2026 [citado el 16 de julio de 2026]. Disponible en: </w:t>
      </w:r>
      <w:hyperlink r:id="rId74" w:history="1">
        <w:r w:rsidR="00876A35" w:rsidRPr="001A2D42">
          <w:rPr>
            <w:rStyle w:val="Hyperlink"/>
            <w:lang w:bidi="es-419"/>
          </w:rPr>
          <w:t>https://www.who.int/news-room/fact-sheets/detail/diabetes</w:t>
        </w:r>
      </w:hyperlink>
      <w:r w:rsidRPr="001A2D42">
        <w:rPr>
          <w:lang w:bidi="es-419"/>
        </w:rPr>
        <w:t xml:space="preserve"> </w:t>
      </w:r>
    </w:p>
    <w:p w14:paraId="53176251" w14:textId="4F9F507C" w:rsidR="005D6AB1" w:rsidRPr="001A2D42" w:rsidRDefault="007F3F80" w:rsidP="003B32F9">
      <w:pPr>
        <w:pStyle w:val="ListParagraph"/>
        <w:numPr>
          <w:ilvl w:val="0"/>
          <w:numId w:val="19"/>
        </w:numPr>
        <w:spacing w:line="240" w:lineRule="auto"/>
        <w:contextualSpacing w:val="0"/>
        <w:sectPr w:rsidR="005D6AB1" w:rsidRPr="001A2D42" w:rsidSect="00D47D28">
          <w:footnotePr>
            <w:numFmt w:val="lowerLetter"/>
          </w:footnotePr>
          <w:pgSz w:w="12240" w:h="15840"/>
          <w:pgMar w:top="1440" w:right="1440" w:bottom="1440" w:left="1440" w:header="86" w:footer="720" w:gutter="0"/>
          <w:cols w:space="720"/>
          <w:docGrid w:linePitch="360"/>
        </w:sectPr>
      </w:pPr>
      <w:r w:rsidRPr="001A2D42">
        <w:rPr>
          <w:lang w:bidi="es-419"/>
        </w:rPr>
        <w:t xml:space="preserve">www.cdc.gov [en Internet]. Centros para el Control y la Prevención de Enfermedades de los Estados Unidos (Centers for Disease Control and </w:t>
      </w:r>
      <w:r w:rsidR="00892354">
        <w:rPr>
          <w:lang w:bidi="es-419"/>
        </w:rPr>
        <w:br/>
      </w:r>
      <w:r w:rsidRPr="001A2D42">
        <w:rPr>
          <w:lang w:bidi="es-419"/>
        </w:rPr>
        <w:t xml:space="preserve">Prevention, CDC, por sus siglas en inglés), diabetes: Promoción de la salud </w:t>
      </w:r>
      <w:r w:rsidR="00892354">
        <w:rPr>
          <w:lang w:bidi="es-419"/>
        </w:rPr>
        <w:br/>
      </w:r>
      <w:r w:rsidRPr="001A2D42">
        <w:rPr>
          <w:lang w:bidi="es-419"/>
        </w:rPr>
        <w:t xml:space="preserve">bucal; c2026 [citado el 16 de julio de 2026]. Disponible en: </w:t>
      </w:r>
      <w:hyperlink r:id="rId75" w:history="1">
        <w:r w:rsidRPr="001A2D42">
          <w:rPr>
            <w:rStyle w:val="Hyperlink"/>
            <w:lang w:bidi="es-419"/>
          </w:rPr>
          <w:t>https://www.cdc.gov/diabetes/hcp/clinical-guidance/how-to-promote-oral-health-for-people-with-diabetes.html</w:t>
        </w:r>
      </w:hyperlink>
      <w:r w:rsidRPr="001A2D42">
        <w:rPr>
          <w:lang w:bidi="es-419"/>
        </w:rPr>
        <w:t xml:space="preserve"> </w:t>
      </w:r>
    </w:p>
    <w:p w14:paraId="4323AC8B" w14:textId="5009CE4B" w:rsidR="00ED698D" w:rsidRPr="001A2D42" w:rsidRDefault="00ED698D" w:rsidP="003B32F9">
      <w:pPr>
        <w:pStyle w:val="AltStatement"/>
        <w:spacing w:before="9500" w:line="240" w:lineRule="auto"/>
        <w:ind w:left="-360" w:right="-360"/>
      </w:pPr>
      <w:r w:rsidRPr="001A2D42">
        <w:rPr>
          <w:lang w:bidi="es-419"/>
        </w:rPr>
        <w:lastRenderedPageBreak/>
        <w:t xml:space="preserve">Puede obtener este documento en otros idiomas, en letra grande, en braille </w:t>
      </w:r>
      <w:r w:rsidR="00892354">
        <w:rPr>
          <w:lang w:bidi="es-419"/>
        </w:rPr>
        <w:br/>
      </w:r>
      <w:r w:rsidRPr="001A2D42">
        <w:rPr>
          <w:lang w:bidi="es-419"/>
        </w:rPr>
        <w:t xml:space="preserve">o en el formato que prefiera de forma gratuita. Comuníquese al correo electrónico </w:t>
      </w:r>
      <w:hyperlink r:id="rId76" w:history="1">
        <w:r w:rsidRPr="001A2D42">
          <w:rPr>
            <w:rStyle w:val="Hyperlink"/>
            <w:lang w:bidi="es-419"/>
          </w:rPr>
          <w:t>Metrics.Questions@odhsoha.oregon.gov</w:t>
        </w:r>
      </w:hyperlink>
      <w:r w:rsidRPr="001A2D42">
        <w:rPr>
          <w:lang w:bidi="es-419"/>
        </w:rPr>
        <w:t xml:space="preserve"> o al número 503-201-1949 </w:t>
      </w:r>
      <w:r w:rsidR="00892354">
        <w:rPr>
          <w:lang w:bidi="es-419"/>
        </w:rPr>
        <w:br/>
      </w:r>
      <w:r w:rsidRPr="001A2D42">
        <w:rPr>
          <w:lang w:bidi="es-419"/>
        </w:rPr>
        <w:t xml:space="preserve">(por teléfono/mensaje de texto). Aceptamos todas las llamadas de retransmisión. </w:t>
      </w:r>
    </w:p>
    <w:p w14:paraId="4A9F38A5" w14:textId="77777777" w:rsidR="00ED698D" w:rsidRPr="001A2D42" w:rsidRDefault="00ED698D" w:rsidP="003B32F9">
      <w:pPr>
        <w:pStyle w:val="LastPageProgramInfoBox"/>
        <w:ind w:left="-360" w:right="-360"/>
        <w:rPr>
          <w:b/>
          <w:bCs/>
        </w:rPr>
      </w:pPr>
      <w:r w:rsidRPr="001A2D42">
        <w:rPr>
          <w:b/>
          <w:lang w:bidi="es-419"/>
        </w:rPr>
        <w:drawing>
          <wp:anchor distT="0" distB="0" distL="114300" distR="114300" simplePos="0" relativeHeight="251658241" behindDoc="0" locked="0" layoutInCell="1" allowOverlap="1" wp14:anchorId="33811FB0" wp14:editId="7BA960D3">
            <wp:simplePos x="0" y="0"/>
            <wp:positionH relativeFrom="margin">
              <wp:posOffset>4593590</wp:posOffset>
            </wp:positionH>
            <wp:positionV relativeFrom="paragraph">
              <wp:posOffset>151130</wp:posOffset>
            </wp:positionV>
            <wp:extent cx="1604645" cy="521318"/>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604645" cy="521318"/>
                    </a:xfrm>
                    <a:prstGeom prst="rect">
                      <a:avLst/>
                    </a:prstGeom>
                  </pic:spPr>
                </pic:pic>
              </a:graphicData>
            </a:graphic>
            <wp14:sizeRelV relativeFrom="margin">
              <wp14:pctHeight>0</wp14:pctHeight>
            </wp14:sizeRelV>
          </wp:anchor>
        </w:drawing>
      </w:r>
      <w:r w:rsidRPr="001A2D42">
        <w:rPr>
          <w:b/>
          <w:lang w:bidi="es-419"/>
        </w:rPr>
        <w:t>División de Políticas de Salud y Análisis</w:t>
      </w:r>
    </w:p>
    <w:p w14:paraId="594CFE36" w14:textId="77777777" w:rsidR="00ED698D" w:rsidRPr="001A2D42" w:rsidRDefault="00ED698D" w:rsidP="003B32F9">
      <w:pPr>
        <w:pStyle w:val="LastPageProgramInfoBox"/>
        <w:ind w:left="-360" w:right="-360"/>
      </w:pPr>
      <w:r w:rsidRPr="001A2D42">
        <w:rPr>
          <w:lang w:bidi="es-419"/>
        </w:rPr>
        <w:t>Programa de Incentivos de Calidad de las CCO</w:t>
      </w:r>
    </w:p>
    <w:p w14:paraId="79C14983" w14:textId="16652539" w:rsidR="00ED698D" w:rsidRPr="001A2D42" w:rsidRDefault="00ED698D" w:rsidP="003B32F9">
      <w:pPr>
        <w:pStyle w:val="LastPageProgramInfoBox"/>
        <w:ind w:left="-360" w:right="-360"/>
      </w:pPr>
      <w:hyperlink r:id="rId78" w:history="1">
        <w:r w:rsidRPr="001A2D42">
          <w:rPr>
            <w:rStyle w:val="Hyperlink"/>
            <w:color w:val="FFFFFF" w:themeColor="background1"/>
            <w:lang w:bidi="es-419"/>
          </w:rPr>
          <w:t>Metrics.Questions@odhsoha.oregon.gov</w:t>
        </w:r>
      </w:hyperlink>
      <w:r w:rsidRPr="001A2D42">
        <w:rPr>
          <w:lang w:bidi="es-419"/>
        </w:rPr>
        <w:t xml:space="preserve"> </w:t>
      </w:r>
    </w:p>
    <w:p w14:paraId="540A6908" w14:textId="78A5CE1E" w:rsidR="005C035A" w:rsidRPr="001A2D42" w:rsidRDefault="00EC33FE" w:rsidP="003B32F9">
      <w:pPr>
        <w:pStyle w:val="LastPageProgramInfoBox"/>
        <w:ind w:left="-360" w:right="-360"/>
      </w:pPr>
      <w:hyperlink r:id="rId79" w:history="1">
        <w:r w:rsidRPr="001A2D42">
          <w:rPr>
            <w:rStyle w:val="Hyperlink"/>
            <w:color w:val="FFFFFF" w:themeColor="background1"/>
            <w:lang w:bidi="es-419"/>
          </w:rPr>
          <w:t>Indicadores de Calidad de las CCO</w:t>
        </w:r>
      </w:hyperlink>
    </w:p>
    <w:sectPr w:rsidR="005C035A" w:rsidRPr="001A2D42" w:rsidSect="00C20449">
      <w:footerReference w:type="default" r:id="rId80"/>
      <w:footnotePr>
        <w:numFmt w:val="lowerLetter"/>
      </w:footnotePr>
      <w:pgSz w:w="12240" w:h="15840"/>
      <w:pgMar w:top="1440" w:right="1440" w:bottom="1440" w:left="1440" w:header="8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F2572" w14:textId="77777777" w:rsidR="00A13CDB" w:rsidRDefault="00A13CDB" w:rsidP="00ED698D">
      <w:pPr>
        <w:spacing w:after="0" w:line="240" w:lineRule="auto"/>
      </w:pPr>
      <w:r>
        <w:separator/>
      </w:r>
    </w:p>
  </w:endnote>
  <w:endnote w:type="continuationSeparator" w:id="0">
    <w:p w14:paraId="6724E440" w14:textId="77777777" w:rsidR="00A13CDB" w:rsidRDefault="00A13CDB" w:rsidP="00ED6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nton Sans Book">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n-ea">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02493"/>
      <w:docPartObj>
        <w:docPartGallery w:val="Page Numbers (Bottom of Page)"/>
        <w:docPartUnique/>
      </w:docPartObj>
    </w:sdtPr>
    <w:sdtEndPr>
      <w:rPr>
        <w:noProof/>
      </w:rPr>
    </w:sdtEndPr>
    <w:sdtContent>
      <w:p w14:paraId="4CAF38A5" w14:textId="77777777" w:rsidR="00ED698D" w:rsidRDefault="00ED698D">
        <w:pPr>
          <w:pStyle w:val="Footer"/>
        </w:pPr>
        <w:r>
          <w:rPr>
            <w:lang w:bidi="es-419"/>
          </w:rPr>
          <w:fldChar w:fldCharType="begin"/>
        </w:r>
        <w:r>
          <w:rPr>
            <w:lang w:bidi="es-419"/>
          </w:rPr>
          <w:instrText xml:space="preserve"> PAGE   \* MERGEFORMAT </w:instrText>
        </w:r>
        <w:r>
          <w:rPr>
            <w:lang w:bidi="es-419"/>
          </w:rPr>
          <w:fldChar w:fldCharType="separate"/>
        </w:r>
        <w:r>
          <w:rPr>
            <w:noProof/>
            <w:lang w:bidi="es-419"/>
          </w:rPr>
          <w:t>ii</w:t>
        </w:r>
        <w:r>
          <w:rPr>
            <w:lang w:bidi="es-419"/>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5F2F" w14:textId="697FA31D" w:rsidR="008F4FBD" w:rsidRDefault="008F4FBD">
    <w:pPr>
      <w:pStyle w:val="Footer"/>
    </w:pPr>
  </w:p>
  <w:p w14:paraId="695BED89" w14:textId="65A7B039" w:rsidR="00493DE3" w:rsidRDefault="00493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892654"/>
      <w:docPartObj>
        <w:docPartGallery w:val="Page Numbers (Bottom of Page)"/>
        <w:docPartUnique/>
      </w:docPartObj>
    </w:sdtPr>
    <w:sdtEndPr>
      <w:rPr>
        <w:noProof/>
      </w:rPr>
    </w:sdtEndPr>
    <w:sdtContent>
      <w:p w14:paraId="188BEBA6" w14:textId="0E278529" w:rsidR="00EC053A" w:rsidRDefault="00EC053A">
        <w:pPr>
          <w:pStyle w:val="Footer"/>
        </w:pPr>
        <w:r>
          <w:rPr>
            <w:lang w:bidi="es-419"/>
          </w:rPr>
          <w:fldChar w:fldCharType="begin"/>
        </w:r>
        <w:r>
          <w:rPr>
            <w:lang w:bidi="es-419"/>
          </w:rPr>
          <w:instrText xml:space="preserve"> PAGE   \* MERGEFORMAT </w:instrText>
        </w:r>
        <w:r>
          <w:rPr>
            <w:lang w:bidi="es-419"/>
          </w:rPr>
          <w:fldChar w:fldCharType="separate"/>
        </w:r>
        <w:r>
          <w:rPr>
            <w:noProof/>
            <w:lang w:bidi="es-419"/>
          </w:rPr>
          <w:t>2</w:t>
        </w:r>
        <w:r>
          <w:rPr>
            <w:noProof/>
            <w:lang w:bidi="es-419"/>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5752" w14:textId="77777777" w:rsidR="00ED698D" w:rsidRDefault="00ED6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738F1" w14:textId="77777777" w:rsidR="00A13CDB" w:rsidRDefault="00A13CDB" w:rsidP="00ED698D">
      <w:pPr>
        <w:spacing w:after="0" w:line="240" w:lineRule="auto"/>
      </w:pPr>
      <w:r>
        <w:separator/>
      </w:r>
    </w:p>
  </w:footnote>
  <w:footnote w:type="continuationSeparator" w:id="0">
    <w:p w14:paraId="7A816D48" w14:textId="77777777" w:rsidR="00A13CDB" w:rsidRDefault="00A13CDB" w:rsidP="00ED698D">
      <w:pPr>
        <w:spacing w:after="0" w:line="240" w:lineRule="auto"/>
      </w:pPr>
      <w:r>
        <w:continuationSeparator/>
      </w:r>
    </w:p>
  </w:footnote>
  <w:footnote w:id="1">
    <w:p w14:paraId="326215E1" w14:textId="0016D3FA" w:rsidR="00ED698D" w:rsidRPr="00F44D76" w:rsidRDefault="00ED698D" w:rsidP="00402969">
      <w:pPr>
        <w:pStyle w:val="FootnoteText"/>
        <w:keepNext/>
        <w:keepLines/>
        <w:rPr>
          <w:sz w:val="22"/>
          <w:szCs w:val="22"/>
        </w:rPr>
      </w:pPr>
      <w:r w:rsidRPr="00F44D76">
        <w:rPr>
          <w:rStyle w:val="FootnoteReference"/>
          <w:sz w:val="22"/>
          <w:szCs w:val="22"/>
          <w:lang w:bidi="es-419"/>
        </w:rPr>
        <w:footnoteRef/>
      </w:r>
      <w:r w:rsidRPr="00F44D76">
        <w:rPr>
          <w:sz w:val="22"/>
          <w:szCs w:val="22"/>
          <w:lang w:bidi="es-419"/>
        </w:rPr>
        <w:t xml:space="preserve"> Los proveedores deben ser los principales responsables de los servicios durante la visita. </w:t>
      </w:r>
      <w:r w:rsidR="005A51E2">
        <w:rPr>
          <w:sz w:val="22"/>
          <w:szCs w:val="22"/>
          <w:lang w:bidi="es-419"/>
        </w:rPr>
        <w:br/>
      </w:r>
      <w:r w:rsidRPr="00F44D76">
        <w:rPr>
          <w:sz w:val="22"/>
          <w:szCs w:val="22"/>
          <w:lang w:bidi="es-419"/>
        </w:rPr>
        <w:t>El personal de apoyo o el personal general de la clínica no son elegibles.</w:t>
      </w:r>
    </w:p>
  </w:footnote>
  <w:footnote w:id="2">
    <w:p w14:paraId="77EE1BA5" w14:textId="39E9C603" w:rsidR="00ED698D" w:rsidRPr="00F44D76" w:rsidRDefault="00ED698D" w:rsidP="00402969">
      <w:pPr>
        <w:pStyle w:val="FootnoteText"/>
        <w:keepNext/>
        <w:keepLines/>
        <w:rPr>
          <w:sz w:val="22"/>
          <w:szCs w:val="22"/>
        </w:rPr>
      </w:pPr>
      <w:r w:rsidRPr="00F44D76">
        <w:rPr>
          <w:rStyle w:val="FootnoteReference"/>
          <w:sz w:val="22"/>
          <w:szCs w:val="22"/>
          <w:lang w:bidi="es-419"/>
        </w:rPr>
        <w:footnoteRef/>
      </w:r>
      <w:r w:rsidRPr="00F44D76">
        <w:rPr>
          <w:sz w:val="22"/>
          <w:szCs w:val="22"/>
          <w:lang w:bidi="es-419"/>
        </w:rPr>
        <w:t xml:space="preserve"> </w:t>
      </w:r>
      <w:r>
        <w:fldChar w:fldCharType="begin"/>
      </w:r>
      <w:r>
        <w:instrText>HYPERLINK "https://secure.sos.state.or.us/oard/displayDivisionRules.action?selectedDivision=7797"</w:instrText>
      </w:r>
      <w:r>
        <w:fldChar w:fldCharType="separate"/>
      </w:r>
      <w:r w:rsidRPr="00F44D76">
        <w:rPr>
          <w:rStyle w:val="Hyperlink"/>
          <w:sz w:val="22"/>
          <w:szCs w:val="22"/>
          <w:lang w:bidi="es-419"/>
        </w:rPr>
        <w:t xml:space="preserve">Secciones 950-050-0160, 950-050-0170, y 950-050-0180 de las Reglas Administrativas de </w:t>
      </w:r>
      <w:r w:rsidR="003B32F9">
        <w:rPr>
          <w:rStyle w:val="Hyperlink"/>
          <w:sz w:val="22"/>
          <w:szCs w:val="22"/>
          <w:lang w:bidi="es-419"/>
        </w:rPr>
        <w:br/>
      </w:r>
      <w:r w:rsidRPr="00F44D76">
        <w:rPr>
          <w:rStyle w:val="Hyperlink"/>
          <w:sz w:val="22"/>
          <w:szCs w:val="22"/>
          <w:lang w:bidi="es-419"/>
        </w:rPr>
        <w:t>Oregon (OAR)</w:t>
      </w:r>
      <w:r>
        <w:fldChar w:fldCharType="end"/>
      </w:r>
    </w:p>
  </w:footnote>
  <w:footnote w:id="3">
    <w:p w14:paraId="04A79104" w14:textId="77777777" w:rsidR="00ED698D" w:rsidRPr="00F44D76" w:rsidRDefault="00ED698D" w:rsidP="00402969">
      <w:pPr>
        <w:pStyle w:val="FootnoteText"/>
        <w:keepNext/>
        <w:keepLines/>
        <w:rPr>
          <w:sz w:val="22"/>
          <w:szCs w:val="22"/>
        </w:rPr>
      </w:pPr>
      <w:r w:rsidRPr="00F44D76">
        <w:rPr>
          <w:rStyle w:val="FootnoteReference"/>
          <w:sz w:val="22"/>
          <w:szCs w:val="22"/>
          <w:lang w:bidi="es-419"/>
        </w:rPr>
        <w:footnoteRef/>
      </w:r>
      <w:r w:rsidRPr="00F44D76">
        <w:rPr>
          <w:sz w:val="22"/>
          <w:szCs w:val="22"/>
          <w:lang w:bidi="es-419"/>
        </w:rPr>
        <w:t xml:space="preserve"> Las pruebas de dominio y las puntuaciones aprobadas incluyen: </w:t>
      </w:r>
    </w:p>
    <w:p w14:paraId="2B72F489" w14:textId="39D125E4" w:rsidR="00ED698D" w:rsidRPr="00F44D76" w:rsidRDefault="00ED698D" w:rsidP="00402969">
      <w:pPr>
        <w:pStyle w:val="FootnoteText"/>
        <w:keepNext/>
        <w:keepLines/>
        <w:numPr>
          <w:ilvl w:val="0"/>
          <w:numId w:val="7"/>
        </w:numPr>
        <w:rPr>
          <w:sz w:val="22"/>
          <w:szCs w:val="22"/>
        </w:rPr>
      </w:pPr>
      <w:r w:rsidRPr="00F44D76">
        <w:rPr>
          <w:sz w:val="22"/>
          <w:szCs w:val="22"/>
          <w:lang w:bidi="es-419"/>
        </w:rPr>
        <w:t xml:space="preserve">Mayor a 3 para la prueba de dominio de Language Line Solutions (LLS) o una puntuación </w:t>
      </w:r>
      <w:r w:rsidR="003B32F9">
        <w:rPr>
          <w:sz w:val="22"/>
          <w:szCs w:val="22"/>
          <w:lang w:bidi="es-419"/>
        </w:rPr>
        <w:br/>
      </w:r>
      <w:r w:rsidRPr="00F44D76">
        <w:rPr>
          <w:sz w:val="22"/>
          <w:szCs w:val="22"/>
          <w:lang w:bidi="es-419"/>
        </w:rPr>
        <w:t>de 'Competente' en la Evaluación de Fluidez Bilingüe (Bilingual Fluency Assessment, BFA, por su</w:t>
      </w:r>
      <w:r w:rsidR="00D90E26">
        <w:rPr>
          <w:sz w:val="22"/>
          <w:szCs w:val="22"/>
          <w:lang w:bidi="es-419"/>
        </w:rPr>
        <w:t>s</w:t>
      </w:r>
      <w:r w:rsidRPr="00F44D76">
        <w:rPr>
          <w:sz w:val="22"/>
          <w:szCs w:val="22"/>
          <w:lang w:bidi="es-419"/>
        </w:rPr>
        <w:t xml:space="preserve"> siglas en inglés) de LLS o en la Evaluación de Fluidez Bilingüe para Especialistas Clínicos (Bilingual Fluency Assessment for Clinicians, BFAC, por su</w:t>
      </w:r>
      <w:r w:rsidR="005B59D3">
        <w:rPr>
          <w:sz w:val="22"/>
          <w:szCs w:val="22"/>
          <w:lang w:bidi="es-419"/>
        </w:rPr>
        <w:t>s</w:t>
      </w:r>
      <w:r w:rsidRPr="00F44D76">
        <w:rPr>
          <w:sz w:val="22"/>
          <w:szCs w:val="22"/>
          <w:lang w:bidi="es-419"/>
        </w:rPr>
        <w:t xml:space="preserve"> siglas en inglés) de LLS</w:t>
      </w:r>
    </w:p>
    <w:p w14:paraId="741BFA71" w14:textId="27E7ED10" w:rsidR="00ED698D" w:rsidRPr="00F44D76" w:rsidRDefault="00ED698D" w:rsidP="00402969">
      <w:pPr>
        <w:pStyle w:val="FootnoteText"/>
        <w:keepNext/>
        <w:keepLines/>
        <w:numPr>
          <w:ilvl w:val="0"/>
          <w:numId w:val="7"/>
        </w:numPr>
        <w:rPr>
          <w:sz w:val="22"/>
          <w:szCs w:val="22"/>
        </w:rPr>
      </w:pPr>
      <w:r w:rsidRPr="00F44D76">
        <w:rPr>
          <w:sz w:val="22"/>
          <w:szCs w:val="22"/>
          <w:lang w:bidi="es-419"/>
        </w:rPr>
        <w:t xml:space="preserve">Nivel intermedio avanzado o superior para el Consejo Estadounidense para la Enseñanza de Lenguas Extranjeras (American Council on the Teaching of Foreign Language, ACTFL, </w:t>
      </w:r>
      <w:r w:rsidR="003B32F9">
        <w:rPr>
          <w:sz w:val="22"/>
          <w:szCs w:val="22"/>
          <w:lang w:bidi="es-419"/>
        </w:rPr>
        <w:br/>
      </w:r>
      <w:r w:rsidRPr="00F44D76">
        <w:rPr>
          <w:sz w:val="22"/>
          <w:szCs w:val="22"/>
          <w:lang w:bidi="es-419"/>
        </w:rPr>
        <w:t>por sus siglas en inglés) (es decir, la prueba de dominio según Language Testing International)</w:t>
      </w:r>
    </w:p>
    <w:p w14:paraId="7063B69C" w14:textId="77777777" w:rsidR="00ED698D" w:rsidRPr="00F44D76" w:rsidRDefault="00ED698D" w:rsidP="00402969">
      <w:pPr>
        <w:pStyle w:val="FootnoteText"/>
        <w:keepNext/>
        <w:keepLines/>
        <w:numPr>
          <w:ilvl w:val="0"/>
          <w:numId w:val="7"/>
        </w:numPr>
        <w:rPr>
          <w:sz w:val="22"/>
          <w:szCs w:val="22"/>
        </w:rPr>
      </w:pPr>
      <w:r w:rsidRPr="00F44D76">
        <w:rPr>
          <w:sz w:val="22"/>
          <w:szCs w:val="22"/>
          <w:lang w:bidi="es-419"/>
        </w:rPr>
        <w:t>Pruebas de dominio ALTA con una escala de calificación de 8 o superior.</w:t>
      </w:r>
    </w:p>
    <w:p w14:paraId="3C617EBA" w14:textId="77777777" w:rsidR="00ED698D" w:rsidRDefault="00ED698D" w:rsidP="00402969">
      <w:pPr>
        <w:pStyle w:val="FootnoteText"/>
        <w:keepNext/>
        <w:keepLines/>
        <w:numPr>
          <w:ilvl w:val="0"/>
          <w:numId w:val="7"/>
        </w:numPr>
      </w:pPr>
      <w:r w:rsidRPr="00F44D76">
        <w:rPr>
          <w:sz w:val="22"/>
          <w:szCs w:val="22"/>
          <w:lang w:bidi="es-419"/>
        </w:rPr>
        <w:t>Los proveedores que hablan el idioma y que han aprobado una entrevista de dominio oral (Oral Proficiency Interview, OPI, por sus siglas en inglés) aprobada por la OHA también califican para cumplir con el requisito de dominio del idioma.</w:t>
      </w:r>
    </w:p>
  </w:footnote>
  <w:footnote w:id="4">
    <w:p w14:paraId="03476962" w14:textId="3DB967A2" w:rsidR="00ED698D" w:rsidRDefault="00ED698D" w:rsidP="00ED698D">
      <w:pPr>
        <w:pStyle w:val="FootnoteText"/>
      </w:pPr>
      <w:r w:rsidRPr="00F44D76">
        <w:rPr>
          <w:rStyle w:val="FootnoteReference"/>
          <w:sz w:val="22"/>
          <w:szCs w:val="22"/>
          <w:lang w:bidi="es-419"/>
        </w:rPr>
        <w:footnoteRef/>
      </w:r>
      <w:r w:rsidRPr="00F44D76">
        <w:rPr>
          <w:sz w:val="22"/>
          <w:szCs w:val="22"/>
          <w:lang w:bidi="es-419"/>
        </w:rPr>
        <w:t xml:space="preserve"> La intervención o tratamiento centrados en problemas socioemocionales para niños pequeños no se incluye en esta gráfica. En 2024, las tasas de todas las CCO fueron inferiores al 10%. Una línea base baja (tasa de 2024) enfatiza el cambio porcentual de un año a otro.</w:t>
      </w:r>
    </w:p>
  </w:footnote>
  <w:footnote w:id="5">
    <w:p w14:paraId="1BA62C5F" w14:textId="2814D154" w:rsidR="00082D22" w:rsidRDefault="00082D22" w:rsidP="00082D22">
      <w:pPr>
        <w:pStyle w:val="FootnoteText"/>
      </w:pPr>
      <w:r w:rsidRPr="00A951E2">
        <w:rPr>
          <w:rStyle w:val="FootnoteReference"/>
          <w:sz w:val="22"/>
          <w:szCs w:val="22"/>
          <w:lang w:bidi="es-419"/>
        </w:rPr>
        <w:footnoteRef/>
      </w:r>
      <w:r w:rsidRPr="00A951E2">
        <w:rPr>
          <w:sz w:val="22"/>
          <w:szCs w:val="22"/>
          <w:lang w:bidi="es-419"/>
        </w:rPr>
        <w:t xml:space="preserve"> En 2014, esta medida se amplió para incluir evaluaciones de salud dental. Debido a esto, </w:t>
      </w:r>
      <w:r w:rsidR="00510D02">
        <w:rPr>
          <w:sz w:val="22"/>
          <w:szCs w:val="22"/>
          <w:lang w:bidi="es-419"/>
        </w:rPr>
        <w:br/>
      </w:r>
      <w:r w:rsidRPr="00A951E2">
        <w:rPr>
          <w:sz w:val="22"/>
          <w:szCs w:val="22"/>
          <w:lang w:bidi="es-419"/>
        </w:rPr>
        <w:t>los resultados anteriores a 2014 no son comparables con los años posteriores.</w:t>
      </w:r>
    </w:p>
  </w:footnote>
  <w:footnote w:id="6">
    <w:p w14:paraId="7251B43B" w14:textId="77777777" w:rsidR="00ED698D" w:rsidRPr="00F44D76" w:rsidRDefault="00ED698D" w:rsidP="00ED698D">
      <w:pPr>
        <w:pStyle w:val="FootnoteText"/>
        <w:rPr>
          <w:sz w:val="22"/>
          <w:szCs w:val="22"/>
        </w:rPr>
      </w:pPr>
      <w:r w:rsidRPr="00F44D76">
        <w:rPr>
          <w:rStyle w:val="FootnoteReference"/>
          <w:sz w:val="22"/>
          <w:szCs w:val="22"/>
          <w:lang w:bidi="es-419"/>
        </w:rPr>
        <w:footnoteRef/>
      </w:r>
      <w:r w:rsidRPr="00F44D76">
        <w:rPr>
          <w:sz w:val="22"/>
          <w:szCs w:val="22"/>
          <w:lang w:bidi="es-419"/>
        </w:rPr>
        <w:t xml:space="preserve"> Los proveedores deben ser hablantes nativos o haber aprobado una prueba de dominio del idioma. Los proveedores deben ser los principales responsables de los servicios durante la visita. El personal de apoyo o el personal general de la clínica no son elegibles.</w:t>
      </w:r>
    </w:p>
  </w:footnote>
  <w:footnote w:id="7">
    <w:p w14:paraId="437C2B27" w14:textId="49B60515" w:rsidR="00ED698D" w:rsidRDefault="00ED698D" w:rsidP="00ED698D">
      <w:pPr>
        <w:pStyle w:val="FootnoteText"/>
      </w:pPr>
      <w:r w:rsidRPr="00F44D76">
        <w:rPr>
          <w:rStyle w:val="FootnoteReference"/>
          <w:sz w:val="22"/>
          <w:szCs w:val="22"/>
          <w:lang w:bidi="es-419"/>
        </w:rPr>
        <w:footnoteRef/>
      </w:r>
      <w:r w:rsidRPr="00F44D76">
        <w:rPr>
          <w:sz w:val="22"/>
          <w:szCs w:val="22"/>
          <w:lang w:bidi="es-419"/>
        </w:rPr>
        <w:t xml:space="preserve"> </w:t>
      </w:r>
      <w:hyperlink r:id="rId1" w:history="1">
        <w:r w:rsidRPr="00F44D76">
          <w:rPr>
            <w:rStyle w:val="Hyperlink"/>
            <w:sz w:val="22"/>
            <w:szCs w:val="22"/>
            <w:lang w:bidi="es-419"/>
          </w:rPr>
          <w:t>Secciones 950-050-0160, 950-050-0170, y 950-050-0180 de las OAR</w:t>
        </w:r>
      </w:hyperlink>
    </w:p>
  </w:footnote>
  <w:footnote w:id="8">
    <w:p w14:paraId="0D904A6B" w14:textId="20E87983" w:rsidR="00ED698D" w:rsidRDefault="00ED698D" w:rsidP="00ED698D">
      <w:pPr>
        <w:pStyle w:val="FootnoteText"/>
      </w:pPr>
      <w:r w:rsidRPr="00F44D76">
        <w:rPr>
          <w:rStyle w:val="FootnoteReference"/>
          <w:sz w:val="22"/>
          <w:szCs w:val="22"/>
          <w:lang w:bidi="es-419"/>
        </w:rPr>
        <w:footnoteRef/>
      </w:r>
      <w:r w:rsidRPr="00F44D76">
        <w:rPr>
          <w:sz w:val="22"/>
          <w:szCs w:val="22"/>
          <w:lang w:bidi="es-419"/>
        </w:rPr>
        <w:t xml:space="preserve"> Incluye difteria, tétanos y tos ferina acelular (</w:t>
      </w:r>
      <w:r w:rsidRPr="00F44D76">
        <w:rPr>
          <w:sz w:val="22"/>
          <w:szCs w:val="22"/>
          <w:lang w:bidi="es-419"/>
        </w:rPr>
        <w:t xml:space="preserve">Diphtheria, Tetanus and acellular Pertussis, DTaP, por sus siglas en inglés); vacuna inactivada contra la poliomielitis (Inactivated Polio Vaccine, IPV, por sus siglas en inglés); sarampión, paperas y rubéola (Measles, Mumps and Rubella, MMR, </w:t>
      </w:r>
      <w:r w:rsidR="003C3E0B">
        <w:rPr>
          <w:sz w:val="22"/>
          <w:szCs w:val="22"/>
          <w:lang w:bidi="es-419"/>
        </w:rPr>
        <w:br/>
      </w:r>
      <w:r w:rsidRPr="00F44D76">
        <w:rPr>
          <w:sz w:val="22"/>
          <w:szCs w:val="22"/>
          <w:lang w:bidi="es-419"/>
        </w:rPr>
        <w:t xml:space="preserve">por sus siglas en inglés); Haemophilus influenzae tipo b (Haemophilus influenzae type b, Hib, </w:t>
      </w:r>
      <w:r w:rsidR="003C3E0B">
        <w:rPr>
          <w:sz w:val="22"/>
          <w:szCs w:val="22"/>
          <w:lang w:bidi="es-419"/>
        </w:rPr>
        <w:br/>
      </w:r>
      <w:r w:rsidRPr="00F44D76">
        <w:rPr>
          <w:sz w:val="22"/>
          <w:szCs w:val="22"/>
          <w:lang w:bidi="es-419"/>
        </w:rPr>
        <w:t>por sus siglas en inglés); hepatitis B; vacuna contra la varicela-zóster (Varicella-Zoster Vaccine, VZV, por sus siglas en inglés); y vacunas conjugadas contra el neumococo (Pneumococcal Conjugate Vaccines, PCV, por sus siglas en inglés).</w:t>
      </w:r>
    </w:p>
  </w:footnote>
  <w:footnote w:id="9">
    <w:p w14:paraId="738396C7" w14:textId="707B58A1" w:rsidR="00ED698D" w:rsidRDefault="00ED698D" w:rsidP="00ED698D">
      <w:pPr>
        <w:pStyle w:val="FootnoteText"/>
      </w:pPr>
      <w:r w:rsidRPr="00F44D76">
        <w:rPr>
          <w:rStyle w:val="FootnoteReference"/>
          <w:sz w:val="22"/>
          <w:szCs w:val="22"/>
          <w:lang w:bidi="es-419"/>
        </w:rPr>
        <w:footnoteRef/>
      </w:r>
      <w:r w:rsidRPr="00F44D76">
        <w:rPr>
          <w:sz w:val="22"/>
          <w:szCs w:val="22"/>
          <w:lang w:bidi="es-419"/>
        </w:rPr>
        <w:t xml:space="preserve"> Incluye la vacuna meningocócica; tétanos, difteria, tos ferina acelular (</w:t>
      </w:r>
      <w:r w:rsidRPr="00F44D76">
        <w:rPr>
          <w:sz w:val="22"/>
          <w:szCs w:val="22"/>
          <w:lang w:bidi="es-419"/>
        </w:rPr>
        <w:t>Tetanus, Diphtheria, Acellular Pertussis, TDAP/TD, por su</w:t>
      </w:r>
      <w:r w:rsidR="00531A84">
        <w:rPr>
          <w:sz w:val="22"/>
          <w:szCs w:val="22"/>
          <w:lang w:bidi="es-419"/>
        </w:rPr>
        <w:t>s</w:t>
      </w:r>
      <w:r w:rsidRPr="00F44D76">
        <w:rPr>
          <w:sz w:val="22"/>
          <w:szCs w:val="22"/>
          <w:lang w:bidi="es-419"/>
        </w:rPr>
        <w:t xml:space="preserve"> siglas en inglés); y la serie completa del virus del papiloma humano (VPH) para adolescentes.</w:t>
      </w:r>
    </w:p>
  </w:footnote>
  <w:footnote w:id="10">
    <w:p w14:paraId="1A3C3B12" w14:textId="6A4E8801" w:rsidR="00ED698D" w:rsidRDefault="00ED698D" w:rsidP="00ED698D">
      <w:pPr>
        <w:pStyle w:val="FootnoteText"/>
      </w:pPr>
      <w:r w:rsidRPr="00BF45C0">
        <w:rPr>
          <w:rStyle w:val="FootnoteReference"/>
          <w:sz w:val="22"/>
          <w:szCs w:val="22"/>
          <w:lang w:bidi="es-419"/>
        </w:rPr>
        <w:footnoteRef/>
      </w:r>
      <w:r w:rsidRPr="00BF45C0">
        <w:rPr>
          <w:sz w:val="22"/>
          <w:szCs w:val="22"/>
          <w:lang w:bidi="es-419"/>
        </w:rPr>
        <w:t xml:space="preserve"> Las revisiones de las gráficas se introdujeron en 2014. De 2011 a 2013, esta medida utilizó únicamente datos de reclamaciones administrativas para toda la población. Debido a esto, </w:t>
      </w:r>
      <w:r w:rsidR="005C64FB">
        <w:rPr>
          <w:sz w:val="22"/>
          <w:szCs w:val="22"/>
          <w:lang w:bidi="es-419"/>
        </w:rPr>
        <w:br/>
      </w:r>
      <w:r w:rsidRPr="00BF45C0">
        <w:rPr>
          <w:sz w:val="22"/>
          <w:szCs w:val="22"/>
          <w:lang w:bidi="es-419"/>
        </w:rPr>
        <w:t>los resultados anteriores a 2014 no son comparables con los años posteriores.</w:t>
      </w:r>
    </w:p>
  </w:footnote>
  <w:footnote w:id="11">
    <w:p w14:paraId="6FA34B5D" w14:textId="70F9B4E7" w:rsidR="00F02AF9" w:rsidRPr="00F02AF9" w:rsidRDefault="00F02AF9">
      <w:pPr>
        <w:pStyle w:val="FootnoteText"/>
        <w:rPr>
          <w:sz w:val="22"/>
          <w:szCs w:val="22"/>
        </w:rPr>
      </w:pPr>
      <w:r w:rsidRPr="00F02AF9">
        <w:rPr>
          <w:rStyle w:val="FootnoteReference"/>
          <w:sz w:val="22"/>
          <w:szCs w:val="22"/>
          <w:lang w:bidi="es-419"/>
        </w:rPr>
        <w:footnoteRef/>
      </w:r>
      <w:r w:rsidR="00FC65FC">
        <w:rPr>
          <w:sz w:val="22"/>
          <w:szCs w:val="22"/>
          <w:lang w:bidi="es-419"/>
        </w:rPr>
        <w:t xml:space="preserve"> A partir de 2022, esta medida lleva un conteo de los servicios basados en el número de nuevos diagnósticos del SUD. Anteriormente, la medida se basaba en el número de miembros recién diagnosticados con SUD. Este cambio permite reflejar mejor los servicios para los miembros </w:t>
      </w:r>
      <w:r w:rsidR="00FB08F7">
        <w:rPr>
          <w:sz w:val="22"/>
          <w:szCs w:val="22"/>
          <w:lang w:bidi="es-419"/>
        </w:rPr>
        <w:br/>
      </w:r>
      <w:r w:rsidR="00FC65FC">
        <w:rPr>
          <w:sz w:val="22"/>
          <w:szCs w:val="22"/>
          <w:lang w:bidi="es-419"/>
        </w:rPr>
        <w:t>con múltiples diagnósticos de SUD. Debido a esto, los resultados anteriores a 2022 no son directamente comparables con los años posteriores.</w:t>
      </w:r>
    </w:p>
  </w:footnote>
  <w:footnote w:id="12">
    <w:p w14:paraId="226996DC" w14:textId="23962BF2" w:rsidR="00D07DBE" w:rsidRPr="00D07DBE" w:rsidRDefault="00D07DBE">
      <w:pPr>
        <w:pStyle w:val="FootnoteText"/>
        <w:rPr>
          <w:sz w:val="22"/>
          <w:szCs w:val="22"/>
        </w:rPr>
      </w:pPr>
      <w:r w:rsidRPr="00D07DBE">
        <w:rPr>
          <w:rStyle w:val="FootnoteReference"/>
          <w:sz w:val="22"/>
          <w:szCs w:val="22"/>
          <w:lang w:bidi="es-419"/>
        </w:rPr>
        <w:footnoteRef/>
      </w:r>
      <w:r w:rsidRPr="00D07DBE">
        <w:rPr>
          <w:sz w:val="22"/>
          <w:szCs w:val="22"/>
          <w:lang w:bidi="es-419"/>
        </w:rPr>
        <w:t xml:space="preserve"> En 2019, este indicador se amplió para incluir a miembros de 12 a 17 </w:t>
      </w:r>
      <w:r w:rsidRPr="00D07DBE">
        <w:rPr>
          <w:sz w:val="22"/>
          <w:szCs w:val="22"/>
          <w:lang w:bidi="es-419"/>
        </w:rPr>
        <w:t>años de edad. Debido a esto, los resultados anteriores a 2019 no son comparables con los de años posteriores.</w:t>
      </w:r>
    </w:p>
  </w:footnote>
  <w:footnote w:id="13">
    <w:p w14:paraId="03EFD5FC" w14:textId="77777777" w:rsidR="00ED698D" w:rsidRDefault="00ED698D" w:rsidP="00ED698D">
      <w:pPr>
        <w:pStyle w:val="FootnoteText"/>
      </w:pPr>
      <w:r w:rsidRPr="005831B3">
        <w:rPr>
          <w:rStyle w:val="FootnoteReference"/>
          <w:sz w:val="22"/>
          <w:szCs w:val="22"/>
          <w:lang w:bidi="es-419"/>
        </w:rPr>
        <w:footnoteRef/>
      </w:r>
      <w:r w:rsidRPr="005831B3">
        <w:rPr>
          <w:sz w:val="22"/>
          <w:szCs w:val="22"/>
          <w:lang w:bidi="es-419"/>
        </w:rPr>
        <w:t xml:space="preserve"> Las medidas que requieren cumplir ambos componentes se cuentan como una sola medida</w:t>
      </w:r>
    </w:p>
  </w:footnote>
  <w:footnote w:id="14">
    <w:p w14:paraId="22F0D40E" w14:textId="6E071208" w:rsidR="00ED698D" w:rsidRPr="00CF6DD6" w:rsidRDefault="00ED698D" w:rsidP="00ED698D">
      <w:pPr>
        <w:pStyle w:val="FootnoteText"/>
        <w:rPr>
          <w:sz w:val="22"/>
          <w:szCs w:val="22"/>
        </w:rPr>
      </w:pPr>
      <w:r w:rsidRPr="00CF6DD6">
        <w:rPr>
          <w:rStyle w:val="FootnoteReference"/>
          <w:sz w:val="22"/>
          <w:szCs w:val="22"/>
          <w:lang w:bidi="es-419"/>
        </w:rPr>
        <w:footnoteRef/>
      </w:r>
      <w:r w:rsidRPr="00CF6DD6">
        <w:rPr>
          <w:sz w:val="22"/>
          <w:szCs w:val="22"/>
          <w:lang w:bidi="es-419"/>
        </w:rPr>
        <w:t xml:space="preserve"> Según el contrato original de las CCO de 2020, la OHA debía retener el 4.25% de los pagos PMPM de 2020 de cada CCO para financiar el fondo de incentivos por calidad. Debido a la pandemia del COVID-19, la retención se suspendió en abril de 2020 para que los fondos pudieran inyectarse en el sistema de atención médica para ayudar a las CCO a abordar necesidades críticas. </w:t>
      </w:r>
    </w:p>
    <w:p w14:paraId="0C03D6B6" w14:textId="77777777" w:rsidR="00ED698D" w:rsidRDefault="00ED698D" w:rsidP="00ED698D">
      <w:pPr>
        <w:pStyle w:val="FootnoteText"/>
      </w:pPr>
    </w:p>
  </w:footnote>
  <w:footnote w:id="15">
    <w:p w14:paraId="0A50AB62" w14:textId="77777777" w:rsidR="00ED698D" w:rsidRPr="0013670D" w:rsidRDefault="00ED698D" w:rsidP="00ED698D">
      <w:pPr>
        <w:pStyle w:val="BodyTextindent"/>
        <w:ind w:left="0" w:right="0"/>
        <w:rPr>
          <w:rFonts w:asciiTheme="minorHAnsi" w:hAnsiTheme="minorHAnsi" w:cstheme="minorHAnsi"/>
          <w:color w:val="auto"/>
          <w:sz w:val="22"/>
        </w:rPr>
      </w:pPr>
      <w:r w:rsidRPr="0013670D">
        <w:rPr>
          <w:rStyle w:val="FootnoteReference"/>
          <w:color w:val="auto"/>
          <w:sz w:val="22"/>
          <w:lang w:bidi="es-419"/>
        </w:rPr>
        <w:footnoteRef/>
      </w:r>
      <w:r w:rsidRPr="0013670D">
        <w:rPr>
          <w:rFonts w:asciiTheme="minorHAnsi" w:hAnsiTheme="minorHAnsi" w:cstheme="minorHAnsi"/>
          <w:color w:val="auto"/>
          <w:sz w:val="22"/>
          <w:lang w:bidi="es-419"/>
        </w:rPr>
        <w:t xml:space="preserve"> No incluimos el año 2020 en esta gráfica. En 2020, todos los puntos de referencia pasaron a ser solo para fines informativos, los cuales cumplieron todas las CCO.</w:t>
      </w:r>
    </w:p>
  </w:footnote>
  <w:footnote w:id="16">
    <w:p w14:paraId="71E08084" w14:textId="5C767032" w:rsidR="00ED698D" w:rsidRDefault="00ED698D" w:rsidP="00ED698D">
      <w:pPr>
        <w:pStyle w:val="FootnoteText"/>
      </w:pPr>
      <w:r w:rsidRPr="004C43F0">
        <w:rPr>
          <w:rStyle w:val="FootnoteReference"/>
          <w:sz w:val="22"/>
          <w:szCs w:val="22"/>
          <w:lang w:bidi="es-419"/>
        </w:rPr>
        <w:footnoteRef/>
      </w:r>
      <w:r w:rsidRPr="004C43F0">
        <w:rPr>
          <w:sz w:val="22"/>
          <w:szCs w:val="22"/>
          <w:lang w:bidi="es-419"/>
        </w:rPr>
        <w:t xml:space="preserve"> El total de personas inscritas es el promedio de miembros mensuales en 2025. Estas estimaciones provienen de la Oficina de Servicios Financieros y Actuariales (Office </w:t>
      </w:r>
      <w:r w:rsidRPr="004C43F0">
        <w:rPr>
          <w:sz w:val="22"/>
          <w:szCs w:val="22"/>
          <w:lang w:bidi="es-419"/>
        </w:rPr>
        <w:t>of Financial and Actuarial Services, OAFA, por sus siglas en inglés) de la OHA y se utilizan para calcular los pagos del fondo de incentivos por calidad.</w:t>
      </w:r>
    </w:p>
  </w:footnote>
  <w:footnote w:id="17">
    <w:p w14:paraId="140D40C0" w14:textId="5C42A751" w:rsidR="0003013A" w:rsidRDefault="0003013A" w:rsidP="0003013A">
      <w:pPr>
        <w:pStyle w:val="FootnoteText"/>
      </w:pPr>
      <w:r>
        <w:rPr>
          <w:rStyle w:val="FootnoteReference"/>
          <w:lang w:bidi="es-419"/>
        </w:rPr>
        <w:footnoteRef/>
      </w:r>
      <w:r>
        <w:rPr>
          <w:lang w:bidi="es-419"/>
        </w:rPr>
        <w:t xml:space="preserve"> </w:t>
      </w:r>
      <w:r w:rsidRPr="009A5FEE">
        <w:rPr>
          <w:sz w:val="22"/>
          <w:szCs w:val="22"/>
          <w:lang w:bidi="es-419"/>
        </w:rPr>
        <w:t xml:space="preserve">Oregon requiere que las Organizaciones de Atención Administrada (Managed Care Organizations, MCO, por sus siglas en inglés) </w:t>
      </w:r>
      <w:r w:rsidR="00637340">
        <w:rPr>
          <w:sz w:val="22"/>
          <w:szCs w:val="22"/>
          <w:lang w:bidi="es-419"/>
        </w:rPr>
        <w:br/>
      </w:r>
      <w:r w:rsidRPr="009A5FEE">
        <w:rPr>
          <w:sz w:val="22"/>
          <w:szCs w:val="22"/>
          <w:lang w:bidi="es-419"/>
        </w:rPr>
        <w:t xml:space="preserve">paguen un impuesto para apoyar al OHP. En 2024, la tasa del impuesto de las MCO fue del 2.0%. La OHA reembolsa la cantidad bruta </w:t>
      </w:r>
      <w:r w:rsidR="00637340">
        <w:rPr>
          <w:sz w:val="22"/>
          <w:szCs w:val="22"/>
          <w:lang w:bidi="es-419"/>
        </w:rPr>
        <w:br/>
      </w:r>
      <w:r w:rsidRPr="009A5FEE">
        <w:rPr>
          <w:sz w:val="22"/>
          <w:szCs w:val="22"/>
          <w:lang w:bidi="es-419"/>
        </w:rPr>
        <w:t>del impuesto a las CCO incorporando el costo del impuesto en las tasas de capitación, los pagos dirigidos calificados, los pagos por maternidad y los pagos de incentivos de calidad.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0A8E" w14:textId="77777777" w:rsidR="00ED698D" w:rsidRDefault="00ED698D">
    <w:pPr>
      <w:pStyle w:val="Header"/>
      <w:spacing w:after="120"/>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201F" w14:textId="77777777" w:rsidR="00ED698D" w:rsidRDefault="00ED698D">
    <w:pPr>
      <w:pStyle w:val="Header"/>
      <w:ind w:left="-720"/>
    </w:pPr>
  </w:p>
  <w:p w14:paraId="5F583BB9" w14:textId="77777777" w:rsidR="00ED698D" w:rsidRDefault="00ED698D">
    <w:pPr>
      <w:pStyle w:val="Header"/>
      <w:spacing w:after="120"/>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0C65" w14:textId="77777777" w:rsidR="00ED698D" w:rsidRDefault="00ED698D">
    <w:pPr>
      <w:pStyle w:val="Header"/>
      <w:ind w:left="-720"/>
    </w:pPr>
  </w:p>
  <w:p w14:paraId="3FC63E75" w14:textId="77777777" w:rsidR="00ED698D" w:rsidRDefault="00ED698D">
    <w:pPr>
      <w:pStyle w:val="Header"/>
      <w:spacing w:after="120"/>
      <w:ind w:lef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85B5" w14:textId="77777777" w:rsidR="00ED698D" w:rsidRDefault="00ED698D">
    <w:pPr>
      <w:pStyle w:val="Header"/>
      <w:ind w:left="-720"/>
    </w:pPr>
  </w:p>
  <w:p w14:paraId="66922FB1" w14:textId="77777777" w:rsidR="00ED698D" w:rsidRDefault="00ED698D">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D778" w14:textId="77777777" w:rsidR="00ED698D" w:rsidRDefault="00ED698D">
    <w:pPr>
      <w:pStyle w:val="Header"/>
      <w:spacing w:after="12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609"/>
    <w:multiLevelType w:val="hybridMultilevel"/>
    <w:tmpl w:val="C6A8B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7598F"/>
    <w:multiLevelType w:val="hybridMultilevel"/>
    <w:tmpl w:val="5B6E10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807B5B"/>
    <w:multiLevelType w:val="hybridMultilevel"/>
    <w:tmpl w:val="56486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32158"/>
    <w:multiLevelType w:val="hybridMultilevel"/>
    <w:tmpl w:val="C0BA2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3507"/>
    <w:multiLevelType w:val="hybridMultilevel"/>
    <w:tmpl w:val="33302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90BEB"/>
    <w:multiLevelType w:val="hybridMultilevel"/>
    <w:tmpl w:val="B930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7E74FE"/>
    <w:multiLevelType w:val="hybridMultilevel"/>
    <w:tmpl w:val="E884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5D6859"/>
    <w:multiLevelType w:val="hybridMultilevel"/>
    <w:tmpl w:val="DFF4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A3F5B"/>
    <w:multiLevelType w:val="hybridMultilevel"/>
    <w:tmpl w:val="A64E8664"/>
    <w:lvl w:ilvl="0" w:tplc="1D48D072">
      <w:start w:val="1"/>
      <w:numFmt w:val="bullet"/>
      <w:lvlText w:val="•"/>
      <w:lvlJc w:val="left"/>
      <w:pPr>
        <w:tabs>
          <w:tab w:val="num" w:pos="720"/>
        </w:tabs>
        <w:ind w:left="720" w:hanging="360"/>
      </w:pPr>
      <w:rPr>
        <w:rFonts w:ascii="Arial" w:hAnsi="Arial" w:hint="default"/>
      </w:rPr>
    </w:lvl>
    <w:lvl w:ilvl="1" w:tplc="60889C0A">
      <w:numFmt w:val="bullet"/>
      <w:lvlText w:val="•"/>
      <w:lvlJc w:val="left"/>
      <w:pPr>
        <w:tabs>
          <w:tab w:val="num" w:pos="1440"/>
        </w:tabs>
        <w:ind w:left="1440" w:hanging="360"/>
      </w:pPr>
      <w:rPr>
        <w:rFonts w:ascii="Arial" w:hAnsi="Arial" w:hint="default"/>
      </w:rPr>
    </w:lvl>
    <w:lvl w:ilvl="2" w:tplc="C1383118" w:tentative="1">
      <w:start w:val="1"/>
      <w:numFmt w:val="bullet"/>
      <w:lvlText w:val="•"/>
      <w:lvlJc w:val="left"/>
      <w:pPr>
        <w:tabs>
          <w:tab w:val="num" w:pos="2160"/>
        </w:tabs>
        <w:ind w:left="2160" w:hanging="360"/>
      </w:pPr>
      <w:rPr>
        <w:rFonts w:ascii="Arial" w:hAnsi="Arial" w:hint="default"/>
      </w:rPr>
    </w:lvl>
    <w:lvl w:ilvl="3" w:tplc="D63C6130" w:tentative="1">
      <w:start w:val="1"/>
      <w:numFmt w:val="bullet"/>
      <w:lvlText w:val="•"/>
      <w:lvlJc w:val="left"/>
      <w:pPr>
        <w:tabs>
          <w:tab w:val="num" w:pos="2880"/>
        </w:tabs>
        <w:ind w:left="2880" w:hanging="360"/>
      </w:pPr>
      <w:rPr>
        <w:rFonts w:ascii="Arial" w:hAnsi="Arial" w:hint="default"/>
      </w:rPr>
    </w:lvl>
    <w:lvl w:ilvl="4" w:tplc="D1FAF316" w:tentative="1">
      <w:start w:val="1"/>
      <w:numFmt w:val="bullet"/>
      <w:lvlText w:val="•"/>
      <w:lvlJc w:val="left"/>
      <w:pPr>
        <w:tabs>
          <w:tab w:val="num" w:pos="3600"/>
        </w:tabs>
        <w:ind w:left="3600" w:hanging="360"/>
      </w:pPr>
      <w:rPr>
        <w:rFonts w:ascii="Arial" w:hAnsi="Arial" w:hint="default"/>
      </w:rPr>
    </w:lvl>
    <w:lvl w:ilvl="5" w:tplc="4CE8E22E" w:tentative="1">
      <w:start w:val="1"/>
      <w:numFmt w:val="bullet"/>
      <w:lvlText w:val="•"/>
      <w:lvlJc w:val="left"/>
      <w:pPr>
        <w:tabs>
          <w:tab w:val="num" w:pos="4320"/>
        </w:tabs>
        <w:ind w:left="4320" w:hanging="360"/>
      </w:pPr>
      <w:rPr>
        <w:rFonts w:ascii="Arial" w:hAnsi="Arial" w:hint="default"/>
      </w:rPr>
    </w:lvl>
    <w:lvl w:ilvl="6" w:tplc="8E3036C0" w:tentative="1">
      <w:start w:val="1"/>
      <w:numFmt w:val="bullet"/>
      <w:lvlText w:val="•"/>
      <w:lvlJc w:val="left"/>
      <w:pPr>
        <w:tabs>
          <w:tab w:val="num" w:pos="5040"/>
        </w:tabs>
        <w:ind w:left="5040" w:hanging="360"/>
      </w:pPr>
      <w:rPr>
        <w:rFonts w:ascii="Arial" w:hAnsi="Arial" w:hint="default"/>
      </w:rPr>
    </w:lvl>
    <w:lvl w:ilvl="7" w:tplc="B1F80216" w:tentative="1">
      <w:start w:val="1"/>
      <w:numFmt w:val="bullet"/>
      <w:lvlText w:val="•"/>
      <w:lvlJc w:val="left"/>
      <w:pPr>
        <w:tabs>
          <w:tab w:val="num" w:pos="5760"/>
        </w:tabs>
        <w:ind w:left="5760" w:hanging="360"/>
      </w:pPr>
      <w:rPr>
        <w:rFonts w:ascii="Arial" w:hAnsi="Arial" w:hint="default"/>
      </w:rPr>
    </w:lvl>
    <w:lvl w:ilvl="8" w:tplc="704EE4E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E3B1923"/>
    <w:multiLevelType w:val="hybridMultilevel"/>
    <w:tmpl w:val="ECE4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E33EA"/>
    <w:multiLevelType w:val="hybridMultilevel"/>
    <w:tmpl w:val="876A8DC2"/>
    <w:lvl w:ilvl="0" w:tplc="B40CBD14">
      <w:start w:val="1"/>
      <w:numFmt w:val="bullet"/>
      <w:lvlText w:val="•"/>
      <w:lvlJc w:val="left"/>
      <w:pPr>
        <w:tabs>
          <w:tab w:val="num" w:pos="720"/>
        </w:tabs>
        <w:ind w:left="720" w:hanging="360"/>
      </w:pPr>
      <w:rPr>
        <w:rFonts w:ascii="Arial" w:hAnsi="Arial" w:hint="default"/>
      </w:rPr>
    </w:lvl>
    <w:lvl w:ilvl="1" w:tplc="337CA59C" w:tentative="1">
      <w:start w:val="1"/>
      <w:numFmt w:val="bullet"/>
      <w:lvlText w:val="•"/>
      <w:lvlJc w:val="left"/>
      <w:pPr>
        <w:tabs>
          <w:tab w:val="num" w:pos="1440"/>
        </w:tabs>
        <w:ind w:left="1440" w:hanging="360"/>
      </w:pPr>
      <w:rPr>
        <w:rFonts w:ascii="Arial" w:hAnsi="Arial" w:hint="default"/>
      </w:rPr>
    </w:lvl>
    <w:lvl w:ilvl="2" w:tplc="DF5422E0" w:tentative="1">
      <w:start w:val="1"/>
      <w:numFmt w:val="bullet"/>
      <w:lvlText w:val="•"/>
      <w:lvlJc w:val="left"/>
      <w:pPr>
        <w:tabs>
          <w:tab w:val="num" w:pos="2160"/>
        </w:tabs>
        <w:ind w:left="2160" w:hanging="360"/>
      </w:pPr>
      <w:rPr>
        <w:rFonts w:ascii="Arial" w:hAnsi="Arial" w:hint="default"/>
      </w:rPr>
    </w:lvl>
    <w:lvl w:ilvl="3" w:tplc="3F0AE6AC" w:tentative="1">
      <w:start w:val="1"/>
      <w:numFmt w:val="bullet"/>
      <w:lvlText w:val="•"/>
      <w:lvlJc w:val="left"/>
      <w:pPr>
        <w:tabs>
          <w:tab w:val="num" w:pos="2880"/>
        </w:tabs>
        <w:ind w:left="2880" w:hanging="360"/>
      </w:pPr>
      <w:rPr>
        <w:rFonts w:ascii="Arial" w:hAnsi="Arial" w:hint="default"/>
      </w:rPr>
    </w:lvl>
    <w:lvl w:ilvl="4" w:tplc="E620E7E4" w:tentative="1">
      <w:start w:val="1"/>
      <w:numFmt w:val="bullet"/>
      <w:lvlText w:val="•"/>
      <w:lvlJc w:val="left"/>
      <w:pPr>
        <w:tabs>
          <w:tab w:val="num" w:pos="3600"/>
        </w:tabs>
        <w:ind w:left="3600" w:hanging="360"/>
      </w:pPr>
      <w:rPr>
        <w:rFonts w:ascii="Arial" w:hAnsi="Arial" w:hint="default"/>
      </w:rPr>
    </w:lvl>
    <w:lvl w:ilvl="5" w:tplc="B6C407E4" w:tentative="1">
      <w:start w:val="1"/>
      <w:numFmt w:val="bullet"/>
      <w:lvlText w:val="•"/>
      <w:lvlJc w:val="left"/>
      <w:pPr>
        <w:tabs>
          <w:tab w:val="num" w:pos="4320"/>
        </w:tabs>
        <w:ind w:left="4320" w:hanging="360"/>
      </w:pPr>
      <w:rPr>
        <w:rFonts w:ascii="Arial" w:hAnsi="Arial" w:hint="default"/>
      </w:rPr>
    </w:lvl>
    <w:lvl w:ilvl="6" w:tplc="36AE00A2" w:tentative="1">
      <w:start w:val="1"/>
      <w:numFmt w:val="bullet"/>
      <w:lvlText w:val="•"/>
      <w:lvlJc w:val="left"/>
      <w:pPr>
        <w:tabs>
          <w:tab w:val="num" w:pos="5040"/>
        </w:tabs>
        <w:ind w:left="5040" w:hanging="360"/>
      </w:pPr>
      <w:rPr>
        <w:rFonts w:ascii="Arial" w:hAnsi="Arial" w:hint="default"/>
      </w:rPr>
    </w:lvl>
    <w:lvl w:ilvl="7" w:tplc="843EC12E" w:tentative="1">
      <w:start w:val="1"/>
      <w:numFmt w:val="bullet"/>
      <w:lvlText w:val="•"/>
      <w:lvlJc w:val="left"/>
      <w:pPr>
        <w:tabs>
          <w:tab w:val="num" w:pos="5760"/>
        </w:tabs>
        <w:ind w:left="5760" w:hanging="360"/>
      </w:pPr>
      <w:rPr>
        <w:rFonts w:ascii="Arial" w:hAnsi="Arial" w:hint="default"/>
      </w:rPr>
    </w:lvl>
    <w:lvl w:ilvl="8" w:tplc="B750FC9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AE03676"/>
    <w:multiLevelType w:val="hybridMultilevel"/>
    <w:tmpl w:val="08423B0C"/>
    <w:lvl w:ilvl="0" w:tplc="937439F4">
      <w:start w:val="1"/>
      <w:numFmt w:val="bullet"/>
      <w:lvlText w:val=""/>
      <w:lvlJc w:val="left"/>
      <w:pPr>
        <w:ind w:left="720" w:hanging="360"/>
      </w:pPr>
      <w:rPr>
        <w:rFonts w:ascii="Symbol" w:hAnsi="Symbol"/>
      </w:rPr>
    </w:lvl>
    <w:lvl w:ilvl="1" w:tplc="A10E429C">
      <w:start w:val="1"/>
      <w:numFmt w:val="bullet"/>
      <w:lvlText w:val=""/>
      <w:lvlJc w:val="left"/>
      <w:pPr>
        <w:ind w:left="720" w:hanging="360"/>
      </w:pPr>
      <w:rPr>
        <w:rFonts w:ascii="Symbol" w:hAnsi="Symbol"/>
      </w:rPr>
    </w:lvl>
    <w:lvl w:ilvl="2" w:tplc="AB427300">
      <w:start w:val="1"/>
      <w:numFmt w:val="bullet"/>
      <w:lvlText w:val=""/>
      <w:lvlJc w:val="left"/>
      <w:pPr>
        <w:ind w:left="720" w:hanging="360"/>
      </w:pPr>
      <w:rPr>
        <w:rFonts w:ascii="Symbol" w:hAnsi="Symbol"/>
      </w:rPr>
    </w:lvl>
    <w:lvl w:ilvl="3" w:tplc="31B44B24">
      <w:start w:val="1"/>
      <w:numFmt w:val="bullet"/>
      <w:lvlText w:val=""/>
      <w:lvlJc w:val="left"/>
      <w:pPr>
        <w:ind w:left="720" w:hanging="360"/>
      </w:pPr>
      <w:rPr>
        <w:rFonts w:ascii="Symbol" w:hAnsi="Symbol"/>
      </w:rPr>
    </w:lvl>
    <w:lvl w:ilvl="4" w:tplc="2460BE26">
      <w:start w:val="1"/>
      <w:numFmt w:val="bullet"/>
      <w:lvlText w:val=""/>
      <w:lvlJc w:val="left"/>
      <w:pPr>
        <w:ind w:left="720" w:hanging="360"/>
      </w:pPr>
      <w:rPr>
        <w:rFonts w:ascii="Symbol" w:hAnsi="Symbol"/>
      </w:rPr>
    </w:lvl>
    <w:lvl w:ilvl="5" w:tplc="5D10B198">
      <w:start w:val="1"/>
      <w:numFmt w:val="bullet"/>
      <w:lvlText w:val=""/>
      <w:lvlJc w:val="left"/>
      <w:pPr>
        <w:ind w:left="720" w:hanging="360"/>
      </w:pPr>
      <w:rPr>
        <w:rFonts w:ascii="Symbol" w:hAnsi="Symbol"/>
      </w:rPr>
    </w:lvl>
    <w:lvl w:ilvl="6" w:tplc="A4920FEA">
      <w:start w:val="1"/>
      <w:numFmt w:val="bullet"/>
      <w:lvlText w:val=""/>
      <w:lvlJc w:val="left"/>
      <w:pPr>
        <w:ind w:left="720" w:hanging="360"/>
      </w:pPr>
      <w:rPr>
        <w:rFonts w:ascii="Symbol" w:hAnsi="Symbol"/>
      </w:rPr>
    </w:lvl>
    <w:lvl w:ilvl="7" w:tplc="C576B89E">
      <w:start w:val="1"/>
      <w:numFmt w:val="bullet"/>
      <w:lvlText w:val=""/>
      <w:lvlJc w:val="left"/>
      <w:pPr>
        <w:ind w:left="720" w:hanging="360"/>
      </w:pPr>
      <w:rPr>
        <w:rFonts w:ascii="Symbol" w:hAnsi="Symbol"/>
      </w:rPr>
    </w:lvl>
    <w:lvl w:ilvl="8" w:tplc="2DFC74E4">
      <w:start w:val="1"/>
      <w:numFmt w:val="bullet"/>
      <w:lvlText w:val=""/>
      <w:lvlJc w:val="left"/>
      <w:pPr>
        <w:ind w:left="720" w:hanging="360"/>
      </w:pPr>
      <w:rPr>
        <w:rFonts w:ascii="Symbol" w:hAnsi="Symbol"/>
      </w:rPr>
    </w:lvl>
  </w:abstractNum>
  <w:abstractNum w:abstractNumId="12" w15:restartNumberingAfterBreak="0">
    <w:nsid w:val="54AE561A"/>
    <w:multiLevelType w:val="hybridMultilevel"/>
    <w:tmpl w:val="BC8CD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C70F0"/>
    <w:multiLevelType w:val="hybridMultilevel"/>
    <w:tmpl w:val="DEE0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2E2B85"/>
    <w:multiLevelType w:val="hybridMultilevel"/>
    <w:tmpl w:val="95CC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2A6E5C"/>
    <w:multiLevelType w:val="hybridMultilevel"/>
    <w:tmpl w:val="12D24B4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6" w15:restartNumberingAfterBreak="0">
    <w:nsid w:val="63336115"/>
    <w:multiLevelType w:val="hybridMultilevel"/>
    <w:tmpl w:val="6F92C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4762C0"/>
    <w:multiLevelType w:val="hybridMultilevel"/>
    <w:tmpl w:val="52D6661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64705676"/>
    <w:multiLevelType w:val="hybridMultilevel"/>
    <w:tmpl w:val="4F8ACE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695774D0"/>
    <w:multiLevelType w:val="hybridMultilevel"/>
    <w:tmpl w:val="44D61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5E5AC2"/>
    <w:multiLevelType w:val="hybridMultilevel"/>
    <w:tmpl w:val="E842B38C"/>
    <w:lvl w:ilvl="0" w:tplc="8BD60D9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940DF0"/>
    <w:multiLevelType w:val="hybridMultilevel"/>
    <w:tmpl w:val="6F4672D0"/>
    <w:lvl w:ilvl="0" w:tplc="29C016A6">
      <w:start w:val="1"/>
      <w:numFmt w:val="decimal"/>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E803753"/>
    <w:multiLevelType w:val="hybridMultilevel"/>
    <w:tmpl w:val="30B62C7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533612584">
    <w:abstractNumId w:val="20"/>
  </w:num>
  <w:num w:numId="2" w16cid:durableId="268397587">
    <w:abstractNumId w:val="14"/>
  </w:num>
  <w:num w:numId="3" w16cid:durableId="486744864">
    <w:abstractNumId w:val="1"/>
  </w:num>
  <w:num w:numId="4" w16cid:durableId="1345010704">
    <w:abstractNumId w:val="0"/>
  </w:num>
  <w:num w:numId="5" w16cid:durableId="982544949">
    <w:abstractNumId w:val="6"/>
  </w:num>
  <w:num w:numId="6" w16cid:durableId="1577325643">
    <w:abstractNumId w:val="21"/>
  </w:num>
  <w:num w:numId="7" w16cid:durableId="325284051">
    <w:abstractNumId w:val="4"/>
  </w:num>
  <w:num w:numId="8" w16cid:durableId="1156994352">
    <w:abstractNumId w:val="16"/>
  </w:num>
  <w:num w:numId="9" w16cid:durableId="932856383">
    <w:abstractNumId w:val="9"/>
  </w:num>
  <w:num w:numId="10" w16cid:durableId="295724862">
    <w:abstractNumId w:val="2"/>
  </w:num>
  <w:num w:numId="11" w16cid:durableId="1887333060">
    <w:abstractNumId w:val="10"/>
  </w:num>
  <w:num w:numId="12" w16cid:durableId="2090879224">
    <w:abstractNumId w:val="8"/>
  </w:num>
  <w:num w:numId="13" w16cid:durableId="1660499655">
    <w:abstractNumId w:val="7"/>
  </w:num>
  <w:num w:numId="14" w16cid:durableId="1130200407">
    <w:abstractNumId w:val="12"/>
  </w:num>
  <w:num w:numId="15" w16cid:durableId="1833251513">
    <w:abstractNumId w:val="5"/>
  </w:num>
  <w:num w:numId="16" w16cid:durableId="208609247">
    <w:abstractNumId w:val="18"/>
  </w:num>
  <w:num w:numId="17" w16cid:durableId="2086225546">
    <w:abstractNumId w:val="13"/>
  </w:num>
  <w:num w:numId="18" w16cid:durableId="229199950">
    <w:abstractNumId w:val="3"/>
  </w:num>
  <w:num w:numId="19" w16cid:durableId="784345946">
    <w:abstractNumId w:val="19"/>
  </w:num>
  <w:num w:numId="20" w16cid:durableId="1827549948">
    <w:abstractNumId w:val="11"/>
  </w:num>
  <w:num w:numId="21" w16cid:durableId="1099058356">
    <w:abstractNumId w:val="17"/>
  </w:num>
  <w:num w:numId="22" w16cid:durableId="263462002">
    <w:abstractNumId w:val="15"/>
  </w:num>
  <w:num w:numId="23" w16cid:durableId="2082213961">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nL3prRg4u7HLNVIUu3c7STm3qk9JdxDFV/jl9uoSkQHhAINoWLOCPINyvMIQrAR5eriwcPYPYkLIn1ErGsCg==" w:salt="O38c3eP8Ging+ugHoOhOAA=="/>
  <w:defaultTabStop w:val="720"/>
  <w:hyphenationZone w:val="425"/>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8D"/>
    <w:rsid w:val="00002FF4"/>
    <w:rsid w:val="00003160"/>
    <w:rsid w:val="000042B2"/>
    <w:rsid w:val="00004511"/>
    <w:rsid w:val="0000536C"/>
    <w:rsid w:val="0000619F"/>
    <w:rsid w:val="0000648C"/>
    <w:rsid w:val="0000725F"/>
    <w:rsid w:val="000076CC"/>
    <w:rsid w:val="00011324"/>
    <w:rsid w:val="00011BB2"/>
    <w:rsid w:val="0001253D"/>
    <w:rsid w:val="00012E04"/>
    <w:rsid w:val="0001333F"/>
    <w:rsid w:val="00014537"/>
    <w:rsid w:val="00014C93"/>
    <w:rsid w:val="000167B4"/>
    <w:rsid w:val="00016895"/>
    <w:rsid w:val="0001753D"/>
    <w:rsid w:val="00017C3F"/>
    <w:rsid w:val="000206D4"/>
    <w:rsid w:val="000208AA"/>
    <w:rsid w:val="00020F0D"/>
    <w:rsid w:val="00021C41"/>
    <w:rsid w:val="00023303"/>
    <w:rsid w:val="00025005"/>
    <w:rsid w:val="000265ED"/>
    <w:rsid w:val="0003013A"/>
    <w:rsid w:val="0003078E"/>
    <w:rsid w:val="00031DC6"/>
    <w:rsid w:val="00033E5F"/>
    <w:rsid w:val="00035AE7"/>
    <w:rsid w:val="00036CEF"/>
    <w:rsid w:val="00036E61"/>
    <w:rsid w:val="00037696"/>
    <w:rsid w:val="00037F21"/>
    <w:rsid w:val="00040C3C"/>
    <w:rsid w:val="00041595"/>
    <w:rsid w:val="000420B2"/>
    <w:rsid w:val="0004221B"/>
    <w:rsid w:val="0004246C"/>
    <w:rsid w:val="0004394B"/>
    <w:rsid w:val="00045B2E"/>
    <w:rsid w:val="00046A4F"/>
    <w:rsid w:val="00050190"/>
    <w:rsid w:val="00050CC4"/>
    <w:rsid w:val="00051148"/>
    <w:rsid w:val="00051BBA"/>
    <w:rsid w:val="00051DC2"/>
    <w:rsid w:val="00052257"/>
    <w:rsid w:val="000525E5"/>
    <w:rsid w:val="0005273E"/>
    <w:rsid w:val="00052D90"/>
    <w:rsid w:val="00053289"/>
    <w:rsid w:val="0005480F"/>
    <w:rsid w:val="00054B81"/>
    <w:rsid w:val="00055039"/>
    <w:rsid w:val="0005718C"/>
    <w:rsid w:val="000571E7"/>
    <w:rsid w:val="00060E91"/>
    <w:rsid w:val="00061394"/>
    <w:rsid w:val="000620C9"/>
    <w:rsid w:val="000623FC"/>
    <w:rsid w:val="0006256F"/>
    <w:rsid w:val="0006476A"/>
    <w:rsid w:val="00065A90"/>
    <w:rsid w:val="00066A8D"/>
    <w:rsid w:val="000700D2"/>
    <w:rsid w:val="00071291"/>
    <w:rsid w:val="00072453"/>
    <w:rsid w:val="00072CBF"/>
    <w:rsid w:val="00072E86"/>
    <w:rsid w:val="00072FA7"/>
    <w:rsid w:val="0007300E"/>
    <w:rsid w:val="00073E63"/>
    <w:rsid w:val="00074040"/>
    <w:rsid w:val="00074B81"/>
    <w:rsid w:val="00074DEC"/>
    <w:rsid w:val="00074E33"/>
    <w:rsid w:val="00075CA6"/>
    <w:rsid w:val="00076268"/>
    <w:rsid w:val="00076639"/>
    <w:rsid w:val="00080D94"/>
    <w:rsid w:val="00081290"/>
    <w:rsid w:val="000812A9"/>
    <w:rsid w:val="00082C49"/>
    <w:rsid w:val="00082D22"/>
    <w:rsid w:val="000853F7"/>
    <w:rsid w:val="00085703"/>
    <w:rsid w:val="00085821"/>
    <w:rsid w:val="00086183"/>
    <w:rsid w:val="000873A9"/>
    <w:rsid w:val="000902DB"/>
    <w:rsid w:val="00091BCF"/>
    <w:rsid w:val="00092BD8"/>
    <w:rsid w:val="0009339F"/>
    <w:rsid w:val="00093616"/>
    <w:rsid w:val="0009365D"/>
    <w:rsid w:val="00094ED9"/>
    <w:rsid w:val="00095F26"/>
    <w:rsid w:val="00097639"/>
    <w:rsid w:val="000A12B8"/>
    <w:rsid w:val="000A29B7"/>
    <w:rsid w:val="000A3AE7"/>
    <w:rsid w:val="000A3C0B"/>
    <w:rsid w:val="000A4429"/>
    <w:rsid w:val="000A78E7"/>
    <w:rsid w:val="000B08EE"/>
    <w:rsid w:val="000B0B09"/>
    <w:rsid w:val="000B21A3"/>
    <w:rsid w:val="000B5C28"/>
    <w:rsid w:val="000B6AE1"/>
    <w:rsid w:val="000B7AB2"/>
    <w:rsid w:val="000C0203"/>
    <w:rsid w:val="000C03F2"/>
    <w:rsid w:val="000C0FAA"/>
    <w:rsid w:val="000C174B"/>
    <w:rsid w:val="000C2E4E"/>
    <w:rsid w:val="000C2FEA"/>
    <w:rsid w:val="000C4B4A"/>
    <w:rsid w:val="000C5A6B"/>
    <w:rsid w:val="000C66EA"/>
    <w:rsid w:val="000C6CD6"/>
    <w:rsid w:val="000C75C6"/>
    <w:rsid w:val="000C7D77"/>
    <w:rsid w:val="000D00BB"/>
    <w:rsid w:val="000D04AC"/>
    <w:rsid w:val="000D0930"/>
    <w:rsid w:val="000D3C3A"/>
    <w:rsid w:val="000D3C99"/>
    <w:rsid w:val="000D3EC0"/>
    <w:rsid w:val="000D55CF"/>
    <w:rsid w:val="000D5CB2"/>
    <w:rsid w:val="000D5D4C"/>
    <w:rsid w:val="000D65A6"/>
    <w:rsid w:val="000D71A3"/>
    <w:rsid w:val="000E0268"/>
    <w:rsid w:val="000E1328"/>
    <w:rsid w:val="000E36E3"/>
    <w:rsid w:val="000E4198"/>
    <w:rsid w:val="000E48D5"/>
    <w:rsid w:val="000E5CEB"/>
    <w:rsid w:val="000E5D1B"/>
    <w:rsid w:val="000E69AA"/>
    <w:rsid w:val="000F06C6"/>
    <w:rsid w:val="000F0FA1"/>
    <w:rsid w:val="000F1291"/>
    <w:rsid w:val="000F180D"/>
    <w:rsid w:val="000F1DCE"/>
    <w:rsid w:val="000F337A"/>
    <w:rsid w:val="000F38F1"/>
    <w:rsid w:val="00100195"/>
    <w:rsid w:val="00100676"/>
    <w:rsid w:val="001014E4"/>
    <w:rsid w:val="00102027"/>
    <w:rsid w:val="001026C8"/>
    <w:rsid w:val="00103B36"/>
    <w:rsid w:val="001050DD"/>
    <w:rsid w:val="001052A2"/>
    <w:rsid w:val="001057D5"/>
    <w:rsid w:val="00106EE0"/>
    <w:rsid w:val="001128EA"/>
    <w:rsid w:val="00115B24"/>
    <w:rsid w:val="001167E6"/>
    <w:rsid w:val="00116F20"/>
    <w:rsid w:val="001229CC"/>
    <w:rsid w:val="00122B5E"/>
    <w:rsid w:val="00122FA1"/>
    <w:rsid w:val="0012685D"/>
    <w:rsid w:val="00131388"/>
    <w:rsid w:val="001347F7"/>
    <w:rsid w:val="00134C12"/>
    <w:rsid w:val="00134D2B"/>
    <w:rsid w:val="0013670D"/>
    <w:rsid w:val="00136A94"/>
    <w:rsid w:val="00140F76"/>
    <w:rsid w:val="00141D9E"/>
    <w:rsid w:val="001440F0"/>
    <w:rsid w:val="00144503"/>
    <w:rsid w:val="00144619"/>
    <w:rsid w:val="00145026"/>
    <w:rsid w:val="00147253"/>
    <w:rsid w:val="001513DB"/>
    <w:rsid w:val="0015220F"/>
    <w:rsid w:val="00152407"/>
    <w:rsid w:val="0015311B"/>
    <w:rsid w:val="001532D4"/>
    <w:rsid w:val="00153B49"/>
    <w:rsid w:val="00153C44"/>
    <w:rsid w:val="0015482E"/>
    <w:rsid w:val="00154AF1"/>
    <w:rsid w:val="00154B24"/>
    <w:rsid w:val="00164104"/>
    <w:rsid w:val="001649E7"/>
    <w:rsid w:val="00164FFD"/>
    <w:rsid w:val="001676AA"/>
    <w:rsid w:val="00167B99"/>
    <w:rsid w:val="00170D69"/>
    <w:rsid w:val="00171D19"/>
    <w:rsid w:val="0017300B"/>
    <w:rsid w:val="00173676"/>
    <w:rsid w:val="00173D3A"/>
    <w:rsid w:val="00174474"/>
    <w:rsid w:val="00175148"/>
    <w:rsid w:val="00177274"/>
    <w:rsid w:val="00177946"/>
    <w:rsid w:val="0018020C"/>
    <w:rsid w:val="00180B51"/>
    <w:rsid w:val="00181B76"/>
    <w:rsid w:val="001838F0"/>
    <w:rsid w:val="00183E08"/>
    <w:rsid w:val="001849B4"/>
    <w:rsid w:val="00184C6F"/>
    <w:rsid w:val="00186F6A"/>
    <w:rsid w:val="0019016A"/>
    <w:rsid w:val="001901BB"/>
    <w:rsid w:val="00191187"/>
    <w:rsid w:val="00191671"/>
    <w:rsid w:val="001932E4"/>
    <w:rsid w:val="001948D9"/>
    <w:rsid w:val="00194EEA"/>
    <w:rsid w:val="001954C5"/>
    <w:rsid w:val="00195AE1"/>
    <w:rsid w:val="00196468"/>
    <w:rsid w:val="00197E14"/>
    <w:rsid w:val="001A0A98"/>
    <w:rsid w:val="001A0CD8"/>
    <w:rsid w:val="001A0EDC"/>
    <w:rsid w:val="001A163D"/>
    <w:rsid w:val="001A267E"/>
    <w:rsid w:val="001A2D42"/>
    <w:rsid w:val="001A2E74"/>
    <w:rsid w:val="001A5081"/>
    <w:rsid w:val="001A5224"/>
    <w:rsid w:val="001A6DC3"/>
    <w:rsid w:val="001A7AC3"/>
    <w:rsid w:val="001B3229"/>
    <w:rsid w:val="001B3F25"/>
    <w:rsid w:val="001B3F4C"/>
    <w:rsid w:val="001B4927"/>
    <w:rsid w:val="001C016F"/>
    <w:rsid w:val="001C07EA"/>
    <w:rsid w:val="001C0A1A"/>
    <w:rsid w:val="001C0A63"/>
    <w:rsid w:val="001C103B"/>
    <w:rsid w:val="001C4483"/>
    <w:rsid w:val="001C6BEC"/>
    <w:rsid w:val="001C72B4"/>
    <w:rsid w:val="001D0297"/>
    <w:rsid w:val="001D08EB"/>
    <w:rsid w:val="001D1371"/>
    <w:rsid w:val="001D18D7"/>
    <w:rsid w:val="001D497D"/>
    <w:rsid w:val="001D5064"/>
    <w:rsid w:val="001D55D8"/>
    <w:rsid w:val="001D6625"/>
    <w:rsid w:val="001D73B4"/>
    <w:rsid w:val="001D74D5"/>
    <w:rsid w:val="001E22C1"/>
    <w:rsid w:val="001E3D1B"/>
    <w:rsid w:val="001E4909"/>
    <w:rsid w:val="001E6C1C"/>
    <w:rsid w:val="001F3245"/>
    <w:rsid w:val="001F53C3"/>
    <w:rsid w:val="001F5BC8"/>
    <w:rsid w:val="001F7AAD"/>
    <w:rsid w:val="001F7E4C"/>
    <w:rsid w:val="00200B9F"/>
    <w:rsid w:val="002015BC"/>
    <w:rsid w:val="002019F3"/>
    <w:rsid w:val="00202FE7"/>
    <w:rsid w:val="002033A7"/>
    <w:rsid w:val="00203CB3"/>
    <w:rsid w:val="00205690"/>
    <w:rsid w:val="00205A76"/>
    <w:rsid w:val="00206B6E"/>
    <w:rsid w:val="00207DF4"/>
    <w:rsid w:val="0021256F"/>
    <w:rsid w:val="00212E73"/>
    <w:rsid w:val="00213011"/>
    <w:rsid w:val="002133B8"/>
    <w:rsid w:val="00214F4D"/>
    <w:rsid w:val="00215A12"/>
    <w:rsid w:val="00216B36"/>
    <w:rsid w:val="00217976"/>
    <w:rsid w:val="00220523"/>
    <w:rsid w:val="00220BB6"/>
    <w:rsid w:val="00222EAC"/>
    <w:rsid w:val="0022428A"/>
    <w:rsid w:val="00226EA5"/>
    <w:rsid w:val="002277B9"/>
    <w:rsid w:val="00227A6B"/>
    <w:rsid w:val="002324BF"/>
    <w:rsid w:val="002328A3"/>
    <w:rsid w:val="00233769"/>
    <w:rsid w:val="00236F29"/>
    <w:rsid w:val="002379BE"/>
    <w:rsid w:val="00237ECB"/>
    <w:rsid w:val="00237F91"/>
    <w:rsid w:val="00240E7B"/>
    <w:rsid w:val="002411A9"/>
    <w:rsid w:val="0024271B"/>
    <w:rsid w:val="002453CB"/>
    <w:rsid w:val="0024683B"/>
    <w:rsid w:val="00246DCC"/>
    <w:rsid w:val="00247547"/>
    <w:rsid w:val="00247C85"/>
    <w:rsid w:val="00250A13"/>
    <w:rsid w:val="00250BEC"/>
    <w:rsid w:val="00251F8D"/>
    <w:rsid w:val="00253C5A"/>
    <w:rsid w:val="00254D22"/>
    <w:rsid w:val="00261C94"/>
    <w:rsid w:val="00261FEB"/>
    <w:rsid w:val="002620F7"/>
    <w:rsid w:val="00262463"/>
    <w:rsid w:val="002628A4"/>
    <w:rsid w:val="00262EEF"/>
    <w:rsid w:val="00263E46"/>
    <w:rsid w:val="00265A0A"/>
    <w:rsid w:val="00265ED1"/>
    <w:rsid w:val="00267794"/>
    <w:rsid w:val="00267E14"/>
    <w:rsid w:val="002751B7"/>
    <w:rsid w:val="002755DA"/>
    <w:rsid w:val="002776BF"/>
    <w:rsid w:val="00280020"/>
    <w:rsid w:val="002811EF"/>
    <w:rsid w:val="0028374D"/>
    <w:rsid w:val="00284F90"/>
    <w:rsid w:val="00285174"/>
    <w:rsid w:val="00293D63"/>
    <w:rsid w:val="00294F6B"/>
    <w:rsid w:val="00295640"/>
    <w:rsid w:val="00296395"/>
    <w:rsid w:val="002A00CA"/>
    <w:rsid w:val="002A1078"/>
    <w:rsid w:val="002A164E"/>
    <w:rsid w:val="002A187A"/>
    <w:rsid w:val="002A6B11"/>
    <w:rsid w:val="002B0E09"/>
    <w:rsid w:val="002B1C2A"/>
    <w:rsid w:val="002B1ED7"/>
    <w:rsid w:val="002B3209"/>
    <w:rsid w:val="002B3223"/>
    <w:rsid w:val="002B5C1D"/>
    <w:rsid w:val="002B714E"/>
    <w:rsid w:val="002B752A"/>
    <w:rsid w:val="002C048A"/>
    <w:rsid w:val="002C23A1"/>
    <w:rsid w:val="002C3A0E"/>
    <w:rsid w:val="002C4F2E"/>
    <w:rsid w:val="002C5C86"/>
    <w:rsid w:val="002C78FB"/>
    <w:rsid w:val="002D1C85"/>
    <w:rsid w:val="002D1EAA"/>
    <w:rsid w:val="002D29E9"/>
    <w:rsid w:val="002D2A01"/>
    <w:rsid w:val="002D2A3D"/>
    <w:rsid w:val="002D697A"/>
    <w:rsid w:val="002D7ADB"/>
    <w:rsid w:val="002D7DC2"/>
    <w:rsid w:val="002D7E0F"/>
    <w:rsid w:val="002E0BFF"/>
    <w:rsid w:val="002E1C72"/>
    <w:rsid w:val="002E2106"/>
    <w:rsid w:val="002E2527"/>
    <w:rsid w:val="002E2584"/>
    <w:rsid w:val="002E2C7E"/>
    <w:rsid w:val="002E37E9"/>
    <w:rsid w:val="002E783F"/>
    <w:rsid w:val="002F1B3D"/>
    <w:rsid w:val="002F1E0F"/>
    <w:rsid w:val="002F3813"/>
    <w:rsid w:val="002F4649"/>
    <w:rsid w:val="002F562E"/>
    <w:rsid w:val="002F67B5"/>
    <w:rsid w:val="002F6830"/>
    <w:rsid w:val="002F7972"/>
    <w:rsid w:val="0030070B"/>
    <w:rsid w:val="00302C15"/>
    <w:rsid w:val="00302FF5"/>
    <w:rsid w:val="00303036"/>
    <w:rsid w:val="003033FB"/>
    <w:rsid w:val="00303A44"/>
    <w:rsid w:val="0030439C"/>
    <w:rsid w:val="00305256"/>
    <w:rsid w:val="003074E2"/>
    <w:rsid w:val="0030797A"/>
    <w:rsid w:val="00310230"/>
    <w:rsid w:val="0031166B"/>
    <w:rsid w:val="003120FA"/>
    <w:rsid w:val="00312B8B"/>
    <w:rsid w:val="003157B7"/>
    <w:rsid w:val="00315BD0"/>
    <w:rsid w:val="00315D51"/>
    <w:rsid w:val="00315FBF"/>
    <w:rsid w:val="00316CC1"/>
    <w:rsid w:val="00317FA7"/>
    <w:rsid w:val="003210DC"/>
    <w:rsid w:val="00323931"/>
    <w:rsid w:val="00325516"/>
    <w:rsid w:val="00325AB8"/>
    <w:rsid w:val="0032670A"/>
    <w:rsid w:val="00326988"/>
    <w:rsid w:val="00326C93"/>
    <w:rsid w:val="003271DB"/>
    <w:rsid w:val="003276AB"/>
    <w:rsid w:val="00331122"/>
    <w:rsid w:val="00331DBA"/>
    <w:rsid w:val="003321CC"/>
    <w:rsid w:val="00333D8C"/>
    <w:rsid w:val="0033460F"/>
    <w:rsid w:val="00334C92"/>
    <w:rsid w:val="00336632"/>
    <w:rsid w:val="00336930"/>
    <w:rsid w:val="00337D8B"/>
    <w:rsid w:val="00340F05"/>
    <w:rsid w:val="00341F02"/>
    <w:rsid w:val="00344576"/>
    <w:rsid w:val="003505F1"/>
    <w:rsid w:val="003511AA"/>
    <w:rsid w:val="003515E3"/>
    <w:rsid w:val="003525B6"/>
    <w:rsid w:val="0035285B"/>
    <w:rsid w:val="00356FA0"/>
    <w:rsid w:val="003607C0"/>
    <w:rsid w:val="00361F4B"/>
    <w:rsid w:val="00365A7B"/>
    <w:rsid w:val="00365AD7"/>
    <w:rsid w:val="00370306"/>
    <w:rsid w:val="00371265"/>
    <w:rsid w:val="0037161D"/>
    <w:rsid w:val="00371729"/>
    <w:rsid w:val="00371BC3"/>
    <w:rsid w:val="0037274C"/>
    <w:rsid w:val="003727B1"/>
    <w:rsid w:val="003757B4"/>
    <w:rsid w:val="003761A6"/>
    <w:rsid w:val="003762FD"/>
    <w:rsid w:val="0038119F"/>
    <w:rsid w:val="003814BB"/>
    <w:rsid w:val="003818C6"/>
    <w:rsid w:val="00382E16"/>
    <w:rsid w:val="00387073"/>
    <w:rsid w:val="0038732B"/>
    <w:rsid w:val="00391018"/>
    <w:rsid w:val="003926A0"/>
    <w:rsid w:val="00393FC9"/>
    <w:rsid w:val="00396D7D"/>
    <w:rsid w:val="003970CF"/>
    <w:rsid w:val="003A10E2"/>
    <w:rsid w:val="003A1D48"/>
    <w:rsid w:val="003A254F"/>
    <w:rsid w:val="003A3B6F"/>
    <w:rsid w:val="003A3C25"/>
    <w:rsid w:val="003A3FC4"/>
    <w:rsid w:val="003A422E"/>
    <w:rsid w:val="003A424D"/>
    <w:rsid w:val="003A566A"/>
    <w:rsid w:val="003A5A30"/>
    <w:rsid w:val="003A5F4C"/>
    <w:rsid w:val="003A6111"/>
    <w:rsid w:val="003A6D89"/>
    <w:rsid w:val="003B1C18"/>
    <w:rsid w:val="003B249F"/>
    <w:rsid w:val="003B3187"/>
    <w:rsid w:val="003B32F9"/>
    <w:rsid w:val="003B3362"/>
    <w:rsid w:val="003B357C"/>
    <w:rsid w:val="003B3C15"/>
    <w:rsid w:val="003B3C20"/>
    <w:rsid w:val="003B432A"/>
    <w:rsid w:val="003B60BD"/>
    <w:rsid w:val="003B7149"/>
    <w:rsid w:val="003B7442"/>
    <w:rsid w:val="003C0B91"/>
    <w:rsid w:val="003C1EBF"/>
    <w:rsid w:val="003C245B"/>
    <w:rsid w:val="003C3E0B"/>
    <w:rsid w:val="003C4353"/>
    <w:rsid w:val="003C59FB"/>
    <w:rsid w:val="003C5B89"/>
    <w:rsid w:val="003C6196"/>
    <w:rsid w:val="003C6976"/>
    <w:rsid w:val="003C78E8"/>
    <w:rsid w:val="003D0A5B"/>
    <w:rsid w:val="003D0AF4"/>
    <w:rsid w:val="003D0EEC"/>
    <w:rsid w:val="003D2CBA"/>
    <w:rsid w:val="003D402D"/>
    <w:rsid w:val="003D61AD"/>
    <w:rsid w:val="003D6D2D"/>
    <w:rsid w:val="003D70C6"/>
    <w:rsid w:val="003D7AEC"/>
    <w:rsid w:val="003E036B"/>
    <w:rsid w:val="003E1B75"/>
    <w:rsid w:val="003E423F"/>
    <w:rsid w:val="003E65F3"/>
    <w:rsid w:val="003E71D8"/>
    <w:rsid w:val="003E71FC"/>
    <w:rsid w:val="003F0FAD"/>
    <w:rsid w:val="003F2CA3"/>
    <w:rsid w:val="003F3BEC"/>
    <w:rsid w:val="003F41ED"/>
    <w:rsid w:val="003F46CF"/>
    <w:rsid w:val="003F491A"/>
    <w:rsid w:val="003F5624"/>
    <w:rsid w:val="003F5F43"/>
    <w:rsid w:val="003F6146"/>
    <w:rsid w:val="003F708B"/>
    <w:rsid w:val="004011D9"/>
    <w:rsid w:val="00401395"/>
    <w:rsid w:val="00401447"/>
    <w:rsid w:val="00401554"/>
    <w:rsid w:val="004022F1"/>
    <w:rsid w:val="00402969"/>
    <w:rsid w:val="00404344"/>
    <w:rsid w:val="00405E43"/>
    <w:rsid w:val="00406928"/>
    <w:rsid w:val="00407FA5"/>
    <w:rsid w:val="0041175A"/>
    <w:rsid w:val="00411F5C"/>
    <w:rsid w:val="00412F99"/>
    <w:rsid w:val="00415A98"/>
    <w:rsid w:val="004162C2"/>
    <w:rsid w:val="004165D2"/>
    <w:rsid w:val="00416A0F"/>
    <w:rsid w:val="0042054E"/>
    <w:rsid w:val="0042093B"/>
    <w:rsid w:val="00421796"/>
    <w:rsid w:val="00422214"/>
    <w:rsid w:val="00422AA9"/>
    <w:rsid w:val="004233DD"/>
    <w:rsid w:val="004237D2"/>
    <w:rsid w:val="0042395A"/>
    <w:rsid w:val="0042570D"/>
    <w:rsid w:val="00431589"/>
    <w:rsid w:val="004321BF"/>
    <w:rsid w:val="004323CB"/>
    <w:rsid w:val="004350A5"/>
    <w:rsid w:val="004359A9"/>
    <w:rsid w:val="00436F66"/>
    <w:rsid w:val="00440281"/>
    <w:rsid w:val="00441738"/>
    <w:rsid w:val="00441D34"/>
    <w:rsid w:val="00442BE6"/>
    <w:rsid w:val="0044365B"/>
    <w:rsid w:val="00443878"/>
    <w:rsid w:val="004448B6"/>
    <w:rsid w:val="0044553D"/>
    <w:rsid w:val="00445A75"/>
    <w:rsid w:val="0044634F"/>
    <w:rsid w:val="00450D98"/>
    <w:rsid w:val="00450EA5"/>
    <w:rsid w:val="0045148C"/>
    <w:rsid w:val="00451E1A"/>
    <w:rsid w:val="004539A5"/>
    <w:rsid w:val="00453C19"/>
    <w:rsid w:val="00453F6B"/>
    <w:rsid w:val="0045481B"/>
    <w:rsid w:val="00456A48"/>
    <w:rsid w:val="00457AC6"/>
    <w:rsid w:val="00457E9C"/>
    <w:rsid w:val="004604B1"/>
    <w:rsid w:val="0046149A"/>
    <w:rsid w:val="00461A1C"/>
    <w:rsid w:val="00461BFD"/>
    <w:rsid w:val="00462D7D"/>
    <w:rsid w:val="00462E0F"/>
    <w:rsid w:val="004641E9"/>
    <w:rsid w:val="00466204"/>
    <w:rsid w:val="00466BD0"/>
    <w:rsid w:val="00467A0C"/>
    <w:rsid w:val="00470E36"/>
    <w:rsid w:val="00472825"/>
    <w:rsid w:val="004749B5"/>
    <w:rsid w:val="00475F63"/>
    <w:rsid w:val="004772FF"/>
    <w:rsid w:val="00477B6C"/>
    <w:rsid w:val="00480EC2"/>
    <w:rsid w:val="00480ECE"/>
    <w:rsid w:val="00483322"/>
    <w:rsid w:val="004861A1"/>
    <w:rsid w:val="004863E7"/>
    <w:rsid w:val="00486C35"/>
    <w:rsid w:val="00486DB8"/>
    <w:rsid w:val="00486F4A"/>
    <w:rsid w:val="004875BE"/>
    <w:rsid w:val="004876C8"/>
    <w:rsid w:val="00491D45"/>
    <w:rsid w:val="00492638"/>
    <w:rsid w:val="00493DE3"/>
    <w:rsid w:val="00494706"/>
    <w:rsid w:val="00494D14"/>
    <w:rsid w:val="00495DB4"/>
    <w:rsid w:val="00496AD5"/>
    <w:rsid w:val="004974D4"/>
    <w:rsid w:val="004A0D06"/>
    <w:rsid w:val="004A0DBA"/>
    <w:rsid w:val="004A21AA"/>
    <w:rsid w:val="004A3531"/>
    <w:rsid w:val="004A46ED"/>
    <w:rsid w:val="004A50DC"/>
    <w:rsid w:val="004A5C1F"/>
    <w:rsid w:val="004B0A34"/>
    <w:rsid w:val="004B0C9A"/>
    <w:rsid w:val="004B0EF0"/>
    <w:rsid w:val="004B1064"/>
    <w:rsid w:val="004B3497"/>
    <w:rsid w:val="004B583A"/>
    <w:rsid w:val="004B5C76"/>
    <w:rsid w:val="004B6995"/>
    <w:rsid w:val="004B7481"/>
    <w:rsid w:val="004B7963"/>
    <w:rsid w:val="004C066D"/>
    <w:rsid w:val="004C1445"/>
    <w:rsid w:val="004C16C3"/>
    <w:rsid w:val="004C1887"/>
    <w:rsid w:val="004C20ED"/>
    <w:rsid w:val="004C292A"/>
    <w:rsid w:val="004C43F0"/>
    <w:rsid w:val="004C4587"/>
    <w:rsid w:val="004C4D07"/>
    <w:rsid w:val="004C5A45"/>
    <w:rsid w:val="004D10FE"/>
    <w:rsid w:val="004D4C0D"/>
    <w:rsid w:val="004D58C4"/>
    <w:rsid w:val="004D6D1A"/>
    <w:rsid w:val="004D767C"/>
    <w:rsid w:val="004E0203"/>
    <w:rsid w:val="004E1D40"/>
    <w:rsid w:val="004E58CE"/>
    <w:rsid w:val="004E6228"/>
    <w:rsid w:val="004E6C54"/>
    <w:rsid w:val="004E7FAC"/>
    <w:rsid w:val="004F0256"/>
    <w:rsid w:val="004F086A"/>
    <w:rsid w:val="004F22E3"/>
    <w:rsid w:val="004F3062"/>
    <w:rsid w:val="004F7F64"/>
    <w:rsid w:val="005006E4"/>
    <w:rsid w:val="0050100D"/>
    <w:rsid w:val="0050196F"/>
    <w:rsid w:val="00502A8E"/>
    <w:rsid w:val="005036C4"/>
    <w:rsid w:val="005039EF"/>
    <w:rsid w:val="00503C22"/>
    <w:rsid w:val="00504374"/>
    <w:rsid w:val="0050494A"/>
    <w:rsid w:val="00504B20"/>
    <w:rsid w:val="0050518D"/>
    <w:rsid w:val="005052D0"/>
    <w:rsid w:val="005067D0"/>
    <w:rsid w:val="00506D3F"/>
    <w:rsid w:val="00507A2D"/>
    <w:rsid w:val="00507AC6"/>
    <w:rsid w:val="00510783"/>
    <w:rsid w:val="00510D02"/>
    <w:rsid w:val="00511A20"/>
    <w:rsid w:val="00512607"/>
    <w:rsid w:val="0051311E"/>
    <w:rsid w:val="00513215"/>
    <w:rsid w:val="005133FB"/>
    <w:rsid w:val="005141FF"/>
    <w:rsid w:val="0051590C"/>
    <w:rsid w:val="00515AC0"/>
    <w:rsid w:val="00516119"/>
    <w:rsid w:val="00520236"/>
    <w:rsid w:val="00520651"/>
    <w:rsid w:val="00520D08"/>
    <w:rsid w:val="0052207C"/>
    <w:rsid w:val="00524E02"/>
    <w:rsid w:val="005254B9"/>
    <w:rsid w:val="0052670C"/>
    <w:rsid w:val="00526CBC"/>
    <w:rsid w:val="00527533"/>
    <w:rsid w:val="00527B08"/>
    <w:rsid w:val="0053078C"/>
    <w:rsid w:val="00531A84"/>
    <w:rsid w:val="0053205F"/>
    <w:rsid w:val="00534799"/>
    <w:rsid w:val="00535FD8"/>
    <w:rsid w:val="00536274"/>
    <w:rsid w:val="00536CEB"/>
    <w:rsid w:val="00537580"/>
    <w:rsid w:val="0054165C"/>
    <w:rsid w:val="005437AE"/>
    <w:rsid w:val="00544B1A"/>
    <w:rsid w:val="005451A3"/>
    <w:rsid w:val="0054574B"/>
    <w:rsid w:val="0055071D"/>
    <w:rsid w:val="00550ECD"/>
    <w:rsid w:val="00552F21"/>
    <w:rsid w:val="0055359D"/>
    <w:rsid w:val="005542DB"/>
    <w:rsid w:val="0055459E"/>
    <w:rsid w:val="00555DFF"/>
    <w:rsid w:val="00557C7C"/>
    <w:rsid w:val="00561C24"/>
    <w:rsid w:val="00562540"/>
    <w:rsid w:val="00563A2B"/>
    <w:rsid w:val="005645BC"/>
    <w:rsid w:val="00565A73"/>
    <w:rsid w:val="00566822"/>
    <w:rsid w:val="00567B9E"/>
    <w:rsid w:val="0057072C"/>
    <w:rsid w:val="00570782"/>
    <w:rsid w:val="00571E8C"/>
    <w:rsid w:val="005732E2"/>
    <w:rsid w:val="005749C5"/>
    <w:rsid w:val="00574B49"/>
    <w:rsid w:val="00575C51"/>
    <w:rsid w:val="005772DC"/>
    <w:rsid w:val="00581676"/>
    <w:rsid w:val="00581D94"/>
    <w:rsid w:val="00582896"/>
    <w:rsid w:val="005831B3"/>
    <w:rsid w:val="0058389F"/>
    <w:rsid w:val="005856D5"/>
    <w:rsid w:val="005857AB"/>
    <w:rsid w:val="00585880"/>
    <w:rsid w:val="00585BFF"/>
    <w:rsid w:val="00585F0A"/>
    <w:rsid w:val="00587CC0"/>
    <w:rsid w:val="00587F7D"/>
    <w:rsid w:val="00592814"/>
    <w:rsid w:val="00592BED"/>
    <w:rsid w:val="00592EC7"/>
    <w:rsid w:val="00593DA6"/>
    <w:rsid w:val="005947DA"/>
    <w:rsid w:val="00594D28"/>
    <w:rsid w:val="005A0624"/>
    <w:rsid w:val="005A0A12"/>
    <w:rsid w:val="005A26A6"/>
    <w:rsid w:val="005A38F5"/>
    <w:rsid w:val="005A3BAE"/>
    <w:rsid w:val="005A4760"/>
    <w:rsid w:val="005A51E2"/>
    <w:rsid w:val="005A5F23"/>
    <w:rsid w:val="005A78AE"/>
    <w:rsid w:val="005B1511"/>
    <w:rsid w:val="005B2073"/>
    <w:rsid w:val="005B20B6"/>
    <w:rsid w:val="005B24A3"/>
    <w:rsid w:val="005B3D76"/>
    <w:rsid w:val="005B59D3"/>
    <w:rsid w:val="005B6610"/>
    <w:rsid w:val="005B7108"/>
    <w:rsid w:val="005B7C64"/>
    <w:rsid w:val="005C035A"/>
    <w:rsid w:val="005C118D"/>
    <w:rsid w:val="005C1396"/>
    <w:rsid w:val="005C21C3"/>
    <w:rsid w:val="005C4FA9"/>
    <w:rsid w:val="005C64FB"/>
    <w:rsid w:val="005C6B69"/>
    <w:rsid w:val="005C7AE2"/>
    <w:rsid w:val="005D0E98"/>
    <w:rsid w:val="005D3766"/>
    <w:rsid w:val="005D5A31"/>
    <w:rsid w:val="005D6AB1"/>
    <w:rsid w:val="005D79AF"/>
    <w:rsid w:val="005D7C5E"/>
    <w:rsid w:val="005D7E64"/>
    <w:rsid w:val="005E2743"/>
    <w:rsid w:val="005E328F"/>
    <w:rsid w:val="005E3890"/>
    <w:rsid w:val="005E3C7D"/>
    <w:rsid w:val="005E6E87"/>
    <w:rsid w:val="005F2B8D"/>
    <w:rsid w:val="005F3FA3"/>
    <w:rsid w:val="005F575C"/>
    <w:rsid w:val="005F755C"/>
    <w:rsid w:val="006008B2"/>
    <w:rsid w:val="00601F2F"/>
    <w:rsid w:val="00607002"/>
    <w:rsid w:val="00607933"/>
    <w:rsid w:val="0061101B"/>
    <w:rsid w:val="006115BE"/>
    <w:rsid w:val="00611BDA"/>
    <w:rsid w:val="00616108"/>
    <w:rsid w:val="00621066"/>
    <w:rsid w:val="00621DB2"/>
    <w:rsid w:val="00622F8C"/>
    <w:rsid w:val="00624FE3"/>
    <w:rsid w:val="0062590B"/>
    <w:rsid w:val="00625DD2"/>
    <w:rsid w:val="00625E74"/>
    <w:rsid w:val="00626FD0"/>
    <w:rsid w:val="0063033D"/>
    <w:rsid w:val="00631136"/>
    <w:rsid w:val="0063159D"/>
    <w:rsid w:val="0063317F"/>
    <w:rsid w:val="006332AC"/>
    <w:rsid w:val="00633540"/>
    <w:rsid w:val="00634797"/>
    <w:rsid w:val="00634B59"/>
    <w:rsid w:val="00636DF9"/>
    <w:rsid w:val="00637340"/>
    <w:rsid w:val="0064062A"/>
    <w:rsid w:val="00641167"/>
    <w:rsid w:val="00641FB1"/>
    <w:rsid w:val="00642CC0"/>
    <w:rsid w:val="00645138"/>
    <w:rsid w:val="0064545D"/>
    <w:rsid w:val="00647ABB"/>
    <w:rsid w:val="00647D64"/>
    <w:rsid w:val="006503C5"/>
    <w:rsid w:val="0065162D"/>
    <w:rsid w:val="00651FFD"/>
    <w:rsid w:val="00652156"/>
    <w:rsid w:val="0065221F"/>
    <w:rsid w:val="0065305A"/>
    <w:rsid w:val="00653191"/>
    <w:rsid w:val="006535B0"/>
    <w:rsid w:val="00653AC9"/>
    <w:rsid w:val="006548E4"/>
    <w:rsid w:val="006563DF"/>
    <w:rsid w:val="006574DD"/>
    <w:rsid w:val="00661617"/>
    <w:rsid w:val="00661A19"/>
    <w:rsid w:val="00662D70"/>
    <w:rsid w:val="00664878"/>
    <w:rsid w:val="00664A4F"/>
    <w:rsid w:val="00665E6D"/>
    <w:rsid w:val="00666265"/>
    <w:rsid w:val="00666E26"/>
    <w:rsid w:val="00667282"/>
    <w:rsid w:val="006678D4"/>
    <w:rsid w:val="00667B09"/>
    <w:rsid w:val="0067064E"/>
    <w:rsid w:val="0067091D"/>
    <w:rsid w:val="00672B94"/>
    <w:rsid w:val="006732A9"/>
    <w:rsid w:val="00674E40"/>
    <w:rsid w:val="00675ACE"/>
    <w:rsid w:val="006760D3"/>
    <w:rsid w:val="00677292"/>
    <w:rsid w:val="006803D3"/>
    <w:rsid w:val="00680445"/>
    <w:rsid w:val="0068279E"/>
    <w:rsid w:val="00683559"/>
    <w:rsid w:val="00686F37"/>
    <w:rsid w:val="006871D3"/>
    <w:rsid w:val="00687ED3"/>
    <w:rsid w:val="0069070C"/>
    <w:rsid w:val="00691D5D"/>
    <w:rsid w:val="006926B1"/>
    <w:rsid w:val="00692757"/>
    <w:rsid w:val="0069413F"/>
    <w:rsid w:val="00695B1E"/>
    <w:rsid w:val="00695F80"/>
    <w:rsid w:val="006968B6"/>
    <w:rsid w:val="00696CEE"/>
    <w:rsid w:val="00697113"/>
    <w:rsid w:val="00697508"/>
    <w:rsid w:val="006975F0"/>
    <w:rsid w:val="006978C8"/>
    <w:rsid w:val="006A36C6"/>
    <w:rsid w:val="006A3A25"/>
    <w:rsid w:val="006A40B3"/>
    <w:rsid w:val="006A45BC"/>
    <w:rsid w:val="006A4951"/>
    <w:rsid w:val="006A5FB0"/>
    <w:rsid w:val="006A61F2"/>
    <w:rsid w:val="006A627A"/>
    <w:rsid w:val="006A6530"/>
    <w:rsid w:val="006A6BF7"/>
    <w:rsid w:val="006A75E3"/>
    <w:rsid w:val="006B00E4"/>
    <w:rsid w:val="006B0BC3"/>
    <w:rsid w:val="006B14BC"/>
    <w:rsid w:val="006B39DC"/>
    <w:rsid w:val="006B3FA4"/>
    <w:rsid w:val="006B5B46"/>
    <w:rsid w:val="006B634C"/>
    <w:rsid w:val="006B678C"/>
    <w:rsid w:val="006B7265"/>
    <w:rsid w:val="006C180E"/>
    <w:rsid w:val="006C1D2B"/>
    <w:rsid w:val="006C22C3"/>
    <w:rsid w:val="006C33F6"/>
    <w:rsid w:val="006C3462"/>
    <w:rsid w:val="006C4F2F"/>
    <w:rsid w:val="006C5224"/>
    <w:rsid w:val="006C6876"/>
    <w:rsid w:val="006C6AAF"/>
    <w:rsid w:val="006C6CD6"/>
    <w:rsid w:val="006C71B9"/>
    <w:rsid w:val="006C7826"/>
    <w:rsid w:val="006C7CA8"/>
    <w:rsid w:val="006D3351"/>
    <w:rsid w:val="006D3F33"/>
    <w:rsid w:val="006D4389"/>
    <w:rsid w:val="006D4E30"/>
    <w:rsid w:val="006D6C76"/>
    <w:rsid w:val="006E0242"/>
    <w:rsid w:val="006E06DE"/>
    <w:rsid w:val="006E1B0B"/>
    <w:rsid w:val="006E3599"/>
    <w:rsid w:val="006E3F69"/>
    <w:rsid w:val="006E47BF"/>
    <w:rsid w:val="006E5932"/>
    <w:rsid w:val="006E7594"/>
    <w:rsid w:val="006F0844"/>
    <w:rsid w:val="006F1366"/>
    <w:rsid w:val="006F155B"/>
    <w:rsid w:val="006F198C"/>
    <w:rsid w:val="006F3404"/>
    <w:rsid w:val="006F3F70"/>
    <w:rsid w:val="006F48E2"/>
    <w:rsid w:val="006F5364"/>
    <w:rsid w:val="007022CF"/>
    <w:rsid w:val="00702D93"/>
    <w:rsid w:val="00703E92"/>
    <w:rsid w:val="00704550"/>
    <w:rsid w:val="00706A88"/>
    <w:rsid w:val="00706F35"/>
    <w:rsid w:val="007072B1"/>
    <w:rsid w:val="007101F1"/>
    <w:rsid w:val="00710765"/>
    <w:rsid w:val="00710DEA"/>
    <w:rsid w:val="00713343"/>
    <w:rsid w:val="00713865"/>
    <w:rsid w:val="0071453B"/>
    <w:rsid w:val="007158F7"/>
    <w:rsid w:val="00720649"/>
    <w:rsid w:val="00720881"/>
    <w:rsid w:val="0072177D"/>
    <w:rsid w:val="00721B6A"/>
    <w:rsid w:val="0072417B"/>
    <w:rsid w:val="00724C7C"/>
    <w:rsid w:val="0072543D"/>
    <w:rsid w:val="00725C26"/>
    <w:rsid w:val="00726E9B"/>
    <w:rsid w:val="0072750C"/>
    <w:rsid w:val="00730897"/>
    <w:rsid w:val="00731379"/>
    <w:rsid w:val="00731B4F"/>
    <w:rsid w:val="00732EBE"/>
    <w:rsid w:val="00733797"/>
    <w:rsid w:val="00733A5D"/>
    <w:rsid w:val="00734601"/>
    <w:rsid w:val="0073475F"/>
    <w:rsid w:val="00736A59"/>
    <w:rsid w:val="00737596"/>
    <w:rsid w:val="007403AF"/>
    <w:rsid w:val="00740C2F"/>
    <w:rsid w:val="00741219"/>
    <w:rsid w:val="00741832"/>
    <w:rsid w:val="00744CA7"/>
    <w:rsid w:val="00750836"/>
    <w:rsid w:val="00751EC6"/>
    <w:rsid w:val="007563E9"/>
    <w:rsid w:val="00756837"/>
    <w:rsid w:val="00757BA3"/>
    <w:rsid w:val="00760E3E"/>
    <w:rsid w:val="00761622"/>
    <w:rsid w:val="00761C7E"/>
    <w:rsid w:val="00761FA3"/>
    <w:rsid w:val="0076211A"/>
    <w:rsid w:val="0076243A"/>
    <w:rsid w:val="00764EDB"/>
    <w:rsid w:val="007650BF"/>
    <w:rsid w:val="0077041E"/>
    <w:rsid w:val="0077312F"/>
    <w:rsid w:val="0077362A"/>
    <w:rsid w:val="007742A6"/>
    <w:rsid w:val="00774F28"/>
    <w:rsid w:val="007758E0"/>
    <w:rsid w:val="007767D6"/>
    <w:rsid w:val="00780778"/>
    <w:rsid w:val="00781926"/>
    <w:rsid w:val="00781AF1"/>
    <w:rsid w:val="0078233B"/>
    <w:rsid w:val="00782EBD"/>
    <w:rsid w:val="007836FF"/>
    <w:rsid w:val="00785099"/>
    <w:rsid w:val="0079055A"/>
    <w:rsid w:val="00792D37"/>
    <w:rsid w:val="00792D4E"/>
    <w:rsid w:val="0079364E"/>
    <w:rsid w:val="00793C4E"/>
    <w:rsid w:val="00794A22"/>
    <w:rsid w:val="00795A01"/>
    <w:rsid w:val="00796857"/>
    <w:rsid w:val="00796973"/>
    <w:rsid w:val="007A227A"/>
    <w:rsid w:val="007A33AC"/>
    <w:rsid w:val="007A6045"/>
    <w:rsid w:val="007A68BD"/>
    <w:rsid w:val="007A7E91"/>
    <w:rsid w:val="007B052D"/>
    <w:rsid w:val="007B0601"/>
    <w:rsid w:val="007B0DA6"/>
    <w:rsid w:val="007B1F70"/>
    <w:rsid w:val="007B25D9"/>
    <w:rsid w:val="007B551E"/>
    <w:rsid w:val="007B7510"/>
    <w:rsid w:val="007B7637"/>
    <w:rsid w:val="007C074D"/>
    <w:rsid w:val="007C08B7"/>
    <w:rsid w:val="007C203D"/>
    <w:rsid w:val="007C22C3"/>
    <w:rsid w:val="007C2846"/>
    <w:rsid w:val="007C29A8"/>
    <w:rsid w:val="007C30B2"/>
    <w:rsid w:val="007C3959"/>
    <w:rsid w:val="007C479E"/>
    <w:rsid w:val="007C5AE9"/>
    <w:rsid w:val="007C6158"/>
    <w:rsid w:val="007C6B78"/>
    <w:rsid w:val="007D1273"/>
    <w:rsid w:val="007D42FC"/>
    <w:rsid w:val="007D559B"/>
    <w:rsid w:val="007D5B2D"/>
    <w:rsid w:val="007D6C51"/>
    <w:rsid w:val="007D7062"/>
    <w:rsid w:val="007D7223"/>
    <w:rsid w:val="007E0439"/>
    <w:rsid w:val="007E2262"/>
    <w:rsid w:val="007E2B73"/>
    <w:rsid w:val="007E52F3"/>
    <w:rsid w:val="007E54B6"/>
    <w:rsid w:val="007E637E"/>
    <w:rsid w:val="007E9FB2"/>
    <w:rsid w:val="007F00BB"/>
    <w:rsid w:val="007F23D8"/>
    <w:rsid w:val="007F28AD"/>
    <w:rsid w:val="007F3207"/>
    <w:rsid w:val="007F3F80"/>
    <w:rsid w:val="007F461A"/>
    <w:rsid w:val="007F4E06"/>
    <w:rsid w:val="007F5031"/>
    <w:rsid w:val="007F50D9"/>
    <w:rsid w:val="007F5704"/>
    <w:rsid w:val="007F5731"/>
    <w:rsid w:val="007F6186"/>
    <w:rsid w:val="007F7214"/>
    <w:rsid w:val="00800101"/>
    <w:rsid w:val="0080065E"/>
    <w:rsid w:val="00800A62"/>
    <w:rsid w:val="0080123E"/>
    <w:rsid w:val="00801D19"/>
    <w:rsid w:val="008029C2"/>
    <w:rsid w:val="00803518"/>
    <w:rsid w:val="00803D92"/>
    <w:rsid w:val="008049D4"/>
    <w:rsid w:val="008057E8"/>
    <w:rsid w:val="008060E3"/>
    <w:rsid w:val="00807286"/>
    <w:rsid w:val="00807380"/>
    <w:rsid w:val="00807A86"/>
    <w:rsid w:val="008103DD"/>
    <w:rsid w:val="00810AED"/>
    <w:rsid w:val="0081383A"/>
    <w:rsid w:val="00814565"/>
    <w:rsid w:val="008145AD"/>
    <w:rsid w:val="00815637"/>
    <w:rsid w:val="00816AB6"/>
    <w:rsid w:val="00821E27"/>
    <w:rsid w:val="00822892"/>
    <w:rsid w:val="00823A1E"/>
    <w:rsid w:val="00824161"/>
    <w:rsid w:val="0082552C"/>
    <w:rsid w:val="008266FD"/>
    <w:rsid w:val="008279B0"/>
    <w:rsid w:val="00827C0C"/>
    <w:rsid w:val="00830D79"/>
    <w:rsid w:val="00833DBC"/>
    <w:rsid w:val="00834240"/>
    <w:rsid w:val="008350A7"/>
    <w:rsid w:val="00837143"/>
    <w:rsid w:val="00840945"/>
    <w:rsid w:val="00840DF7"/>
    <w:rsid w:val="0084197A"/>
    <w:rsid w:val="00841D44"/>
    <w:rsid w:val="00843406"/>
    <w:rsid w:val="00843434"/>
    <w:rsid w:val="00843F46"/>
    <w:rsid w:val="0084462F"/>
    <w:rsid w:val="0084496F"/>
    <w:rsid w:val="00845127"/>
    <w:rsid w:val="00846368"/>
    <w:rsid w:val="00846400"/>
    <w:rsid w:val="0085062B"/>
    <w:rsid w:val="008512E7"/>
    <w:rsid w:val="00852178"/>
    <w:rsid w:val="00854496"/>
    <w:rsid w:val="00856B73"/>
    <w:rsid w:val="0085731B"/>
    <w:rsid w:val="00857889"/>
    <w:rsid w:val="00861147"/>
    <w:rsid w:val="008611B9"/>
    <w:rsid w:val="00861C6E"/>
    <w:rsid w:val="00861D30"/>
    <w:rsid w:val="0086263E"/>
    <w:rsid w:val="00863A7F"/>
    <w:rsid w:val="0086440B"/>
    <w:rsid w:val="008664BC"/>
    <w:rsid w:val="00866809"/>
    <w:rsid w:val="00866EDE"/>
    <w:rsid w:val="00866F18"/>
    <w:rsid w:val="00870D37"/>
    <w:rsid w:val="008717C1"/>
    <w:rsid w:val="008723B6"/>
    <w:rsid w:val="00874CBD"/>
    <w:rsid w:val="0087628A"/>
    <w:rsid w:val="0087632A"/>
    <w:rsid w:val="00876A35"/>
    <w:rsid w:val="00880029"/>
    <w:rsid w:val="00882E4C"/>
    <w:rsid w:val="008839CE"/>
    <w:rsid w:val="00883B4A"/>
    <w:rsid w:val="00883F55"/>
    <w:rsid w:val="00883F9F"/>
    <w:rsid w:val="00884D5B"/>
    <w:rsid w:val="00885147"/>
    <w:rsid w:val="00886292"/>
    <w:rsid w:val="00886388"/>
    <w:rsid w:val="00887AF9"/>
    <w:rsid w:val="00887B1F"/>
    <w:rsid w:val="008912C1"/>
    <w:rsid w:val="00891608"/>
    <w:rsid w:val="00892354"/>
    <w:rsid w:val="00892441"/>
    <w:rsid w:val="00895442"/>
    <w:rsid w:val="00895555"/>
    <w:rsid w:val="008A200C"/>
    <w:rsid w:val="008A32C7"/>
    <w:rsid w:val="008A33BD"/>
    <w:rsid w:val="008A3679"/>
    <w:rsid w:val="008A422C"/>
    <w:rsid w:val="008A7693"/>
    <w:rsid w:val="008B0084"/>
    <w:rsid w:val="008B1BF7"/>
    <w:rsid w:val="008B2245"/>
    <w:rsid w:val="008B3DCB"/>
    <w:rsid w:val="008B56F6"/>
    <w:rsid w:val="008B6616"/>
    <w:rsid w:val="008B71E0"/>
    <w:rsid w:val="008C1419"/>
    <w:rsid w:val="008C6E18"/>
    <w:rsid w:val="008D021F"/>
    <w:rsid w:val="008D02E6"/>
    <w:rsid w:val="008D0C01"/>
    <w:rsid w:val="008D11F2"/>
    <w:rsid w:val="008D198A"/>
    <w:rsid w:val="008D2F97"/>
    <w:rsid w:val="008D3EA5"/>
    <w:rsid w:val="008D5392"/>
    <w:rsid w:val="008D595E"/>
    <w:rsid w:val="008D6639"/>
    <w:rsid w:val="008D6D59"/>
    <w:rsid w:val="008D73B8"/>
    <w:rsid w:val="008D765B"/>
    <w:rsid w:val="008E009D"/>
    <w:rsid w:val="008E1B32"/>
    <w:rsid w:val="008E1D17"/>
    <w:rsid w:val="008E4078"/>
    <w:rsid w:val="008E58D1"/>
    <w:rsid w:val="008E5E57"/>
    <w:rsid w:val="008E7D35"/>
    <w:rsid w:val="008F05F1"/>
    <w:rsid w:val="008F09EC"/>
    <w:rsid w:val="008F0ED3"/>
    <w:rsid w:val="008F187B"/>
    <w:rsid w:val="008F2074"/>
    <w:rsid w:val="008F21E2"/>
    <w:rsid w:val="008F2ACD"/>
    <w:rsid w:val="008F4058"/>
    <w:rsid w:val="008F4FBD"/>
    <w:rsid w:val="009013CD"/>
    <w:rsid w:val="00901F7C"/>
    <w:rsid w:val="0090246F"/>
    <w:rsid w:val="009056D0"/>
    <w:rsid w:val="009066FD"/>
    <w:rsid w:val="00906E5C"/>
    <w:rsid w:val="0090789F"/>
    <w:rsid w:val="00913719"/>
    <w:rsid w:val="00915156"/>
    <w:rsid w:val="00915C80"/>
    <w:rsid w:val="00916005"/>
    <w:rsid w:val="00916AFC"/>
    <w:rsid w:val="00916B28"/>
    <w:rsid w:val="00917B66"/>
    <w:rsid w:val="00925537"/>
    <w:rsid w:val="00925BC1"/>
    <w:rsid w:val="00927397"/>
    <w:rsid w:val="00931933"/>
    <w:rsid w:val="009330DE"/>
    <w:rsid w:val="00934DC5"/>
    <w:rsid w:val="00934EC6"/>
    <w:rsid w:val="00936729"/>
    <w:rsid w:val="00937B09"/>
    <w:rsid w:val="0094034D"/>
    <w:rsid w:val="009443DA"/>
    <w:rsid w:val="00944938"/>
    <w:rsid w:val="00944E5B"/>
    <w:rsid w:val="00946A72"/>
    <w:rsid w:val="00951B71"/>
    <w:rsid w:val="00951F99"/>
    <w:rsid w:val="009521C1"/>
    <w:rsid w:val="0095234A"/>
    <w:rsid w:val="00953A66"/>
    <w:rsid w:val="00953CCD"/>
    <w:rsid w:val="00953F04"/>
    <w:rsid w:val="00954027"/>
    <w:rsid w:val="00954191"/>
    <w:rsid w:val="00954E5A"/>
    <w:rsid w:val="00955DA8"/>
    <w:rsid w:val="00955E4D"/>
    <w:rsid w:val="00956915"/>
    <w:rsid w:val="00956E2D"/>
    <w:rsid w:val="00960FA3"/>
    <w:rsid w:val="00961D13"/>
    <w:rsid w:val="00962473"/>
    <w:rsid w:val="00962CD2"/>
    <w:rsid w:val="00963D55"/>
    <w:rsid w:val="009646A3"/>
    <w:rsid w:val="00964AB8"/>
    <w:rsid w:val="00966175"/>
    <w:rsid w:val="00970415"/>
    <w:rsid w:val="009727FF"/>
    <w:rsid w:val="00972A65"/>
    <w:rsid w:val="00973A19"/>
    <w:rsid w:val="009758EB"/>
    <w:rsid w:val="00975CF9"/>
    <w:rsid w:val="00977067"/>
    <w:rsid w:val="00983171"/>
    <w:rsid w:val="00984278"/>
    <w:rsid w:val="00985AD3"/>
    <w:rsid w:val="00990092"/>
    <w:rsid w:val="009918F2"/>
    <w:rsid w:val="00992C51"/>
    <w:rsid w:val="009935D1"/>
    <w:rsid w:val="009938E0"/>
    <w:rsid w:val="009938EF"/>
    <w:rsid w:val="00995646"/>
    <w:rsid w:val="00996FBA"/>
    <w:rsid w:val="009A1608"/>
    <w:rsid w:val="009A22D6"/>
    <w:rsid w:val="009A386F"/>
    <w:rsid w:val="009A542E"/>
    <w:rsid w:val="009A5FEE"/>
    <w:rsid w:val="009B0099"/>
    <w:rsid w:val="009B0A1C"/>
    <w:rsid w:val="009B185E"/>
    <w:rsid w:val="009B2934"/>
    <w:rsid w:val="009B2D53"/>
    <w:rsid w:val="009B3437"/>
    <w:rsid w:val="009B412C"/>
    <w:rsid w:val="009B4421"/>
    <w:rsid w:val="009B56EA"/>
    <w:rsid w:val="009B58AC"/>
    <w:rsid w:val="009B5DC3"/>
    <w:rsid w:val="009B5E94"/>
    <w:rsid w:val="009B62D3"/>
    <w:rsid w:val="009B7482"/>
    <w:rsid w:val="009B7CC7"/>
    <w:rsid w:val="009C04C5"/>
    <w:rsid w:val="009C06F4"/>
    <w:rsid w:val="009C1E65"/>
    <w:rsid w:val="009C3BA6"/>
    <w:rsid w:val="009C408D"/>
    <w:rsid w:val="009C4C7E"/>
    <w:rsid w:val="009C5B10"/>
    <w:rsid w:val="009C600E"/>
    <w:rsid w:val="009C6E86"/>
    <w:rsid w:val="009C73F5"/>
    <w:rsid w:val="009D0A0A"/>
    <w:rsid w:val="009D0DD5"/>
    <w:rsid w:val="009D2CC1"/>
    <w:rsid w:val="009D2D29"/>
    <w:rsid w:val="009D3FF9"/>
    <w:rsid w:val="009D5BED"/>
    <w:rsid w:val="009D6F3A"/>
    <w:rsid w:val="009E2227"/>
    <w:rsid w:val="009E2A93"/>
    <w:rsid w:val="009E49C2"/>
    <w:rsid w:val="009E4C30"/>
    <w:rsid w:val="009E505B"/>
    <w:rsid w:val="009E7509"/>
    <w:rsid w:val="009F0327"/>
    <w:rsid w:val="009F0719"/>
    <w:rsid w:val="009F222B"/>
    <w:rsid w:val="009F42F7"/>
    <w:rsid w:val="009F6F28"/>
    <w:rsid w:val="00A02A69"/>
    <w:rsid w:val="00A02D45"/>
    <w:rsid w:val="00A032A3"/>
    <w:rsid w:val="00A04030"/>
    <w:rsid w:val="00A05C5D"/>
    <w:rsid w:val="00A05EF1"/>
    <w:rsid w:val="00A0602E"/>
    <w:rsid w:val="00A0778C"/>
    <w:rsid w:val="00A07F73"/>
    <w:rsid w:val="00A1037D"/>
    <w:rsid w:val="00A114B7"/>
    <w:rsid w:val="00A114B8"/>
    <w:rsid w:val="00A134B8"/>
    <w:rsid w:val="00A1369F"/>
    <w:rsid w:val="00A13CDB"/>
    <w:rsid w:val="00A15704"/>
    <w:rsid w:val="00A17482"/>
    <w:rsid w:val="00A17F7F"/>
    <w:rsid w:val="00A205D4"/>
    <w:rsid w:val="00A215CD"/>
    <w:rsid w:val="00A21C8A"/>
    <w:rsid w:val="00A24375"/>
    <w:rsid w:val="00A2456E"/>
    <w:rsid w:val="00A24BEE"/>
    <w:rsid w:val="00A25E1B"/>
    <w:rsid w:val="00A27599"/>
    <w:rsid w:val="00A30490"/>
    <w:rsid w:val="00A314E3"/>
    <w:rsid w:val="00A315CA"/>
    <w:rsid w:val="00A32AAB"/>
    <w:rsid w:val="00A33A8D"/>
    <w:rsid w:val="00A34B5A"/>
    <w:rsid w:val="00A350BE"/>
    <w:rsid w:val="00A350F6"/>
    <w:rsid w:val="00A352B6"/>
    <w:rsid w:val="00A36365"/>
    <w:rsid w:val="00A37510"/>
    <w:rsid w:val="00A405ED"/>
    <w:rsid w:val="00A406E3"/>
    <w:rsid w:val="00A41893"/>
    <w:rsid w:val="00A4293C"/>
    <w:rsid w:val="00A444FF"/>
    <w:rsid w:val="00A45B25"/>
    <w:rsid w:val="00A462E9"/>
    <w:rsid w:val="00A4746F"/>
    <w:rsid w:val="00A50306"/>
    <w:rsid w:val="00A515E5"/>
    <w:rsid w:val="00A52AF0"/>
    <w:rsid w:val="00A53FEF"/>
    <w:rsid w:val="00A573CB"/>
    <w:rsid w:val="00A60509"/>
    <w:rsid w:val="00A60613"/>
    <w:rsid w:val="00A62582"/>
    <w:rsid w:val="00A62845"/>
    <w:rsid w:val="00A6391A"/>
    <w:rsid w:val="00A63BD1"/>
    <w:rsid w:val="00A64DC3"/>
    <w:rsid w:val="00A6508E"/>
    <w:rsid w:val="00A66075"/>
    <w:rsid w:val="00A66425"/>
    <w:rsid w:val="00A66732"/>
    <w:rsid w:val="00A66859"/>
    <w:rsid w:val="00A72DF2"/>
    <w:rsid w:val="00A731D3"/>
    <w:rsid w:val="00A768C6"/>
    <w:rsid w:val="00A770D9"/>
    <w:rsid w:val="00A777EF"/>
    <w:rsid w:val="00A8029C"/>
    <w:rsid w:val="00A802FD"/>
    <w:rsid w:val="00A81665"/>
    <w:rsid w:val="00A81707"/>
    <w:rsid w:val="00A82975"/>
    <w:rsid w:val="00A83D0A"/>
    <w:rsid w:val="00A83DC6"/>
    <w:rsid w:val="00A83E5B"/>
    <w:rsid w:val="00A83E7F"/>
    <w:rsid w:val="00A84672"/>
    <w:rsid w:val="00A8484D"/>
    <w:rsid w:val="00A8545A"/>
    <w:rsid w:val="00A858B5"/>
    <w:rsid w:val="00A8715B"/>
    <w:rsid w:val="00A877C4"/>
    <w:rsid w:val="00A87E24"/>
    <w:rsid w:val="00A902C2"/>
    <w:rsid w:val="00A90B61"/>
    <w:rsid w:val="00A90D8A"/>
    <w:rsid w:val="00A92574"/>
    <w:rsid w:val="00A92CEA"/>
    <w:rsid w:val="00A946FA"/>
    <w:rsid w:val="00A951E2"/>
    <w:rsid w:val="00A96A09"/>
    <w:rsid w:val="00A96C86"/>
    <w:rsid w:val="00A96FCD"/>
    <w:rsid w:val="00A97EA2"/>
    <w:rsid w:val="00AA0C52"/>
    <w:rsid w:val="00AA13FE"/>
    <w:rsid w:val="00AA1CC9"/>
    <w:rsid w:val="00AA275B"/>
    <w:rsid w:val="00AA3505"/>
    <w:rsid w:val="00AA399D"/>
    <w:rsid w:val="00AA3C86"/>
    <w:rsid w:val="00AA472A"/>
    <w:rsid w:val="00AA6589"/>
    <w:rsid w:val="00AB201E"/>
    <w:rsid w:val="00AB3BB7"/>
    <w:rsid w:val="00AB43E5"/>
    <w:rsid w:val="00AB51EB"/>
    <w:rsid w:val="00AB5AC3"/>
    <w:rsid w:val="00AB6145"/>
    <w:rsid w:val="00AB6E58"/>
    <w:rsid w:val="00AB7D7D"/>
    <w:rsid w:val="00AC00C7"/>
    <w:rsid w:val="00AC1177"/>
    <w:rsid w:val="00AC1A67"/>
    <w:rsid w:val="00AC2078"/>
    <w:rsid w:val="00AC3172"/>
    <w:rsid w:val="00AC6F92"/>
    <w:rsid w:val="00AC71BD"/>
    <w:rsid w:val="00AD16E5"/>
    <w:rsid w:val="00AD249D"/>
    <w:rsid w:val="00AD3172"/>
    <w:rsid w:val="00AD3E3A"/>
    <w:rsid w:val="00AD4550"/>
    <w:rsid w:val="00AD548B"/>
    <w:rsid w:val="00AD5B73"/>
    <w:rsid w:val="00AD654C"/>
    <w:rsid w:val="00AE264A"/>
    <w:rsid w:val="00AE2E0E"/>
    <w:rsid w:val="00AE31EC"/>
    <w:rsid w:val="00AE3632"/>
    <w:rsid w:val="00AE5635"/>
    <w:rsid w:val="00AF4686"/>
    <w:rsid w:val="00AF50AA"/>
    <w:rsid w:val="00AF5C92"/>
    <w:rsid w:val="00AF7B80"/>
    <w:rsid w:val="00B0020E"/>
    <w:rsid w:val="00B003A8"/>
    <w:rsid w:val="00B00EEA"/>
    <w:rsid w:val="00B01C16"/>
    <w:rsid w:val="00B04D99"/>
    <w:rsid w:val="00B05800"/>
    <w:rsid w:val="00B1110D"/>
    <w:rsid w:val="00B120C3"/>
    <w:rsid w:val="00B147A3"/>
    <w:rsid w:val="00B14DED"/>
    <w:rsid w:val="00B16D43"/>
    <w:rsid w:val="00B17194"/>
    <w:rsid w:val="00B20428"/>
    <w:rsid w:val="00B209DB"/>
    <w:rsid w:val="00B22C74"/>
    <w:rsid w:val="00B2424A"/>
    <w:rsid w:val="00B257E7"/>
    <w:rsid w:val="00B271A9"/>
    <w:rsid w:val="00B27409"/>
    <w:rsid w:val="00B308B9"/>
    <w:rsid w:val="00B3107F"/>
    <w:rsid w:val="00B321C0"/>
    <w:rsid w:val="00B32F8F"/>
    <w:rsid w:val="00B33EE6"/>
    <w:rsid w:val="00B35B08"/>
    <w:rsid w:val="00B35DF0"/>
    <w:rsid w:val="00B36F66"/>
    <w:rsid w:val="00B37C47"/>
    <w:rsid w:val="00B37DF4"/>
    <w:rsid w:val="00B4109F"/>
    <w:rsid w:val="00B41E71"/>
    <w:rsid w:val="00B431C7"/>
    <w:rsid w:val="00B43A5F"/>
    <w:rsid w:val="00B45387"/>
    <w:rsid w:val="00B4687B"/>
    <w:rsid w:val="00B46C73"/>
    <w:rsid w:val="00B46D35"/>
    <w:rsid w:val="00B470C4"/>
    <w:rsid w:val="00B50379"/>
    <w:rsid w:val="00B52464"/>
    <w:rsid w:val="00B52A1F"/>
    <w:rsid w:val="00B52B2C"/>
    <w:rsid w:val="00B52FD5"/>
    <w:rsid w:val="00B536B1"/>
    <w:rsid w:val="00B53DF4"/>
    <w:rsid w:val="00B54E28"/>
    <w:rsid w:val="00B5520C"/>
    <w:rsid w:val="00B5619B"/>
    <w:rsid w:val="00B56736"/>
    <w:rsid w:val="00B60BE7"/>
    <w:rsid w:val="00B6218C"/>
    <w:rsid w:val="00B64A23"/>
    <w:rsid w:val="00B64F7C"/>
    <w:rsid w:val="00B64FE3"/>
    <w:rsid w:val="00B65102"/>
    <w:rsid w:val="00B65157"/>
    <w:rsid w:val="00B7239F"/>
    <w:rsid w:val="00B752D3"/>
    <w:rsid w:val="00B75B43"/>
    <w:rsid w:val="00B76118"/>
    <w:rsid w:val="00B771B0"/>
    <w:rsid w:val="00B77F95"/>
    <w:rsid w:val="00B810F1"/>
    <w:rsid w:val="00B81257"/>
    <w:rsid w:val="00B82934"/>
    <w:rsid w:val="00B84CBE"/>
    <w:rsid w:val="00B855B5"/>
    <w:rsid w:val="00B85E4C"/>
    <w:rsid w:val="00B85E77"/>
    <w:rsid w:val="00B86D86"/>
    <w:rsid w:val="00B90F77"/>
    <w:rsid w:val="00B9150D"/>
    <w:rsid w:val="00B9196E"/>
    <w:rsid w:val="00B92208"/>
    <w:rsid w:val="00B92662"/>
    <w:rsid w:val="00B957E8"/>
    <w:rsid w:val="00B96879"/>
    <w:rsid w:val="00B97A5B"/>
    <w:rsid w:val="00BA0F5C"/>
    <w:rsid w:val="00BA1DE6"/>
    <w:rsid w:val="00BA42F3"/>
    <w:rsid w:val="00BA4685"/>
    <w:rsid w:val="00BA69B5"/>
    <w:rsid w:val="00BA710B"/>
    <w:rsid w:val="00BB1C5B"/>
    <w:rsid w:val="00BB6308"/>
    <w:rsid w:val="00BB7F80"/>
    <w:rsid w:val="00BC0DBB"/>
    <w:rsid w:val="00BC1FE7"/>
    <w:rsid w:val="00BC21AC"/>
    <w:rsid w:val="00BC698D"/>
    <w:rsid w:val="00BC715F"/>
    <w:rsid w:val="00BC78B6"/>
    <w:rsid w:val="00BD0987"/>
    <w:rsid w:val="00BD1F4A"/>
    <w:rsid w:val="00BD6045"/>
    <w:rsid w:val="00BD6EE9"/>
    <w:rsid w:val="00BD74C0"/>
    <w:rsid w:val="00BD7AF4"/>
    <w:rsid w:val="00BE1B87"/>
    <w:rsid w:val="00BE2D55"/>
    <w:rsid w:val="00BE2EAB"/>
    <w:rsid w:val="00BE3360"/>
    <w:rsid w:val="00BE33DA"/>
    <w:rsid w:val="00BE3B85"/>
    <w:rsid w:val="00BE49C6"/>
    <w:rsid w:val="00BE5C75"/>
    <w:rsid w:val="00BE6AC6"/>
    <w:rsid w:val="00BF01E6"/>
    <w:rsid w:val="00BF0858"/>
    <w:rsid w:val="00BF0E53"/>
    <w:rsid w:val="00BF138C"/>
    <w:rsid w:val="00BF25C2"/>
    <w:rsid w:val="00BF45C0"/>
    <w:rsid w:val="00C00BB9"/>
    <w:rsid w:val="00C0296C"/>
    <w:rsid w:val="00C02C13"/>
    <w:rsid w:val="00C04EC1"/>
    <w:rsid w:val="00C0586E"/>
    <w:rsid w:val="00C05B94"/>
    <w:rsid w:val="00C05D8B"/>
    <w:rsid w:val="00C100F9"/>
    <w:rsid w:val="00C101EB"/>
    <w:rsid w:val="00C10507"/>
    <w:rsid w:val="00C10D76"/>
    <w:rsid w:val="00C10EB2"/>
    <w:rsid w:val="00C137F7"/>
    <w:rsid w:val="00C13CDA"/>
    <w:rsid w:val="00C14303"/>
    <w:rsid w:val="00C15CA2"/>
    <w:rsid w:val="00C16015"/>
    <w:rsid w:val="00C16269"/>
    <w:rsid w:val="00C16B54"/>
    <w:rsid w:val="00C17932"/>
    <w:rsid w:val="00C20449"/>
    <w:rsid w:val="00C21937"/>
    <w:rsid w:val="00C2218D"/>
    <w:rsid w:val="00C23718"/>
    <w:rsid w:val="00C263F7"/>
    <w:rsid w:val="00C265B3"/>
    <w:rsid w:val="00C275A6"/>
    <w:rsid w:val="00C303BE"/>
    <w:rsid w:val="00C30CB8"/>
    <w:rsid w:val="00C31EA8"/>
    <w:rsid w:val="00C32A89"/>
    <w:rsid w:val="00C3396B"/>
    <w:rsid w:val="00C351E8"/>
    <w:rsid w:val="00C37D8A"/>
    <w:rsid w:val="00C40BBA"/>
    <w:rsid w:val="00C43A44"/>
    <w:rsid w:val="00C4732B"/>
    <w:rsid w:val="00C5006B"/>
    <w:rsid w:val="00C524AF"/>
    <w:rsid w:val="00C52CAB"/>
    <w:rsid w:val="00C52D49"/>
    <w:rsid w:val="00C53855"/>
    <w:rsid w:val="00C543BB"/>
    <w:rsid w:val="00C54580"/>
    <w:rsid w:val="00C546F9"/>
    <w:rsid w:val="00C57271"/>
    <w:rsid w:val="00C60018"/>
    <w:rsid w:val="00C61422"/>
    <w:rsid w:val="00C6188C"/>
    <w:rsid w:val="00C61A0E"/>
    <w:rsid w:val="00C62B71"/>
    <w:rsid w:val="00C639E4"/>
    <w:rsid w:val="00C63F3E"/>
    <w:rsid w:val="00C64032"/>
    <w:rsid w:val="00C71987"/>
    <w:rsid w:val="00C739C7"/>
    <w:rsid w:val="00C803FE"/>
    <w:rsid w:val="00C81694"/>
    <w:rsid w:val="00C81B5E"/>
    <w:rsid w:val="00C83321"/>
    <w:rsid w:val="00C83A5C"/>
    <w:rsid w:val="00C856F4"/>
    <w:rsid w:val="00C85804"/>
    <w:rsid w:val="00C85A2F"/>
    <w:rsid w:val="00C864CA"/>
    <w:rsid w:val="00C86E24"/>
    <w:rsid w:val="00C87D90"/>
    <w:rsid w:val="00C900B3"/>
    <w:rsid w:val="00C906FD"/>
    <w:rsid w:val="00C91525"/>
    <w:rsid w:val="00C91A32"/>
    <w:rsid w:val="00C975E2"/>
    <w:rsid w:val="00CA0963"/>
    <w:rsid w:val="00CA14D9"/>
    <w:rsid w:val="00CA2187"/>
    <w:rsid w:val="00CA5DBD"/>
    <w:rsid w:val="00CA6C6D"/>
    <w:rsid w:val="00CA77DF"/>
    <w:rsid w:val="00CA7CDA"/>
    <w:rsid w:val="00CB0A0B"/>
    <w:rsid w:val="00CB23BE"/>
    <w:rsid w:val="00CB2F11"/>
    <w:rsid w:val="00CB3227"/>
    <w:rsid w:val="00CB41B6"/>
    <w:rsid w:val="00CB4EEE"/>
    <w:rsid w:val="00CB590B"/>
    <w:rsid w:val="00CB77DA"/>
    <w:rsid w:val="00CC00F1"/>
    <w:rsid w:val="00CC0124"/>
    <w:rsid w:val="00CC0A68"/>
    <w:rsid w:val="00CC1F23"/>
    <w:rsid w:val="00CC3E5E"/>
    <w:rsid w:val="00CC6291"/>
    <w:rsid w:val="00CD1026"/>
    <w:rsid w:val="00CD1604"/>
    <w:rsid w:val="00CD231B"/>
    <w:rsid w:val="00CD4783"/>
    <w:rsid w:val="00CD4B02"/>
    <w:rsid w:val="00CD4C01"/>
    <w:rsid w:val="00CD55F8"/>
    <w:rsid w:val="00CD585D"/>
    <w:rsid w:val="00CD5E56"/>
    <w:rsid w:val="00CD7CAC"/>
    <w:rsid w:val="00CD7E8B"/>
    <w:rsid w:val="00CD7E9F"/>
    <w:rsid w:val="00CE03A2"/>
    <w:rsid w:val="00CE0930"/>
    <w:rsid w:val="00CE0D1D"/>
    <w:rsid w:val="00CE0F45"/>
    <w:rsid w:val="00CE16B6"/>
    <w:rsid w:val="00CE1BC0"/>
    <w:rsid w:val="00CE3DFE"/>
    <w:rsid w:val="00CE4AFD"/>
    <w:rsid w:val="00CE4F43"/>
    <w:rsid w:val="00CE587B"/>
    <w:rsid w:val="00CE7128"/>
    <w:rsid w:val="00CE76DF"/>
    <w:rsid w:val="00CF01FD"/>
    <w:rsid w:val="00CF029E"/>
    <w:rsid w:val="00CF03D2"/>
    <w:rsid w:val="00CF0B6A"/>
    <w:rsid w:val="00CF14BA"/>
    <w:rsid w:val="00CF194A"/>
    <w:rsid w:val="00CF1AD6"/>
    <w:rsid w:val="00CF24E0"/>
    <w:rsid w:val="00CF3B40"/>
    <w:rsid w:val="00CF62DC"/>
    <w:rsid w:val="00CF6DD6"/>
    <w:rsid w:val="00CF7089"/>
    <w:rsid w:val="00CF74BD"/>
    <w:rsid w:val="00CF785D"/>
    <w:rsid w:val="00D0020A"/>
    <w:rsid w:val="00D0093E"/>
    <w:rsid w:val="00D009AF"/>
    <w:rsid w:val="00D0122A"/>
    <w:rsid w:val="00D03074"/>
    <w:rsid w:val="00D03C55"/>
    <w:rsid w:val="00D04603"/>
    <w:rsid w:val="00D04A1A"/>
    <w:rsid w:val="00D06E01"/>
    <w:rsid w:val="00D0710B"/>
    <w:rsid w:val="00D07DBE"/>
    <w:rsid w:val="00D1142F"/>
    <w:rsid w:val="00D11B22"/>
    <w:rsid w:val="00D11D15"/>
    <w:rsid w:val="00D12C4F"/>
    <w:rsid w:val="00D14065"/>
    <w:rsid w:val="00D157ED"/>
    <w:rsid w:val="00D165A3"/>
    <w:rsid w:val="00D16F8A"/>
    <w:rsid w:val="00D2030F"/>
    <w:rsid w:val="00D203BD"/>
    <w:rsid w:val="00D207B1"/>
    <w:rsid w:val="00D20AFF"/>
    <w:rsid w:val="00D22C94"/>
    <w:rsid w:val="00D23F25"/>
    <w:rsid w:val="00D24C74"/>
    <w:rsid w:val="00D25B20"/>
    <w:rsid w:val="00D2646D"/>
    <w:rsid w:val="00D26AD2"/>
    <w:rsid w:val="00D310CA"/>
    <w:rsid w:val="00D31C13"/>
    <w:rsid w:val="00D33648"/>
    <w:rsid w:val="00D3412A"/>
    <w:rsid w:val="00D34EFB"/>
    <w:rsid w:val="00D3661A"/>
    <w:rsid w:val="00D374AE"/>
    <w:rsid w:val="00D37956"/>
    <w:rsid w:val="00D400E4"/>
    <w:rsid w:val="00D4049F"/>
    <w:rsid w:val="00D405EC"/>
    <w:rsid w:val="00D40E88"/>
    <w:rsid w:val="00D41328"/>
    <w:rsid w:val="00D422B8"/>
    <w:rsid w:val="00D43324"/>
    <w:rsid w:val="00D4381C"/>
    <w:rsid w:val="00D44396"/>
    <w:rsid w:val="00D46715"/>
    <w:rsid w:val="00D47373"/>
    <w:rsid w:val="00D477C5"/>
    <w:rsid w:val="00D47AD8"/>
    <w:rsid w:val="00D47D28"/>
    <w:rsid w:val="00D50249"/>
    <w:rsid w:val="00D50F45"/>
    <w:rsid w:val="00D5173C"/>
    <w:rsid w:val="00D53399"/>
    <w:rsid w:val="00D53E1E"/>
    <w:rsid w:val="00D54D61"/>
    <w:rsid w:val="00D55E3B"/>
    <w:rsid w:val="00D567E4"/>
    <w:rsid w:val="00D608C9"/>
    <w:rsid w:val="00D61A8F"/>
    <w:rsid w:val="00D61DF0"/>
    <w:rsid w:val="00D622F1"/>
    <w:rsid w:val="00D6262D"/>
    <w:rsid w:val="00D62C0F"/>
    <w:rsid w:val="00D62C20"/>
    <w:rsid w:val="00D63C5F"/>
    <w:rsid w:val="00D67C58"/>
    <w:rsid w:val="00D702AF"/>
    <w:rsid w:val="00D7200E"/>
    <w:rsid w:val="00D72681"/>
    <w:rsid w:val="00D72925"/>
    <w:rsid w:val="00D73311"/>
    <w:rsid w:val="00D737CE"/>
    <w:rsid w:val="00D737D9"/>
    <w:rsid w:val="00D743AB"/>
    <w:rsid w:val="00D76B05"/>
    <w:rsid w:val="00D80ED0"/>
    <w:rsid w:val="00D80F50"/>
    <w:rsid w:val="00D81D57"/>
    <w:rsid w:val="00D82024"/>
    <w:rsid w:val="00D82335"/>
    <w:rsid w:val="00D849B0"/>
    <w:rsid w:val="00D84ACF"/>
    <w:rsid w:val="00D84F83"/>
    <w:rsid w:val="00D856D6"/>
    <w:rsid w:val="00D86EE4"/>
    <w:rsid w:val="00D87F05"/>
    <w:rsid w:val="00D9000D"/>
    <w:rsid w:val="00D90864"/>
    <w:rsid w:val="00D90E26"/>
    <w:rsid w:val="00D9112C"/>
    <w:rsid w:val="00D91F7B"/>
    <w:rsid w:val="00D93AC3"/>
    <w:rsid w:val="00D93C38"/>
    <w:rsid w:val="00D95E48"/>
    <w:rsid w:val="00D95F7E"/>
    <w:rsid w:val="00D970E1"/>
    <w:rsid w:val="00D97FC7"/>
    <w:rsid w:val="00DA1168"/>
    <w:rsid w:val="00DA11FB"/>
    <w:rsid w:val="00DA19C8"/>
    <w:rsid w:val="00DA2353"/>
    <w:rsid w:val="00DA26E0"/>
    <w:rsid w:val="00DA34BF"/>
    <w:rsid w:val="00DA51B5"/>
    <w:rsid w:val="00DB0736"/>
    <w:rsid w:val="00DB1A0F"/>
    <w:rsid w:val="00DB2E13"/>
    <w:rsid w:val="00DB3DA2"/>
    <w:rsid w:val="00DB6899"/>
    <w:rsid w:val="00DB7A3B"/>
    <w:rsid w:val="00DB7C13"/>
    <w:rsid w:val="00DC21D9"/>
    <w:rsid w:val="00DC2F90"/>
    <w:rsid w:val="00DC5AFE"/>
    <w:rsid w:val="00DD05E0"/>
    <w:rsid w:val="00DD06BF"/>
    <w:rsid w:val="00DD086A"/>
    <w:rsid w:val="00DD0B3A"/>
    <w:rsid w:val="00DD18A1"/>
    <w:rsid w:val="00DD2FFD"/>
    <w:rsid w:val="00DD3685"/>
    <w:rsid w:val="00DD6F2F"/>
    <w:rsid w:val="00DD766F"/>
    <w:rsid w:val="00DD7B46"/>
    <w:rsid w:val="00DD7E78"/>
    <w:rsid w:val="00DD7E80"/>
    <w:rsid w:val="00DE3308"/>
    <w:rsid w:val="00DE48C0"/>
    <w:rsid w:val="00DE5383"/>
    <w:rsid w:val="00DE5FFB"/>
    <w:rsid w:val="00DE77E6"/>
    <w:rsid w:val="00DF0302"/>
    <w:rsid w:val="00DF03E6"/>
    <w:rsid w:val="00DF0596"/>
    <w:rsid w:val="00DF0868"/>
    <w:rsid w:val="00DF3B9E"/>
    <w:rsid w:val="00DF629A"/>
    <w:rsid w:val="00DF69B5"/>
    <w:rsid w:val="00DF6BD1"/>
    <w:rsid w:val="00DF7CCD"/>
    <w:rsid w:val="00E01642"/>
    <w:rsid w:val="00E029A2"/>
    <w:rsid w:val="00E02E6B"/>
    <w:rsid w:val="00E03B4D"/>
    <w:rsid w:val="00E10375"/>
    <w:rsid w:val="00E12768"/>
    <w:rsid w:val="00E127CE"/>
    <w:rsid w:val="00E16055"/>
    <w:rsid w:val="00E22973"/>
    <w:rsid w:val="00E22E31"/>
    <w:rsid w:val="00E2349F"/>
    <w:rsid w:val="00E2412C"/>
    <w:rsid w:val="00E24187"/>
    <w:rsid w:val="00E24C5F"/>
    <w:rsid w:val="00E254D9"/>
    <w:rsid w:val="00E25730"/>
    <w:rsid w:val="00E261D7"/>
    <w:rsid w:val="00E271B7"/>
    <w:rsid w:val="00E301CB"/>
    <w:rsid w:val="00E30BE5"/>
    <w:rsid w:val="00E36D33"/>
    <w:rsid w:val="00E370F8"/>
    <w:rsid w:val="00E37BDD"/>
    <w:rsid w:val="00E37E2D"/>
    <w:rsid w:val="00E41060"/>
    <w:rsid w:val="00E41DA7"/>
    <w:rsid w:val="00E421AB"/>
    <w:rsid w:val="00E43A03"/>
    <w:rsid w:val="00E43A9F"/>
    <w:rsid w:val="00E44D2D"/>
    <w:rsid w:val="00E457A9"/>
    <w:rsid w:val="00E45F5F"/>
    <w:rsid w:val="00E47A67"/>
    <w:rsid w:val="00E5010C"/>
    <w:rsid w:val="00E507EE"/>
    <w:rsid w:val="00E50D4B"/>
    <w:rsid w:val="00E50F95"/>
    <w:rsid w:val="00E51AF2"/>
    <w:rsid w:val="00E526B5"/>
    <w:rsid w:val="00E52815"/>
    <w:rsid w:val="00E5653F"/>
    <w:rsid w:val="00E600A7"/>
    <w:rsid w:val="00E61720"/>
    <w:rsid w:val="00E62488"/>
    <w:rsid w:val="00E630F3"/>
    <w:rsid w:val="00E6447B"/>
    <w:rsid w:val="00E64A54"/>
    <w:rsid w:val="00E64F54"/>
    <w:rsid w:val="00E6723E"/>
    <w:rsid w:val="00E67D41"/>
    <w:rsid w:val="00E700CC"/>
    <w:rsid w:val="00E700FC"/>
    <w:rsid w:val="00E70A59"/>
    <w:rsid w:val="00E72361"/>
    <w:rsid w:val="00E7355B"/>
    <w:rsid w:val="00E741D8"/>
    <w:rsid w:val="00E75353"/>
    <w:rsid w:val="00E75CEF"/>
    <w:rsid w:val="00E772FE"/>
    <w:rsid w:val="00E806F2"/>
    <w:rsid w:val="00E80B57"/>
    <w:rsid w:val="00E8124C"/>
    <w:rsid w:val="00E81B5E"/>
    <w:rsid w:val="00E829A9"/>
    <w:rsid w:val="00E83A36"/>
    <w:rsid w:val="00E8484C"/>
    <w:rsid w:val="00E84B8A"/>
    <w:rsid w:val="00E85709"/>
    <w:rsid w:val="00E8705F"/>
    <w:rsid w:val="00E87451"/>
    <w:rsid w:val="00E9092E"/>
    <w:rsid w:val="00E90C59"/>
    <w:rsid w:val="00E90C79"/>
    <w:rsid w:val="00E91B47"/>
    <w:rsid w:val="00E925AF"/>
    <w:rsid w:val="00E9554B"/>
    <w:rsid w:val="00E96C89"/>
    <w:rsid w:val="00E970D1"/>
    <w:rsid w:val="00E97603"/>
    <w:rsid w:val="00E97BB8"/>
    <w:rsid w:val="00E97C39"/>
    <w:rsid w:val="00EA1345"/>
    <w:rsid w:val="00EA18E2"/>
    <w:rsid w:val="00EA3EE8"/>
    <w:rsid w:val="00EA5044"/>
    <w:rsid w:val="00EA509A"/>
    <w:rsid w:val="00EA63BE"/>
    <w:rsid w:val="00EA6CEB"/>
    <w:rsid w:val="00EA7B0C"/>
    <w:rsid w:val="00EB05D7"/>
    <w:rsid w:val="00EB091B"/>
    <w:rsid w:val="00EB0DE3"/>
    <w:rsid w:val="00EB145F"/>
    <w:rsid w:val="00EB3980"/>
    <w:rsid w:val="00EB4B21"/>
    <w:rsid w:val="00EB55E3"/>
    <w:rsid w:val="00EB654C"/>
    <w:rsid w:val="00EC053A"/>
    <w:rsid w:val="00EC1FA9"/>
    <w:rsid w:val="00EC33FE"/>
    <w:rsid w:val="00EC6B07"/>
    <w:rsid w:val="00ED1BF1"/>
    <w:rsid w:val="00ED2A33"/>
    <w:rsid w:val="00ED51F0"/>
    <w:rsid w:val="00ED698D"/>
    <w:rsid w:val="00ED7527"/>
    <w:rsid w:val="00ED7661"/>
    <w:rsid w:val="00ED7A12"/>
    <w:rsid w:val="00ED7F97"/>
    <w:rsid w:val="00EE0F8B"/>
    <w:rsid w:val="00EE190D"/>
    <w:rsid w:val="00EE1F4F"/>
    <w:rsid w:val="00EE2DB2"/>
    <w:rsid w:val="00EE338E"/>
    <w:rsid w:val="00EE473B"/>
    <w:rsid w:val="00EE486A"/>
    <w:rsid w:val="00EE58CF"/>
    <w:rsid w:val="00EE6C39"/>
    <w:rsid w:val="00EE7279"/>
    <w:rsid w:val="00EE73C6"/>
    <w:rsid w:val="00EF1125"/>
    <w:rsid w:val="00EF173C"/>
    <w:rsid w:val="00EF1946"/>
    <w:rsid w:val="00EF1A95"/>
    <w:rsid w:val="00EF214E"/>
    <w:rsid w:val="00EF2D23"/>
    <w:rsid w:val="00EF2E8C"/>
    <w:rsid w:val="00EF2F59"/>
    <w:rsid w:val="00EF418E"/>
    <w:rsid w:val="00EF444D"/>
    <w:rsid w:val="00EF5E71"/>
    <w:rsid w:val="00EF6D0A"/>
    <w:rsid w:val="00EF7010"/>
    <w:rsid w:val="00F00489"/>
    <w:rsid w:val="00F00621"/>
    <w:rsid w:val="00F006E1"/>
    <w:rsid w:val="00F008CB"/>
    <w:rsid w:val="00F01E9F"/>
    <w:rsid w:val="00F02AF9"/>
    <w:rsid w:val="00F03893"/>
    <w:rsid w:val="00F04C99"/>
    <w:rsid w:val="00F06BE8"/>
    <w:rsid w:val="00F07B36"/>
    <w:rsid w:val="00F102DF"/>
    <w:rsid w:val="00F10346"/>
    <w:rsid w:val="00F1122F"/>
    <w:rsid w:val="00F12023"/>
    <w:rsid w:val="00F12762"/>
    <w:rsid w:val="00F16E10"/>
    <w:rsid w:val="00F17E26"/>
    <w:rsid w:val="00F17F94"/>
    <w:rsid w:val="00F21393"/>
    <w:rsid w:val="00F21DA3"/>
    <w:rsid w:val="00F22955"/>
    <w:rsid w:val="00F23A6D"/>
    <w:rsid w:val="00F23D58"/>
    <w:rsid w:val="00F23E70"/>
    <w:rsid w:val="00F24334"/>
    <w:rsid w:val="00F24EF9"/>
    <w:rsid w:val="00F259F4"/>
    <w:rsid w:val="00F25CE1"/>
    <w:rsid w:val="00F26753"/>
    <w:rsid w:val="00F26EB5"/>
    <w:rsid w:val="00F27B3E"/>
    <w:rsid w:val="00F31088"/>
    <w:rsid w:val="00F31239"/>
    <w:rsid w:val="00F3167E"/>
    <w:rsid w:val="00F31C4B"/>
    <w:rsid w:val="00F32435"/>
    <w:rsid w:val="00F324F1"/>
    <w:rsid w:val="00F33EC7"/>
    <w:rsid w:val="00F34376"/>
    <w:rsid w:val="00F3654F"/>
    <w:rsid w:val="00F36C59"/>
    <w:rsid w:val="00F37F1F"/>
    <w:rsid w:val="00F402E7"/>
    <w:rsid w:val="00F40879"/>
    <w:rsid w:val="00F44D76"/>
    <w:rsid w:val="00F453C8"/>
    <w:rsid w:val="00F468E8"/>
    <w:rsid w:val="00F477C7"/>
    <w:rsid w:val="00F50C12"/>
    <w:rsid w:val="00F51878"/>
    <w:rsid w:val="00F51892"/>
    <w:rsid w:val="00F52133"/>
    <w:rsid w:val="00F53957"/>
    <w:rsid w:val="00F5629B"/>
    <w:rsid w:val="00F5791A"/>
    <w:rsid w:val="00F620C6"/>
    <w:rsid w:val="00F62293"/>
    <w:rsid w:val="00F6346D"/>
    <w:rsid w:val="00F63CC4"/>
    <w:rsid w:val="00F6489D"/>
    <w:rsid w:val="00F64FAC"/>
    <w:rsid w:val="00F650C0"/>
    <w:rsid w:val="00F66AF3"/>
    <w:rsid w:val="00F71086"/>
    <w:rsid w:val="00F7606E"/>
    <w:rsid w:val="00F7644D"/>
    <w:rsid w:val="00F76AE2"/>
    <w:rsid w:val="00F77B0B"/>
    <w:rsid w:val="00F8009D"/>
    <w:rsid w:val="00F804CB"/>
    <w:rsid w:val="00F83275"/>
    <w:rsid w:val="00F836A1"/>
    <w:rsid w:val="00F83EBC"/>
    <w:rsid w:val="00F84EE0"/>
    <w:rsid w:val="00F8507D"/>
    <w:rsid w:val="00F85AEB"/>
    <w:rsid w:val="00F86635"/>
    <w:rsid w:val="00F86939"/>
    <w:rsid w:val="00F90251"/>
    <w:rsid w:val="00F90267"/>
    <w:rsid w:val="00F91F6B"/>
    <w:rsid w:val="00F92DE7"/>
    <w:rsid w:val="00F95C35"/>
    <w:rsid w:val="00F95E00"/>
    <w:rsid w:val="00F95EFB"/>
    <w:rsid w:val="00F964A5"/>
    <w:rsid w:val="00F9784B"/>
    <w:rsid w:val="00FA0A64"/>
    <w:rsid w:val="00FA1345"/>
    <w:rsid w:val="00FA15DD"/>
    <w:rsid w:val="00FA2298"/>
    <w:rsid w:val="00FA2D64"/>
    <w:rsid w:val="00FA59F7"/>
    <w:rsid w:val="00FA77B3"/>
    <w:rsid w:val="00FA7B20"/>
    <w:rsid w:val="00FB08F7"/>
    <w:rsid w:val="00FB0945"/>
    <w:rsid w:val="00FB1CAD"/>
    <w:rsid w:val="00FB26F1"/>
    <w:rsid w:val="00FB3385"/>
    <w:rsid w:val="00FB33A8"/>
    <w:rsid w:val="00FB4669"/>
    <w:rsid w:val="00FB4A84"/>
    <w:rsid w:val="00FB4E71"/>
    <w:rsid w:val="00FB5F30"/>
    <w:rsid w:val="00FB65E4"/>
    <w:rsid w:val="00FB79E6"/>
    <w:rsid w:val="00FC005C"/>
    <w:rsid w:val="00FC044B"/>
    <w:rsid w:val="00FC1078"/>
    <w:rsid w:val="00FC135D"/>
    <w:rsid w:val="00FC158E"/>
    <w:rsid w:val="00FC20B6"/>
    <w:rsid w:val="00FC35B5"/>
    <w:rsid w:val="00FC3E93"/>
    <w:rsid w:val="00FC4366"/>
    <w:rsid w:val="00FC65FC"/>
    <w:rsid w:val="00FD1CF3"/>
    <w:rsid w:val="00FD2C4C"/>
    <w:rsid w:val="00FE2382"/>
    <w:rsid w:val="00FE3257"/>
    <w:rsid w:val="00FE6BAE"/>
    <w:rsid w:val="00FE6F5A"/>
    <w:rsid w:val="00FE70B4"/>
    <w:rsid w:val="00FE7AD7"/>
    <w:rsid w:val="00FF1545"/>
    <w:rsid w:val="00FF20BF"/>
    <w:rsid w:val="00FF23F2"/>
    <w:rsid w:val="00FF27F8"/>
    <w:rsid w:val="00FF41AF"/>
    <w:rsid w:val="00FF4E55"/>
    <w:rsid w:val="00FF501D"/>
    <w:rsid w:val="00FF5105"/>
    <w:rsid w:val="00FF63F0"/>
    <w:rsid w:val="016718FC"/>
    <w:rsid w:val="0169D02F"/>
    <w:rsid w:val="01DFA432"/>
    <w:rsid w:val="025E53C3"/>
    <w:rsid w:val="0365721F"/>
    <w:rsid w:val="0375356D"/>
    <w:rsid w:val="03C5938A"/>
    <w:rsid w:val="050151BA"/>
    <w:rsid w:val="06C87733"/>
    <w:rsid w:val="09511AC1"/>
    <w:rsid w:val="096C5B14"/>
    <w:rsid w:val="09B9A45B"/>
    <w:rsid w:val="0BA629D1"/>
    <w:rsid w:val="0CAAF624"/>
    <w:rsid w:val="0DC708C2"/>
    <w:rsid w:val="0E8933DD"/>
    <w:rsid w:val="0F3B0C45"/>
    <w:rsid w:val="114299D5"/>
    <w:rsid w:val="11530DC2"/>
    <w:rsid w:val="123F256E"/>
    <w:rsid w:val="125F93B4"/>
    <w:rsid w:val="12F172D6"/>
    <w:rsid w:val="1356E783"/>
    <w:rsid w:val="1428E4D9"/>
    <w:rsid w:val="14313A3E"/>
    <w:rsid w:val="14569EB3"/>
    <w:rsid w:val="15680B33"/>
    <w:rsid w:val="157305F3"/>
    <w:rsid w:val="15E1B11A"/>
    <w:rsid w:val="19E4A580"/>
    <w:rsid w:val="1A0BA066"/>
    <w:rsid w:val="1AA384DB"/>
    <w:rsid w:val="1AAE85D3"/>
    <w:rsid w:val="1BD2DEA7"/>
    <w:rsid w:val="1D4B6CDC"/>
    <w:rsid w:val="1E381AAD"/>
    <w:rsid w:val="1EAC6E83"/>
    <w:rsid w:val="1F8DD49A"/>
    <w:rsid w:val="1FC01AD8"/>
    <w:rsid w:val="200DB635"/>
    <w:rsid w:val="2108330E"/>
    <w:rsid w:val="21A9B6B1"/>
    <w:rsid w:val="2243C77A"/>
    <w:rsid w:val="22542841"/>
    <w:rsid w:val="2301D940"/>
    <w:rsid w:val="233C2B9E"/>
    <w:rsid w:val="2397BEBD"/>
    <w:rsid w:val="244DD133"/>
    <w:rsid w:val="2466F050"/>
    <w:rsid w:val="24AFFB9B"/>
    <w:rsid w:val="250ABE58"/>
    <w:rsid w:val="25684EC6"/>
    <w:rsid w:val="274E934C"/>
    <w:rsid w:val="28072F65"/>
    <w:rsid w:val="29D285E8"/>
    <w:rsid w:val="2BABF59C"/>
    <w:rsid w:val="2D3156E8"/>
    <w:rsid w:val="2D4204CC"/>
    <w:rsid w:val="2DC77AF0"/>
    <w:rsid w:val="2E0469B9"/>
    <w:rsid w:val="2E120F15"/>
    <w:rsid w:val="2E68B0E3"/>
    <w:rsid w:val="2F76E1D1"/>
    <w:rsid w:val="308CD746"/>
    <w:rsid w:val="30AE9256"/>
    <w:rsid w:val="324AA6B5"/>
    <w:rsid w:val="33A1B354"/>
    <w:rsid w:val="340F2D96"/>
    <w:rsid w:val="3522127E"/>
    <w:rsid w:val="3588C912"/>
    <w:rsid w:val="364B9E0F"/>
    <w:rsid w:val="383145B5"/>
    <w:rsid w:val="38380C80"/>
    <w:rsid w:val="3897C375"/>
    <w:rsid w:val="38CAA340"/>
    <w:rsid w:val="391D2788"/>
    <w:rsid w:val="39D976C4"/>
    <w:rsid w:val="3A2E70BC"/>
    <w:rsid w:val="3AA55608"/>
    <w:rsid w:val="3BE0A5C8"/>
    <w:rsid w:val="3C542079"/>
    <w:rsid w:val="3CE75400"/>
    <w:rsid w:val="3E21C140"/>
    <w:rsid w:val="3E7E4FEC"/>
    <w:rsid w:val="3EE6ABF3"/>
    <w:rsid w:val="3F5809B6"/>
    <w:rsid w:val="3F8F1291"/>
    <w:rsid w:val="4063DED5"/>
    <w:rsid w:val="40BB9740"/>
    <w:rsid w:val="40EA8D30"/>
    <w:rsid w:val="41765E44"/>
    <w:rsid w:val="41C5709C"/>
    <w:rsid w:val="428364F1"/>
    <w:rsid w:val="4343410E"/>
    <w:rsid w:val="43C99BC4"/>
    <w:rsid w:val="43EDA797"/>
    <w:rsid w:val="44050278"/>
    <w:rsid w:val="4431AED6"/>
    <w:rsid w:val="44D86C05"/>
    <w:rsid w:val="45D17361"/>
    <w:rsid w:val="45E2414E"/>
    <w:rsid w:val="45FA42FD"/>
    <w:rsid w:val="46AAB0CE"/>
    <w:rsid w:val="46C270AD"/>
    <w:rsid w:val="47ED3AC1"/>
    <w:rsid w:val="499CAB02"/>
    <w:rsid w:val="4AC608FF"/>
    <w:rsid w:val="4B103128"/>
    <w:rsid w:val="4C3BEA4C"/>
    <w:rsid w:val="4E4C99DB"/>
    <w:rsid w:val="4E88A4F5"/>
    <w:rsid w:val="501A7295"/>
    <w:rsid w:val="505DABF8"/>
    <w:rsid w:val="50610BCD"/>
    <w:rsid w:val="5189E295"/>
    <w:rsid w:val="526AFAC6"/>
    <w:rsid w:val="53EAD526"/>
    <w:rsid w:val="5450E094"/>
    <w:rsid w:val="5567CC02"/>
    <w:rsid w:val="55766D1B"/>
    <w:rsid w:val="558CE0C8"/>
    <w:rsid w:val="5755BACA"/>
    <w:rsid w:val="57D038DA"/>
    <w:rsid w:val="598A9EAF"/>
    <w:rsid w:val="59E5F9FF"/>
    <w:rsid w:val="5B0BAF13"/>
    <w:rsid w:val="5BEE4637"/>
    <w:rsid w:val="5C0A089E"/>
    <w:rsid w:val="5C855F5F"/>
    <w:rsid w:val="5D830F9E"/>
    <w:rsid w:val="5EBB1B5F"/>
    <w:rsid w:val="6134E64B"/>
    <w:rsid w:val="61F51BC5"/>
    <w:rsid w:val="62AEE9FD"/>
    <w:rsid w:val="63250748"/>
    <w:rsid w:val="6713373D"/>
    <w:rsid w:val="67459AE1"/>
    <w:rsid w:val="6908FAAB"/>
    <w:rsid w:val="6970B8B4"/>
    <w:rsid w:val="69998544"/>
    <w:rsid w:val="69DC2157"/>
    <w:rsid w:val="6BED8F33"/>
    <w:rsid w:val="6C71DC9E"/>
    <w:rsid w:val="6CE5713B"/>
    <w:rsid w:val="6E214E62"/>
    <w:rsid w:val="6F6A5DC6"/>
    <w:rsid w:val="6FA08D09"/>
    <w:rsid w:val="6FFCC5FF"/>
    <w:rsid w:val="7095E94E"/>
    <w:rsid w:val="7177F0CD"/>
    <w:rsid w:val="71D4299D"/>
    <w:rsid w:val="72403145"/>
    <w:rsid w:val="724C10F6"/>
    <w:rsid w:val="726F81F5"/>
    <w:rsid w:val="72F00FD3"/>
    <w:rsid w:val="730B98B5"/>
    <w:rsid w:val="7465F50A"/>
    <w:rsid w:val="7568D678"/>
    <w:rsid w:val="76178EB2"/>
    <w:rsid w:val="76A6B370"/>
    <w:rsid w:val="76E54A7B"/>
    <w:rsid w:val="775828A7"/>
    <w:rsid w:val="78096D3D"/>
    <w:rsid w:val="780B66D3"/>
    <w:rsid w:val="78E113D5"/>
    <w:rsid w:val="791B8D8F"/>
    <w:rsid w:val="79B9995E"/>
    <w:rsid w:val="79E60F8F"/>
    <w:rsid w:val="7CC63AEC"/>
    <w:rsid w:val="7D6B92EC"/>
    <w:rsid w:val="7D8A12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BA6A7"/>
  <w15:chartTrackingRefBased/>
  <w15:docId w15:val="{A0DCC863-5856-48E4-8DA0-7D454A00E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C5"/>
    <w:pPr>
      <w:spacing w:line="259" w:lineRule="auto"/>
    </w:pPr>
    <w:rPr>
      <w:szCs w:val="22"/>
    </w:rPr>
  </w:style>
  <w:style w:type="paragraph" w:styleId="Heading1">
    <w:name w:val="heading 1"/>
    <w:basedOn w:val="Normal"/>
    <w:next w:val="Normal"/>
    <w:link w:val="Heading1Char"/>
    <w:uiPriority w:val="9"/>
    <w:qFormat/>
    <w:rsid w:val="00F468E8"/>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6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0AFF"/>
    <w:pPr>
      <w:keepNext/>
      <w:keepLines/>
      <w:spacing w:before="24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2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autoRedefine/>
    <w:uiPriority w:val="9"/>
    <w:unhideWhenUsed/>
    <w:qFormat/>
    <w:rsid w:val="006B0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D6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6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0A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24F1"/>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rsid w:val="006B00E4"/>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rsid w:val="00ED6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98D"/>
    <w:rPr>
      <w:rFonts w:eastAsiaTheme="majorEastAsia" w:cstheme="majorBidi"/>
      <w:color w:val="272727" w:themeColor="text1" w:themeTint="D8"/>
    </w:rPr>
  </w:style>
  <w:style w:type="paragraph" w:styleId="Title">
    <w:name w:val="Title"/>
    <w:basedOn w:val="Normal"/>
    <w:next w:val="Normal"/>
    <w:link w:val="TitleChar"/>
    <w:uiPriority w:val="10"/>
    <w:qFormat/>
    <w:rsid w:val="00ED6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98D"/>
    <w:pPr>
      <w:spacing w:before="160"/>
      <w:jc w:val="center"/>
    </w:pPr>
    <w:rPr>
      <w:i/>
      <w:iCs/>
      <w:color w:val="404040" w:themeColor="text1" w:themeTint="BF"/>
    </w:rPr>
  </w:style>
  <w:style w:type="character" w:customStyle="1" w:styleId="QuoteChar">
    <w:name w:val="Quote Char"/>
    <w:basedOn w:val="DefaultParagraphFont"/>
    <w:link w:val="Quote"/>
    <w:uiPriority w:val="29"/>
    <w:rsid w:val="00ED698D"/>
    <w:rPr>
      <w:i/>
      <w:iCs/>
      <w:color w:val="404040" w:themeColor="text1" w:themeTint="BF"/>
    </w:rPr>
  </w:style>
  <w:style w:type="paragraph" w:styleId="ListParagraph">
    <w:name w:val="List Paragraph"/>
    <w:basedOn w:val="Normal"/>
    <w:uiPriority w:val="34"/>
    <w:qFormat/>
    <w:rsid w:val="00ED698D"/>
    <w:pPr>
      <w:ind w:left="720"/>
      <w:contextualSpacing/>
    </w:pPr>
  </w:style>
  <w:style w:type="character" w:styleId="IntenseEmphasis">
    <w:name w:val="Intense Emphasis"/>
    <w:basedOn w:val="DefaultParagraphFont"/>
    <w:uiPriority w:val="21"/>
    <w:qFormat/>
    <w:rsid w:val="00ED698D"/>
    <w:rPr>
      <w:i/>
      <w:iCs/>
      <w:color w:val="0F4761" w:themeColor="accent1" w:themeShade="BF"/>
    </w:rPr>
  </w:style>
  <w:style w:type="paragraph" w:styleId="IntenseQuote">
    <w:name w:val="Intense Quote"/>
    <w:basedOn w:val="Normal"/>
    <w:next w:val="Normal"/>
    <w:link w:val="IntenseQuoteChar"/>
    <w:uiPriority w:val="30"/>
    <w:qFormat/>
    <w:rsid w:val="00ED6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98D"/>
    <w:rPr>
      <w:i/>
      <w:iCs/>
      <w:color w:val="0F4761" w:themeColor="accent1" w:themeShade="BF"/>
    </w:rPr>
  </w:style>
  <w:style w:type="character" w:styleId="IntenseReference">
    <w:name w:val="Intense Reference"/>
    <w:basedOn w:val="DefaultParagraphFont"/>
    <w:uiPriority w:val="32"/>
    <w:qFormat/>
    <w:rsid w:val="00ED698D"/>
    <w:rPr>
      <w:b/>
      <w:bCs/>
      <w:smallCaps/>
      <w:color w:val="0F4761" w:themeColor="accent1" w:themeShade="BF"/>
      <w:spacing w:val="5"/>
    </w:rPr>
  </w:style>
  <w:style w:type="table" w:styleId="TableGrid">
    <w:name w:val="Table Grid"/>
    <w:basedOn w:val="TableNormal"/>
    <w:uiPriority w:val="39"/>
    <w:rsid w:val="00ED698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D69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98D"/>
    <w:rPr>
      <w:sz w:val="20"/>
      <w:szCs w:val="20"/>
    </w:rPr>
  </w:style>
  <w:style w:type="character" w:styleId="FootnoteReference">
    <w:name w:val="footnote reference"/>
    <w:basedOn w:val="DefaultParagraphFont"/>
    <w:uiPriority w:val="99"/>
    <w:semiHidden/>
    <w:unhideWhenUsed/>
    <w:rsid w:val="00ED698D"/>
    <w:rPr>
      <w:vertAlign w:val="superscript"/>
    </w:rPr>
  </w:style>
  <w:style w:type="paragraph" w:styleId="Header">
    <w:name w:val="header"/>
    <w:basedOn w:val="Normal"/>
    <w:link w:val="HeaderChar"/>
    <w:uiPriority w:val="99"/>
    <w:unhideWhenUsed/>
    <w:rsid w:val="00ED6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98D"/>
    <w:rPr>
      <w:sz w:val="22"/>
      <w:szCs w:val="22"/>
    </w:rPr>
  </w:style>
  <w:style w:type="paragraph" w:styleId="Footer">
    <w:name w:val="footer"/>
    <w:basedOn w:val="Normal"/>
    <w:link w:val="FooterChar"/>
    <w:uiPriority w:val="99"/>
    <w:unhideWhenUsed/>
    <w:rsid w:val="00ED6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98D"/>
    <w:rPr>
      <w:sz w:val="22"/>
      <w:szCs w:val="22"/>
    </w:rPr>
  </w:style>
  <w:style w:type="character" w:styleId="CommentReference">
    <w:name w:val="annotation reference"/>
    <w:basedOn w:val="DefaultParagraphFont"/>
    <w:uiPriority w:val="99"/>
    <w:semiHidden/>
    <w:unhideWhenUsed/>
    <w:rsid w:val="00ED698D"/>
    <w:rPr>
      <w:sz w:val="16"/>
      <w:szCs w:val="16"/>
    </w:rPr>
  </w:style>
  <w:style w:type="paragraph" w:styleId="CommentText">
    <w:name w:val="annotation text"/>
    <w:basedOn w:val="Normal"/>
    <w:link w:val="CommentTextChar"/>
    <w:uiPriority w:val="99"/>
    <w:unhideWhenUsed/>
    <w:rsid w:val="00ED698D"/>
    <w:pPr>
      <w:spacing w:line="240" w:lineRule="auto"/>
    </w:pPr>
    <w:rPr>
      <w:sz w:val="20"/>
      <w:szCs w:val="20"/>
    </w:rPr>
  </w:style>
  <w:style w:type="character" w:customStyle="1" w:styleId="CommentTextChar">
    <w:name w:val="Comment Text Char"/>
    <w:basedOn w:val="DefaultParagraphFont"/>
    <w:link w:val="CommentText"/>
    <w:uiPriority w:val="99"/>
    <w:rsid w:val="00ED698D"/>
    <w:rPr>
      <w:sz w:val="20"/>
      <w:szCs w:val="20"/>
    </w:rPr>
  </w:style>
  <w:style w:type="paragraph" w:styleId="CommentSubject">
    <w:name w:val="annotation subject"/>
    <w:basedOn w:val="CommentText"/>
    <w:next w:val="CommentText"/>
    <w:link w:val="CommentSubjectChar"/>
    <w:uiPriority w:val="99"/>
    <w:semiHidden/>
    <w:unhideWhenUsed/>
    <w:rsid w:val="00ED698D"/>
    <w:rPr>
      <w:b/>
      <w:bCs/>
    </w:rPr>
  </w:style>
  <w:style w:type="character" w:customStyle="1" w:styleId="CommentSubjectChar">
    <w:name w:val="Comment Subject Char"/>
    <w:basedOn w:val="CommentTextChar"/>
    <w:link w:val="CommentSubject"/>
    <w:uiPriority w:val="99"/>
    <w:semiHidden/>
    <w:rsid w:val="00ED698D"/>
    <w:rPr>
      <w:b/>
      <w:bCs/>
      <w:sz w:val="20"/>
      <w:szCs w:val="20"/>
    </w:rPr>
  </w:style>
  <w:style w:type="table" w:styleId="TableGridLight">
    <w:name w:val="Grid Table Light"/>
    <w:basedOn w:val="TableNormal"/>
    <w:uiPriority w:val="40"/>
    <w:rsid w:val="00ED698D"/>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ED698D"/>
    <w:rPr>
      <w:color w:val="2B579A"/>
      <w:shd w:val="clear" w:color="auto" w:fill="E1DFDD"/>
    </w:rPr>
  </w:style>
  <w:style w:type="paragraph" w:styleId="Revision">
    <w:name w:val="Revision"/>
    <w:hidden/>
    <w:uiPriority w:val="99"/>
    <w:semiHidden/>
    <w:rsid w:val="00ED698D"/>
    <w:pPr>
      <w:spacing w:after="0" w:line="240" w:lineRule="auto"/>
    </w:pPr>
    <w:rPr>
      <w:sz w:val="22"/>
      <w:szCs w:val="22"/>
    </w:rPr>
  </w:style>
  <w:style w:type="character" w:styleId="Hyperlink">
    <w:name w:val="Hyperlink"/>
    <w:basedOn w:val="DefaultParagraphFont"/>
    <w:uiPriority w:val="99"/>
    <w:unhideWhenUsed/>
    <w:rsid w:val="00ED698D"/>
    <w:rPr>
      <w:color w:val="467886" w:themeColor="hyperlink"/>
      <w:u w:val="single"/>
    </w:rPr>
  </w:style>
  <w:style w:type="character" w:styleId="UnresolvedMention">
    <w:name w:val="Unresolved Mention"/>
    <w:basedOn w:val="DefaultParagraphFont"/>
    <w:uiPriority w:val="99"/>
    <w:semiHidden/>
    <w:unhideWhenUsed/>
    <w:rsid w:val="00ED698D"/>
    <w:rPr>
      <w:color w:val="605E5C"/>
      <w:shd w:val="clear" w:color="auto" w:fill="E1DFDD"/>
    </w:rPr>
  </w:style>
  <w:style w:type="character" w:styleId="FollowedHyperlink">
    <w:name w:val="FollowedHyperlink"/>
    <w:basedOn w:val="DefaultParagraphFont"/>
    <w:uiPriority w:val="99"/>
    <w:semiHidden/>
    <w:unhideWhenUsed/>
    <w:rsid w:val="00ED698D"/>
    <w:rPr>
      <w:color w:val="96607D" w:themeColor="followedHyperlink"/>
      <w:u w:val="single"/>
    </w:rPr>
  </w:style>
  <w:style w:type="character" w:styleId="PlaceholderText">
    <w:name w:val="Placeholder Text"/>
    <w:basedOn w:val="DefaultParagraphFont"/>
    <w:uiPriority w:val="99"/>
    <w:semiHidden/>
    <w:rsid w:val="00ED698D"/>
    <w:rPr>
      <w:color w:val="666666"/>
    </w:rPr>
  </w:style>
  <w:style w:type="paragraph" w:styleId="TOCHeading">
    <w:name w:val="TOC Heading"/>
    <w:basedOn w:val="Heading1"/>
    <w:next w:val="Normal"/>
    <w:uiPriority w:val="39"/>
    <w:unhideWhenUsed/>
    <w:qFormat/>
    <w:rsid w:val="00ED698D"/>
    <w:pPr>
      <w:spacing w:after="0" w:line="240" w:lineRule="auto"/>
      <w:outlineLvl w:val="9"/>
    </w:pPr>
    <w:rPr>
      <w:b/>
      <w:kern w:val="0"/>
      <w:sz w:val="32"/>
      <w:szCs w:val="52"/>
      <w14:ligatures w14:val="none"/>
    </w:rPr>
  </w:style>
  <w:style w:type="paragraph" w:styleId="TOC1">
    <w:name w:val="toc 1"/>
    <w:basedOn w:val="Normal"/>
    <w:next w:val="Normal"/>
    <w:autoRedefine/>
    <w:uiPriority w:val="39"/>
    <w:unhideWhenUsed/>
    <w:rsid w:val="00ED698D"/>
    <w:pPr>
      <w:spacing w:after="100"/>
    </w:pPr>
  </w:style>
  <w:style w:type="paragraph" w:styleId="TOC2">
    <w:name w:val="toc 2"/>
    <w:basedOn w:val="Normal"/>
    <w:next w:val="Normal"/>
    <w:link w:val="TOC2Char"/>
    <w:autoRedefine/>
    <w:uiPriority w:val="39"/>
    <w:unhideWhenUsed/>
    <w:rsid w:val="00ED698D"/>
    <w:pPr>
      <w:tabs>
        <w:tab w:val="right" w:leader="dot" w:pos="9350"/>
      </w:tabs>
      <w:spacing w:after="100"/>
      <w:ind w:left="216"/>
    </w:pPr>
    <w:rPr>
      <w:bCs/>
      <w:noProof/>
    </w:rPr>
  </w:style>
  <w:style w:type="paragraph" w:styleId="TOC3">
    <w:name w:val="toc 3"/>
    <w:basedOn w:val="Normal"/>
    <w:next w:val="Normal"/>
    <w:autoRedefine/>
    <w:uiPriority w:val="39"/>
    <w:unhideWhenUsed/>
    <w:rsid w:val="00ED698D"/>
    <w:pPr>
      <w:spacing w:after="100"/>
      <w:ind w:left="440"/>
    </w:pPr>
  </w:style>
  <w:style w:type="table" w:styleId="PlainTable1">
    <w:name w:val="Plain Table 1"/>
    <w:basedOn w:val="TableNormal"/>
    <w:uiPriority w:val="41"/>
    <w:rsid w:val="00ED698D"/>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ED698D"/>
    <w:pPr>
      <w:spacing w:after="0" w:line="240" w:lineRule="auto"/>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rsid w:val="00ED698D"/>
    <w:pPr>
      <w:spacing w:after="0" w:line="240" w:lineRule="auto"/>
    </w:pPr>
    <w:rPr>
      <w:sz w:val="22"/>
      <w:szCs w:val="22"/>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customStyle="1" w:styleId="DivisionName">
    <w:name w:val="Division Name"/>
    <w:uiPriority w:val="3"/>
    <w:qFormat/>
    <w:rsid w:val="00ED698D"/>
    <w:pPr>
      <w:spacing w:after="120" w:line="240" w:lineRule="auto"/>
    </w:pPr>
    <w:rPr>
      <w:rFonts w:ascii="Arial" w:eastAsia="Calibri" w:hAnsi="Arial" w:cs="Arial"/>
      <w:b/>
      <w:color w:val="004982"/>
      <w:kern w:val="0"/>
      <w:sz w:val="28"/>
      <w:szCs w:val="26"/>
      <w14:ligatures w14:val="none"/>
    </w:rPr>
  </w:style>
  <w:style w:type="paragraph" w:customStyle="1" w:styleId="ProgramName">
    <w:name w:val="Program Name"/>
    <w:uiPriority w:val="3"/>
    <w:qFormat/>
    <w:rsid w:val="00ED698D"/>
    <w:pPr>
      <w:pBdr>
        <w:top w:val="single" w:sz="18" w:space="4" w:color="004982"/>
        <w:left w:val="single" w:sz="24" w:space="8" w:color="004982"/>
        <w:bottom w:val="single" w:sz="18" w:space="4" w:color="004982"/>
        <w:right w:val="single" w:sz="24" w:space="8" w:color="004982"/>
      </w:pBdr>
      <w:shd w:val="solid" w:color="004982" w:fill="auto"/>
      <w:spacing w:after="0" w:line="240" w:lineRule="auto"/>
    </w:pPr>
    <w:rPr>
      <w:rFonts w:ascii="Arial" w:eastAsia="Calibri" w:hAnsi="Arial" w:cs="Arial"/>
      <w:color w:val="FFFFFF" w:themeColor="background1"/>
      <w:kern w:val="0"/>
      <w:szCs w:val="26"/>
      <w14:ligatures w14:val="none"/>
    </w:rPr>
  </w:style>
  <w:style w:type="paragraph" w:styleId="TOC9">
    <w:name w:val="toc 9"/>
    <w:basedOn w:val="Normal"/>
    <w:next w:val="Normal"/>
    <w:autoRedefine/>
    <w:uiPriority w:val="39"/>
    <w:semiHidden/>
    <w:unhideWhenUsed/>
    <w:rsid w:val="00ED698D"/>
    <w:pPr>
      <w:spacing w:after="100"/>
      <w:ind w:left="1760"/>
    </w:pPr>
  </w:style>
  <w:style w:type="paragraph" w:customStyle="1" w:styleId="Graphics">
    <w:name w:val="Graphics"/>
    <w:basedOn w:val="Normal"/>
    <w:qFormat/>
    <w:rsid w:val="00ED698D"/>
    <w:pPr>
      <w:spacing w:after="0"/>
    </w:pPr>
    <w:rPr>
      <w:rFonts w:ascii="Franklin Gothic Medium Cond" w:hAnsi="Franklin Gothic Medium Cond"/>
      <w:color w:val="000000" w:themeColor="text1"/>
      <w:kern w:val="0"/>
      <w14:ligatures w14:val="none"/>
    </w:rPr>
  </w:style>
  <w:style w:type="character" w:styleId="Strong">
    <w:name w:val="Strong"/>
    <w:basedOn w:val="DefaultParagraphFont"/>
    <w:uiPriority w:val="9"/>
    <w:rsid w:val="00ED698D"/>
    <w:rPr>
      <w:b/>
      <w:bCs/>
    </w:rPr>
  </w:style>
  <w:style w:type="paragraph" w:customStyle="1" w:styleId="LastPageProgramInfoBox">
    <w:name w:val="LastPage Program InfoBox"/>
    <w:uiPriority w:val="6"/>
    <w:qFormat/>
    <w:rsid w:val="00ED698D"/>
    <w:pPr>
      <w:pBdr>
        <w:top w:val="single" w:sz="48" w:space="12" w:color="004982"/>
        <w:left w:val="single" w:sz="48" w:space="8" w:color="004982"/>
        <w:bottom w:val="single" w:sz="48" w:space="12" w:color="004982"/>
        <w:right w:val="single" w:sz="48" w:space="8" w:color="004982"/>
      </w:pBdr>
      <w:shd w:val="solid" w:color="004982" w:fill="auto"/>
      <w:spacing w:after="0" w:line="240" w:lineRule="auto"/>
      <w:ind w:left="216" w:right="144"/>
    </w:pPr>
    <w:rPr>
      <w:rFonts w:ascii="Arial" w:eastAsia="Calibri" w:hAnsi="Arial" w:cs="Arial"/>
      <w:noProof/>
      <w:color w:val="FFFFFF" w:themeColor="background1"/>
      <w:kern w:val="0"/>
      <w:sz w:val="26"/>
      <w:szCs w:val="26"/>
      <w14:ligatures w14:val="none"/>
    </w:rPr>
  </w:style>
  <w:style w:type="character" w:customStyle="1" w:styleId="Hyperlink-White">
    <w:name w:val="Hyperlink-White"/>
    <w:basedOn w:val="DefaultParagraphFont"/>
    <w:uiPriority w:val="2"/>
    <w:qFormat/>
    <w:rsid w:val="00ED698D"/>
    <w:rPr>
      <w:color w:val="FFFFFF" w:themeColor="background1"/>
      <w:u w:val="single"/>
    </w:rPr>
  </w:style>
  <w:style w:type="paragraph" w:customStyle="1" w:styleId="AltStatement">
    <w:name w:val="AltStatement"/>
    <w:basedOn w:val="Normal"/>
    <w:uiPriority w:val="6"/>
    <w:qFormat/>
    <w:rsid w:val="00ED698D"/>
    <w:pPr>
      <w:pBdr>
        <w:top w:val="single" w:sz="8" w:space="10" w:color="004982"/>
      </w:pBdr>
      <w:spacing w:before="240" w:after="240" w:line="312" w:lineRule="auto"/>
      <w:ind w:left="207" w:right="144"/>
    </w:pPr>
    <w:rPr>
      <w:rFonts w:ascii="Arial" w:eastAsia="Calibri" w:hAnsi="Arial" w:cs="Arial"/>
      <w:kern w:val="0"/>
      <w:sz w:val="26"/>
      <w:szCs w:val="26"/>
      <w14:ligatures w14:val="none"/>
    </w:rPr>
  </w:style>
  <w:style w:type="character" w:customStyle="1" w:styleId="TOC2Char">
    <w:name w:val="TOC 2 Char"/>
    <w:basedOn w:val="DefaultParagraphFont"/>
    <w:link w:val="TOC2"/>
    <w:uiPriority w:val="39"/>
    <w:rsid w:val="00ED698D"/>
    <w:rPr>
      <w:bCs/>
      <w:noProof/>
      <w:sz w:val="22"/>
      <w:szCs w:val="22"/>
    </w:rPr>
  </w:style>
  <w:style w:type="character" w:customStyle="1" w:styleId="cf01">
    <w:name w:val="cf01"/>
    <w:basedOn w:val="DefaultParagraphFont"/>
    <w:rsid w:val="00ED698D"/>
    <w:rPr>
      <w:rFonts w:ascii="Segoe UI" w:hAnsi="Segoe UI" w:cs="Segoe UI" w:hint="default"/>
      <w:sz w:val="18"/>
      <w:szCs w:val="18"/>
    </w:rPr>
  </w:style>
  <w:style w:type="table" w:styleId="PlainTable5">
    <w:name w:val="Plain Table 5"/>
    <w:basedOn w:val="TableNormal"/>
    <w:uiPriority w:val="45"/>
    <w:rsid w:val="00ED698D"/>
    <w:pPr>
      <w:spacing w:after="0" w:line="240" w:lineRule="auto"/>
    </w:pPr>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ED698D"/>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
    <w:name w:val="Grid Table 4"/>
    <w:basedOn w:val="TableNormal"/>
    <w:uiPriority w:val="49"/>
    <w:rsid w:val="00ED698D"/>
    <w:pPr>
      <w:spacing w:after="0" w:line="240" w:lineRule="auto"/>
    </w:pPr>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ED698D"/>
    <w:pPr>
      <w:spacing w:after="0" w:line="240" w:lineRule="auto"/>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ED698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698D"/>
    <w:rPr>
      <w:sz w:val="20"/>
      <w:szCs w:val="20"/>
    </w:rPr>
  </w:style>
  <w:style w:type="character" w:styleId="EndnoteReference">
    <w:name w:val="endnote reference"/>
    <w:basedOn w:val="DefaultParagraphFont"/>
    <w:uiPriority w:val="99"/>
    <w:semiHidden/>
    <w:unhideWhenUsed/>
    <w:rsid w:val="00ED698D"/>
    <w:rPr>
      <w:vertAlign w:val="superscript"/>
    </w:rPr>
  </w:style>
  <w:style w:type="paragraph" w:customStyle="1" w:styleId="BodyTextindent">
    <w:name w:val="Body Text_indent"/>
    <w:basedOn w:val="Normal"/>
    <w:link w:val="BodyTextindentChar"/>
    <w:qFormat/>
    <w:rsid w:val="00ED698D"/>
    <w:pPr>
      <w:spacing w:line="264" w:lineRule="auto"/>
      <w:ind w:left="360" w:right="1440"/>
    </w:pPr>
    <w:rPr>
      <w:rFonts w:ascii="Arial" w:hAnsi="Arial" w:cstheme="majorHAnsi"/>
      <w:color w:val="000000" w:themeColor="text1" w:themeShade="BF"/>
      <w:kern w:val="0"/>
      <w14:ligatures w14:val="none"/>
    </w:rPr>
  </w:style>
  <w:style w:type="character" w:customStyle="1" w:styleId="BodyTextindentChar">
    <w:name w:val="Body Text_indent Char"/>
    <w:basedOn w:val="DefaultParagraphFont"/>
    <w:link w:val="BodyTextindent"/>
    <w:rsid w:val="00ED698D"/>
    <w:rPr>
      <w:rFonts w:ascii="Arial" w:hAnsi="Arial" w:cstheme="majorHAnsi"/>
      <w:color w:val="000000" w:themeColor="text1" w:themeShade="BF"/>
      <w:kern w:val="0"/>
      <w:szCs w:val="22"/>
      <w14:ligatures w14:val="none"/>
    </w:rPr>
  </w:style>
  <w:style w:type="paragraph" w:styleId="NormalWeb">
    <w:name w:val="Normal (Web)"/>
    <w:basedOn w:val="Normal"/>
    <w:uiPriority w:val="99"/>
    <w:unhideWhenUsed/>
    <w:rsid w:val="00ED698D"/>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customStyle="1" w:styleId="GraphicsandFigureTitles">
    <w:name w:val="Graphics and Figure Titles"/>
    <w:basedOn w:val="Normal"/>
    <w:qFormat/>
    <w:rsid w:val="00ED698D"/>
    <w:pPr>
      <w:spacing w:after="80" w:line="240" w:lineRule="auto"/>
    </w:pPr>
    <w:rPr>
      <w:rFonts w:ascii="Arial Narrow" w:hAnsi="Arial Narrow" w:cstheme="majorHAnsi"/>
      <w:color w:val="000000" w:themeColor="text1"/>
      <w:kern w:val="0"/>
      <w14:ligatures w14:val="none"/>
    </w:rPr>
  </w:style>
  <w:style w:type="paragraph" w:customStyle="1" w:styleId="Default">
    <w:name w:val="Default"/>
    <w:rsid w:val="00ED698D"/>
    <w:pPr>
      <w:autoSpaceDE w:val="0"/>
      <w:autoSpaceDN w:val="0"/>
      <w:adjustRightInd w:val="0"/>
      <w:spacing w:after="0" w:line="240" w:lineRule="auto"/>
    </w:pPr>
    <w:rPr>
      <w:rFonts w:ascii="Franklin Gothic Medium Cond" w:hAnsi="Franklin Gothic Medium Cond" w:cs="Franklin Gothic Medium Cond"/>
      <w:color w:val="000000"/>
      <w:kern w:val="0"/>
      <w14:ligatures w14:val="none"/>
    </w:rPr>
  </w:style>
  <w:style w:type="character" w:customStyle="1" w:styleId="ui-provider">
    <w:name w:val="ui-provider"/>
    <w:basedOn w:val="DefaultParagraphFont"/>
    <w:rsid w:val="00ED698D"/>
  </w:style>
  <w:style w:type="table" w:customStyle="1" w:styleId="HPAGridTable">
    <w:name w:val="HPA Grid Table"/>
    <w:basedOn w:val="TableNormal"/>
    <w:uiPriority w:val="99"/>
    <w:rsid w:val="00ED698D"/>
    <w:pPr>
      <w:spacing w:after="0" w:line="240" w:lineRule="auto"/>
    </w:pPr>
    <w:rPr>
      <w:rFonts w:ascii="Arial Narrow" w:hAnsi="Arial Narrow" w:cstheme="majorHAnsi"/>
      <w:color w:val="000000" w:themeColor="text1"/>
      <w:kern w:val="0"/>
      <w:szCs w:val="22"/>
      <w14:ligatures w14:val="none"/>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vAlign w:val="center"/>
    </w:tcPr>
    <w:tblStylePr w:type="firstRow">
      <w:rPr>
        <w:rFonts w:ascii="Benton Sans Book" w:hAnsi="Benton Sans Book"/>
        <w:b/>
        <w:color w:val="FFFFFF" w:themeColor="background1"/>
      </w:rPr>
      <w:tblPr/>
      <w:tcPr>
        <w:shd w:val="clear" w:color="auto" w:fill="156082" w:themeFill="accent1"/>
      </w:tcPr>
    </w:tblStylePr>
    <w:tblStylePr w:type="firstCol">
      <w:pPr>
        <w:jc w:val="left"/>
      </w:pPr>
    </w:tblStylePr>
  </w:style>
  <w:style w:type="paragraph" w:styleId="NoSpacing">
    <w:name w:val="No Spacing"/>
    <w:link w:val="NoSpacingChar"/>
    <w:uiPriority w:val="1"/>
    <w:qFormat/>
    <w:rsid w:val="00ED698D"/>
    <w:pPr>
      <w:spacing w:after="0" w:line="240" w:lineRule="auto"/>
    </w:pPr>
    <w:rPr>
      <w:rFonts w:ascii="Arial" w:hAnsi="Arial" w:cstheme="majorHAnsi"/>
      <w:color w:val="000000" w:themeColor="text1" w:themeShade="BF"/>
      <w:kern w:val="0"/>
      <w:szCs w:val="22"/>
      <w14:ligatures w14:val="none"/>
    </w:rPr>
  </w:style>
  <w:style w:type="character" w:customStyle="1" w:styleId="NoSpacingChar">
    <w:name w:val="No Spacing Char"/>
    <w:basedOn w:val="DefaultParagraphFont"/>
    <w:link w:val="NoSpacing"/>
    <w:uiPriority w:val="1"/>
    <w:rsid w:val="00ED698D"/>
    <w:rPr>
      <w:rFonts w:ascii="Arial" w:hAnsi="Arial" w:cstheme="majorHAnsi"/>
      <w:color w:val="000000" w:themeColor="text1" w:themeShade="BF"/>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regon.gov/oha/HPA/ANALYTICS/CCOMetrics/2025%20specs%20SDOH%202024.12.31.pdf" TargetMode="External"/><Relationship Id="rId21" Type="http://schemas.openxmlformats.org/officeDocument/2006/relationships/hyperlink" Target="https://www.oregon.gov/oha/erd/pages/oha-works-to-protect-quality-health-care-across-oregon.aspx" TargetMode="External"/><Relationship Id="rId42" Type="http://schemas.openxmlformats.org/officeDocument/2006/relationships/image" Target="media/image7.png"/><Relationship Id="rId47" Type="http://schemas.openxmlformats.org/officeDocument/2006/relationships/chart" Target="charts/chart11.xml"/><Relationship Id="rId63" Type="http://schemas.openxmlformats.org/officeDocument/2006/relationships/chart" Target="charts/chart21.xml"/><Relationship Id="rId68" Type="http://schemas.openxmlformats.org/officeDocument/2006/relationships/chart" Target="charts/chart24.xml"/><Relationship Id="rId16" Type="http://schemas.openxmlformats.org/officeDocument/2006/relationships/image" Target="media/image3.svg"/><Relationship Id="rId11" Type="http://schemas.openxmlformats.org/officeDocument/2006/relationships/image" Target="media/image1.png"/><Relationship Id="rId32" Type="http://schemas.openxmlformats.org/officeDocument/2006/relationships/chart" Target="charts/chart1.xml"/><Relationship Id="rId37" Type="http://schemas.openxmlformats.org/officeDocument/2006/relationships/hyperlink" Target="https://secure.sos.state.or.us/oard/displayDivisionRules.action?selectedDivision=7797" TargetMode="External"/><Relationship Id="rId53" Type="http://schemas.openxmlformats.org/officeDocument/2006/relationships/chart" Target="charts/chart15.xml"/><Relationship Id="rId58" Type="http://schemas.openxmlformats.org/officeDocument/2006/relationships/chart" Target="charts/chart19.xml"/><Relationship Id="rId74" Type="http://schemas.openxmlformats.org/officeDocument/2006/relationships/hyperlink" Target="https://www.who.int/news-room/fact-sheets/detail/diabetes" TargetMode="External"/><Relationship Id="rId79" Type="http://schemas.openxmlformats.org/officeDocument/2006/relationships/hyperlink" Target="https://www.oregon.gov/oha/HPA/ANALYTICS/Pages/Quality-Metrics.aspx" TargetMode="External"/><Relationship Id="rId5" Type="http://schemas.openxmlformats.org/officeDocument/2006/relationships/numbering" Target="numbering.xml"/><Relationship Id="rId61" Type="http://schemas.openxmlformats.org/officeDocument/2006/relationships/hyperlink" Target="https://www.oregon.gov/oha/HPA/ANALYTICS/Pages/Metrics-Scoring-Committee.aspx" TargetMode="External"/><Relationship Id="rId82" Type="http://schemas.openxmlformats.org/officeDocument/2006/relationships/theme" Target="theme/theme1.xml"/><Relationship Id="rId19" Type="http://schemas.openxmlformats.org/officeDocument/2006/relationships/hyperlink" Target="https://www.oregon.gov/oha/HPA/ANALYTICS/CCOMetrics/CCO-Metrics-2025-Final-Report.docx" TargetMode="External"/><Relationship Id="rId14" Type="http://schemas.openxmlformats.org/officeDocument/2006/relationships/hyperlink" Target="https://www.oregon.gov/oha/hpa/analytics/pages/metrics-reporting.aspx" TargetMode="External"/><Relationship Id="rId22" Type="http://schemas.openxmlformats.org/officeDocument/2006/relationships/hyperlink" Target="https://olis.oregonlegislature.gov/liz/2023R1/Downloads/MeasureDocument/SB966" TargetMode="External"/><Relationship Id="rId27" Type="http://schemas.openxmlformats.org/officeDocument/2006/relationships/hyperlink" Target="https://www.oregon.gov/oha/hpa/dsi-tc/pages/sdoh-metric.aspx" TargetMode="External"/><Relationship Id="rId30" Type="http://schemas.openxmlformats.org/officeDocument/2006/relationships/header" Target="header2.xml"/><Relationship Id="rId35" Type="http://schemas.openxmlformats.org/officeDocument/2006/relationships/image" Target="media/image6.png"/><Relationship Id="rId43" Type="http://schemas.openxmlformats.org/officeDocument/2006/relationships/chart" Target="charts/chart8.xml"/><Relationship Id="rId48" Type="http://schemas.openxmlformats.org/officeDocument/2006/relationships/chart" Target="charts/chart12.xml"/><Relationship Id="rId56" Type="http://schemas.openxmlformats.org/officeDocument/2006/relationships/hyperlink" Target="https://oregon-pip.org/current-projects/health-aspects-of-kindergarten-readiness/" TargetMode="External"/><Relationship Id="rId64" Type="http://schemas.openxmlformats.org/officeDocument/2006/relationships/hyperlink" Target="https://www.oregon.gov/oha/HPA/ANALYTICS/CCOMetrics/2025-Reference-Instructions-(Quality-Pool-Methodology)_final.pdf" TargetMode="External"/><Relationship Id="rId69" Type="http://schemas.openxmlformats.org/officeDocument/2006/relationships/hyperlink" Target="https://www.oregon.gov/oha/HSD/Medicaid-Policy/Documents/2012-2017-Evaluation.pdf" TargetMode="External"/><Relationship Id="rId77" Type="http://schemas.openxmlformats.org/officeDocument/2006/relationships/image" Target="media/image9.png"/><Relationship Id="rId8" Type="http://schemas.openxmlformats.org/officeDocument/2006/relationships/webSettings" Target="webSettings.xml"/><Relationship Id="rId51" Type="http://schemas.openxmlformats.org/officeDocument/2006/relationships/hyperlink" Target="https://www.oregon.gov/oha/hpa/dsi/pages/performance-improvement-project.aspx" TargetMode="External"/><Relationship Id="rId72" Type="http://schemas.openxmlformats.org/officeDocument/2006/relationships/chart" Target="charts/chart25.xml"/><Relationship Id="rId80"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www.oregon.gov/oha/HPA/ANALYTICS/CCOMetrics/2025%20specs%20SDOH%202024.12.31.pdf" TargetMode="External"/><Relationship Id="rId33" Type="http://schemas.openxmlformats.org/officeDocument/2006/relationships/image" Target="media/image5.png"/><Relationship Id="rId38" Type="http://schemas.openxmlformats.org/officeDocument/2006/relationships/chart" Target="charts/chart4.xml"/><Relationship Id="rId46" Type="http://schemas.openxmlformats.org/officeDocument/2006/relationships/chart" Target="charts/chart10.xml"/><Relationship Id="rId59" Type="http://schemas.openxmlformats.org/officeDocument/2006/relationships/chart" Target="charts/chart20.xml"/><Relationship Id="rId67" Type="http://schemas.openxmlformats.org/officeDocument/2006/relationships/chart" Target="charts/chart23.xml"/><Relationship Id="rId20" Type="http://schemas.openxmlformats.org/officeDocument/2006/relationships/header" Target="header1.xml"/><Relationship Id="rId41" Type="http://schemas.openxmlformats.org/officeDocument/2006/relationships/chart" Target="charts/chart7.xml"/><Relationship Id="rId54" Type="http://schemas.openxmlformats.org/officeDocument/2006/relationships/chart" Target="charts/chart16.xml"/><Relationship Id="rId62" Type="http://schemas.openxmlformats.org/officeDocument/2006/relationships/footer" Target="footer3.xml"/><Relationship Id="rId70" Type="http://schemas.openxmlformats.org/officeDocument/2006/relationships/hyperlink" Target="https://www.oregon.gov/oha/HSD/Medicaid-Policy/Pages/Waiver-Renewal.aspx" TargetMode="External"/><Relationship Id="rId75" Type="http://schemas.openxmlformats.org/officeDocument/2006/relationships/hyperlink" Target="https://www.cdc.gov/diabetes/hcp/clinical-guidance/how-to-promote-oral-health-for-people-with-diabetes.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medicaid.gov/medicaid/quality-of-care/performance-measurement/adult-and-child-health-care-quality-measures" TargetMode="External"/><Relationship Id="rId28" Type="http://schemas.openxmlformats.org/officeDocument/2006/relationships/hyperlink" Target="https://www.oregon.gov/oha/hsd/medicaid-policy/pages/hrsn.aspx" TargetMode="External"/><Relationship Id="rId36" Type="http://schemas.openxmlformats.org/officeDocument/2006/relationships/chart" Target="charts/chart3.xml"/><Relationship Id="rId49" Type="http://schemas.openxmlformats.org/officeDocument/2006/relationships/header" Target="header3.xml"/><Relationship Id="rId57" Type="http://schemas.openxmlformats.org/officeDocument/2006/relationships/chart" Target="charts/chart18.xml"/><Relationship Id="rId10" Type="http://schemas.openxmlformats.org/officeDocument/2006/relationships/endnotes" Target="endnotes.xml"/><Relationship Id="rId31" Type="http://schemas.openxmlformats.org/officeDocument/2006/relationships/hyperlink" Target="https://www.oregon.gov/oha/erd/pages/oha-works-to-protect-quality-health-care-across-oregon.aspx" TargetMode="External"/><Relationship Id="rId44" Type="http://schemas.openxmlformats.org/officeDocument/2006/relationships/hyperlink" Target="https://oregon-pip.org/current-projects/health-aspects-of-kindergarten-readiness/" TargetMode="External"/><Relationship Id="rId52" Type="http://schemas.openxmlformats.org/officeDocument/2006/relationships/chart" Target="charts/chart14.xml"/><Relationship Id="rId60" Type="http://schemas.openxmlformats.org/officeDocument/2006/relationships/header" Target="header4.xml"/><Relationship Id="rId65" Type="http://schemas.openxmlformats.org/officeDocument/2006/relationships/chart" Target="charts/chart22.xml"/><Relationship Id="rId73" Type="http://schemas.openxmlformats.org/officeDocument/2006/relationships/chart" Target="charts/chart26.xml"/><Relationship Id="rId78" Type="http://schemas.openxmlformats.org/officeDocument/2006/relationships/hyperlink" Target="mailto:Metrics.Questions@odhsoha.oregon.gov"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metrics.questions@odhsoha.oregon.gov" TargetMode="External"/><Relationship Id="rId39" Type="http://schemas.openxmlformats.org/officeDocument/2006/relationships/chart" Target="charts/chart5.xml"/><Relationship Id="rId34" Type="http://schemas.openxmlformats.org/officeDocument/2006/relationships/chart" Target="charts/chart2.xml"/><Relationship Id="rId50" Type="http://schemas.openxmlformats.org/officeDocument/2006/relationships/chart" Target="charts/chart13.xml"/><Relationship Id="rId55" Type="http://schemas.openxmlformats.org/officeDocument/2006/relationships/chart" Target="charts/chart17.xml"/><Relationship Id="rId76" Type="http://schemas.openxmlformats.org/officeDocument/2006/relationships/hyperlink" Target="mailto:Metrics.Questions@odhsoha.oregon.gov" TargetMode="External"/><Relationship Id="rId7" Type="http://schemas.openxmlformats.org/officeDocument/2006/relationships/settings" Target="settings.xml"/><Relationship Id="rId71"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www.oregon.gov/oha/HPA/ANALYTICS/CCOMetrics/2025%20Health%20Equity%20Meaningful%20Access%202024.12.31.pdf" TargetMode="External"/><Relationship Id="rId24" Type="http://schemas.openxmlformats.org/officeDocument/2006/relationships/hyperlink" Target="https://oregon-pip.org/current-projects/health-aspects-of-kindergarten-readiness/" TargetMode="External"/><Relationship Id="rId40" Type="http://schemas.openxmlformats.org/officeDocument/2006/relationships/chart" Target="charts/chart6.xml"/><Relationship Id="rId45" Type="http://schemas.openxmlformats.org/officeDocument/2006/relationships/chart" Target="charts/chart9.xml"/><Relationship Id="rId66"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secure.sos.state.or.us/oard/displayDivisionRules.action?selectedDivision=779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Percent%20chang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3.xml"/></Relationships>
</file>

<file path=word/charts/_rels/chart9.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4.xml"/></Relationships>
</file>

<file path=word/charts/_rels/chart10.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5.xml"/></Relationships>
</file>

<file path=word/charts/_rels/chart1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6.xml"/></Relationships>
</file>

<file path=word/charts/_rels/chart1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7.xml"/></Relationships>
</file>

<file path=word/charts/_rels/chart1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8.xml"/></Relationships>
</file>

<file path=word/charts/_rels/chart15.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9.xml"/></Relationships>
</file>

<file path=word/charts/_rels/chart16.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0.xml"/></Relationships>
</file>

<file path=word/charts/_rels/chart17.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1.xml"/></Relationships>
</file>

<file path=word/charts/_rels/chart18.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Key%20findings%20chart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hs.sdc.pvt\HSB\A&amp;E\Measures\CCO%20Metrics%20Performance%20Reports\21.%202025%20Final%20Performance%20Report%20and%20Dashboards\2025%20Annual%20Report\Charts\MY2025%20Quality%20Pool%20charts.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dhs.sdc.pvt\HSB\A&amp;E\Measures\CCO%20Metrics%20Performance%20Reports\19.%202023%20Final%20Performance%20Report%20and%20Dashboard\2023%20Annual%20Report\Charts\Improvement%20target%20example.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hs.sdc.pvt\HSB\A&amp;E\Measures\CCO%20Metrics%20Performance%20Reports\19.%202023%20Final%20Performance%20Report%20and%20Dashboard\2023%20Annual%20Report\Charts\Improvement%20target%20examp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1">
                <a:solidFill>
                  <a:schemeClr val="accent2">
                    <a:lumMod val="50000"/>
                  </a:schemeClr>
                </a:solidFill>
                <a:effectLst/>
              </a:rPr>
              <a:t>← Empeor</a:t>
            </a:r>
            <a:r>
              <a:rPr lang="el-GR" sz="1100" b="1">
                <a:solidFill>
                  <a:schemeClr val="accent2">
                    <a:lumMod val="50000"/>
                  </a:schemeClr>
                </a:solidFill>
                <a:effectLst/>
              </a:rPr>
              <a:t>ό</a:t>
            </a:r>
            <a:r>
              <a:rPr lang="en-US" sz="1100" b="1">
                <a:solidFill>
                  <a:schemeClr val="accent2">
                    <a:lumMod val="50000"/>
                  </a:schemeClr>
                </a:solidFill>
                <a:effectLst/>
              </a:rPr>
              <a:t>    </a:t>
            </a:r>
            <a:r>
              <a:rPr lang="en-US" sz="1100" b="1">
                <a:solidFill>
                  <a:schemeClr val="tx2"/>
                </a:solidFill>
                <a:effectLst/>
              </a:rPr>
              <a:t>Mejor</a:t>
            </a:r>
            <a:r>
              <a:rPr lang="el-GR" sz="1100" b="1">
                <a:solidFill>
                  <a:schemeClr val="tx2"/>
                </a:solidFill>
                <a:effectLst/>
              </a:rPr>
              <a:t>ό</a:t>
            </a:r>
            <a:r>
              <a:rPr lang="en-US" sz="1100" b="1">
                <a:solidFill>
                  <a:schemeClr val="tx2"/>
                </a:solidFill>
                <a:effectLst/>
              </a:rPr>
              <a:t> →</a:t>
            </a:r>
            <a:endParaRPr lang="en-US" sz="1100">
              <a:solidFill>
                <a:schemeClr val="tx2"/>
              </a:solidFill>
              <a:effectLst/>
            </a:endParaRPr>
          </a:p>
        </c:rich>
      </c:tx>
      <c:layout>
        <c:manualLayout>
          <c:xMode val="edge"/>
          <c:yMode val="edge"/>
          <c:x val="0.4850105310910211"/>
          <c:y val="1.4512087643456333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16"/>
          <c:tx>
            <c:strRef>
              <c:f>'FINAL Chart CCO state only_Span'!$B$1</c:f>
              <c:strCache>
                <c:ptCount val="1"/>
                <c:pt idx="0">
                  <c:v>Measure name</c:v>
                </c:pt>
              </c:strCache>
            </c:strRef>
          </c:tx>
          <c:spPr>
            <a:ln w="25400" cap="rnd">
              <a:noFill/>
              <a:round/>
            </a:ln>
            <a:effectLst/>
          </c:spPr>
          <c:marker>
            <c:symbol val="none"/>
          </c:marker>
          <c:dLbls>
            <c:dLbl>
              <c:idx val="0"/>
              <c:tx>
                <c:rich>
                  <a:bodyPr/>
                  <a:lstStyle/>
                  <a:p>
                    <a:fld id="{53107C6B-BA77-462C-8364-E93D06AA557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736771329509736"/>
                      <c:h val="6.7857901034429513E-2"/>
                    </c:manualLayout>
                  </c15:layout>
                  <c15:dlblFieldTable/>
                  <c15:showDataLabelsRange val="1"/>
                </c:ext>
                <c:ext xmlns:c16="http://schemas.microsoft.com/office/drawing/2014/chart" uri="{C3380CC4-5D6E-409C-BE32-E72D297353CC}">
                  <c16:uniqueId val="{00000000-2DF7-477F-8202-EB1FA254D8EC}"/>
                </c:ext>
              </c:extLst>
            </c:dLbl>
            <c:dLbl>
              <c:idx val="1"/>
              <c:tx>
                <c:rich>
                  <a:bodyPr/>
                  <a:lstStyle/>
                  <a:p>
                    <a:fld id="{CF110551-09B3-4EEC-8AB3-71008859F6B9}"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6456757720099801"/>
                      <c:h val="7.6027835674952388E-2"/>
                    </c:manualLayout>
                  </c15:layout>
                  <c15:dlblFieldTable/>
                  <c15:showDataLabelsRange val="1"/>
                </c:ext>
                <c:ext xmlns:c16="http://schemas.microsoft.com/office/drawing/2014/chart" uri="{C3380CC4-5D6E-409C-BE32-E72D297353CC}">
                  <c16:uniqueId val="{00000001-2DF7-477F-8202-EB1FA254D8EC}"/>
                </c:ext>
              </c:extLst>
            </c:dLbl>
            <c:dLbl>
              <c:idx val="2"/>
              <c:tx>
                <c:rich>
                  <a:bodyPr/>
                  <a:lstStyle/>
                  <a:p>
                    <a:fld id="{0AC9BE11-54D2-4CC7-B15B-7ED5A1EC6D1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026505946016007"/>
                      <c:h val="5.7645482733775927E-2"/>
                    </c:manualLayout>
                  </c15:layout>
                  <c15:dlblFieldTable/>
                  <c15:showDataLabelsRange val="1"/>
                </c:ext>
                <c:ext xmlns:c16="http://schemas.microsoft.com/office/drawing/2014/chart" uri="{C3380CC4-5D6E-409C-BE32-E72D297353CC}">
                  <c16:uniqueId val="{00000002-2DF7-477F-8202-EB1FA254D8EC}"/>
                </c:ext>
              </c:extLst>
            </c:dLbl>
            <c:dLbl>
              <c:idx val="3"/>
              <c:tx>
                <c:rich>
                  <a:bodyPr/>
                  <a:lstStyle/>
                  <a:p>
                    <a:fld id="{52619ADC-1624-4CD1-8650-AA3F0083E359}"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060011017141374"/>
                      <c:h val="4.7433064433122334E-2"/>
                    </c:manualLayout>
                  </c15:layout>
                  <c15:dlblFieldTable/>
                  <c15:showDataLabelsRange val="1"/>
                </c:ext>
                <c:ext xmlns:c16="http://schemas.microsoft.com/office/drawing/2014/chart" uri="{C3380CC4-5D6E-409C-BE32-E72D297353CC}">
                  <c16:uniqueId val="{00000003-2DF7-477F-8202-EB1FA254D8EC}"/>
                </c:ext>
              </c:extLst>
            </c:dLbl>
            <c:dLbl>
              <c:idx val="4"/>
              <c:tx>
                <c:rich>
                  <a:bodyPr/>
                  <a:lstStyle/>
                  <a:p>
                    <a:fld id="{8F30092D-7DC6-44D5-AF72-4E67A0CC558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0891788989339293"/>
                      <c:h val="7.3226738201842417E-2"/>
                    </c:manualLayout>
                  </c15:layout>
                  <c15:dlblFieldTable/>
                  <c15:showDataLabelsRange val="1"/>
                </c:ext>
                <c:ext xmlns:c16="http://schemas.microsoft.com/office/drawing/2014/chart" uri="{C3380CC4-5D6E-409C-BE32-E72D297353CC}">
                  <c16:uniqueId val="{00000004-2DF7-477F-8202-EB1FA254D8EC}"/>
                </c:ext>
              </c:extLst>
            </c:dLbl>
            <c:dLbl>
              <c:idx val="5"/>
              <c:tx>
                <c:rich>
                  <a:bodyPr/>
                  <a:lstStyle/>
                  <a:p>
                    <a:fld id="{C448B998-F2D2-4468-91F9-C0728C427DC1}"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761440877582612"/>
                      <c:h val="7.4685664291963508E-2"/>
                    </c:manualLayout>
                  </c15:layout>
                  <c15:dlblFieldTable/>
                  <c15:showDataLabelsRange val="1"/>
                </c:ext>
                <c:ext xmlns:c16="http://schemas.microsoft.com/office/drawing/2014/chart" uri="{C3380CC4-5D6E-409C-BE32-E72D297353CC}">
                  <c16:uniqueId val="{00000005-2DF7-477F-8202-EB1FA254D8EC}"/>
                </c:ext>
              </c:extLst>
            </c:dLbl>
            <c:dLbl>
              <c:idx val="6"/>
              <c:tx>
                <c:rich>
                  <a:bodyPr/>
                  <a:lstStyle/>
                  <a:p>
                    <a:fld id="{570DC964-408D-4368-A43E-65539835793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827468325718542"/>
                      <c:h val="6.9900384694560239E-2"/>
                    </c:manualLayout>
                  </c15:layout>
                  <c15:dlblFieldTable/>
                  <c15:showDataLabelsRange val="1"/>
                </c:ext>
                <c:ext xmlns:c16="http://schemas.microsoft.com/office/drawing/2014/chart" uri="{C3380CC4-5D6E-409C-BE32-E72D297353CC}">
                  <c16:uniqueId val="{00000006-2DF7-477F-8202-EB1FA254D8EC}"/>
                </c:ext>
              </c:extLst>
            </c:dLbl>
            <c:dLbl>
              <c:idx val="7"/>
              <c:tx>
                <c:rich>
                  <a:bodyPr/>
                  <a:lstStyle/>
                  <a:p>
                    <a:fld id="{69CFCAE8-13EB-4ECB-A2B0-74854954CADB}"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552796449373541"/>
                      <c:h val="7.6027835674952388E-2"/>
                    </c:manualLayout>
                  </c15:layout>
                  <c15:dlblFieldTable/>
                  <c15:showDataLabelsRange val="1"/>
                </c:ext>
                <c:ext xmlns:c16="http://schemas.microsoft.com/office/drawing/2014/chart" uri="{C3380CC4-5D6E-409C-BE32-E72D297353CC}">
                  <c16:uniqueId val="{00000007-2DF7-477F-8202-EB1FA254D8EC}"/>
                </c:ext>
              </c:extLst>
            </c:dLbl>
            <c:dLbl>
              <c:idx val="8"/>
              <c:tx>
                <c:rich>
                  <a:bodyPr/>
                  <a:lstStyle/>
                  <a:p>
                    <a:fld id="{378EA6A9-3342-4C24-A7D2-CE5DB52E40D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413385826771654"/>
                      <c:h val="6.9900384694560239E-2"/>
                    </c:manualLayout>
                  </c15:layout>
                  <c15:dlblFieldTable/>
                  <c15:showDataLabelsRange val="1"/>
                </c:ext>
                <c:ext xmlns:c16="http://schemas.microsoft.com/office/drawing/2014/chart" uri="{C3380CC4-5D6E-409C-BE32-E72D297353CC}">
                  <c16:uniqueId val="{00000008-2DF7-477F-8202-EB1FA254D8EC}"/>
                </c:ext>
              </c:extLst>
            </c:dLbl>
            <c:dLbl>
              <c:idx val="9"/>
              <c:tx>
                <c:rich>
                  <a:bodyPr/>
                  <a:lstStyle/>
                  <a:p>
                    <a:fld id="{546086EA-3EC4-4726-9889-A8C96EC39ED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7942289621204759"/>
                      <c:h val="6.1730450054037364E-2"/>
                    </c:manualLayout>
                  </c15:layout>
                  <c15:dlblFieldTable/>
                  <c15:showDataLabelsRange val="1"/>
                </c:ext>
                <c:ext xmlns:c16="http://schemas.microsoft.com/office/drawing/2014/chart" uri="{C3380CC4-5D6E-409C-BE32-E72D297353CC}">
                  <c16:uniqueId val="{00000009-2DF7-477F-8202-EB1FA254D8EC}"/>
                </c:ext>
              </c:extLst>
            </c:dLbl>
            <c:dLbl>
              <c:idx val="10"/>
              <c:tx>
                <c:rich>
                  <a:bodyPr/>
                  <a:lstStyle/>
                  <a:p>
                    <a:fld id="{983033E7-3E25-48E1-AD44-39D30F42FAB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1895045526716566"/>
                      <c:h val="6.3772933714168076E-2"/>
                    </c:manualLayout>
                  </c15:layout>
                  <c15:dlblFieldTable/>
                  <c15:showDataLabelsRange val="1"/>
                </c:ext>
                <c:ext xmlns:c16="http://schemas.microsoft.com/office/drawing/2014/chart" uri="{C3380CC4-5D6E-409C-BE32-E72D297353CC}">
                  <c16:uniqueId val="{0000000A-2DF7-477F-8202-EB1FA254D8EC}"/>
                </c:ext>
              </c:extLst>
            </c:dLbl>
            <c:dLbl>
              <c:idx val="11"/>
              <c:tx>
                <c:rich>
                  <a:bodyPr/>
                  <a:lstStyle/>
                  <a:p>
                    <a:fld id="{F4B65412-3B64-4B43-BF28-678475A5E68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51654353391011298"/>
                      <c:h val="5.7645482733775927E-2"/>
                    </c:manualLayout>
                  </c15:layout>
                  <c15:dlblFieldTable/>
                  <c15:showDataLabelsRange val="1"/>
                </c:ext>
                <c:ext xmlns:c16="http://schemas.microsoft.com/office/drawing/2014/chart" uri="{C3380CC4-5D6E-409C-BE32-E72D297353CC}">
                  <c16:uniqueId val="{0000000B-2DF7-477F-8202-EB1FA254D8EC}"/>
                </c:ext>
              </c:extLst>
            </c:dLbl>
            <c:dLbl>
              <c:idx val="12"/>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
                      <c:h val="0"/>
                    </c:manualLayout>
                  </c15:layout>
                  <c15:showDataLabelsRange val="1"/>
                </c:ext>
                <c:ext xmlns:c16="http://schemas.microsoft.com/office/drawing/2014/chart" uri="{C3380CC4-5D6E-409C-BE32-E72D297353CC}">
                  <c16:uniqueId val="{0000000C-2DF7-477F-8202-EB1FA254D8EC}"/>
                </c:ext>
              </c:extLst>
            </c:dLbl>
            <c:dLbl>
              <c:idx val="13"/>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
                      <c:h val="0"/>
                    </c:manualLayout>
                  </c15:layout>
                  <c15:showDataLabelsRange val="1"/>
                </c:ext>
                <c:ext xmlns:c16="http://schemas.microsoft.com/office/drawing/2014/chart" uri="{C3380CC4-5D6E-409C-BE32-E72D297353CC}">
                  <c16:uniqueId val="{0000000D-2DF7-477F-8202-EB1FA254D8EC}"/>
                </c:ext>
              </c:extLst>
            </c:dLbl>
            <c:dLbl>
              <c:idx val="14"/>
              <c:layout>
                <c:manualLayout>
                  <c:x val="-5.7613168724279837E-2"/>
                  <c:y val="1.0212418300653595E-3"/>
                </c:manualLayout>
              </c:layout>
              <c:tx>
                <c:rich>
                  <a:bodyPr/>
                  <a:lstStyle/>
                  <a:p>
                    <a:fld id="{4F2973DA-1EC3-4A58-95E5-00B8FF62943A}"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layout>
                    <c:manualLayout>
                      <c:w val="0.51833333333333331"/>
                      <c:h val="6.1274509803921566E-2"/>
                    </c:manualLayout>
                  </c15:layout>
                  <c15:dlblFieldTable/>
                  <c15:showDataLabelsRange val="1"/>
                </c:ext>
                <c:ext xmlns:c16="http://schemas.microsoft.com/office/drawing/2014/chart" uri="{C3380CC4-5D6E-409C-BE32-E72D297353CC}">
                  <c16:uniqueId val="{0000000E-2DF7-477F-8202-EB1FA254D8EC}"/>
                </c:ext>
              </c:extLst>
            </c:dLbl>
            <c:spPr>
              <a:solidFill>
                <a:schemeClr val="bg1"/>
              </a:solidFill>
              <a:ln>
                <a:noFill/>
              </a:ln>
              <a:effectLst/>
            </c:spPr>
            <c:txPr>
              <a:bodyPr rot="0" spcFirstLastPara="1" vertOverflow="clip" horzOverflow="clip" vert="horz" wrap="square" lIns="38100" tIns="19050" rIns="38100" bIns="19050" anchor="ctr" anchorCtr="0">
                <a:noAutofit/>
              </a:bodyPr>
              <a:lstStyle/>
              <a:p>
                <a:pPr algn="l">
                  <a:defRPr sz="105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'FINAL Chart CCO state only_Span'!$D$2:$D$16</c:f>
              <c:numCache>
                <c:formatCode>General</c:formatCode>
                <c:ptCount val="15"/>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5="http://schemas.microsoft.com/office/drawing/2012/chart" uri="{02D57815-91ED-43cb-92C2-25804820EDAC}">
              <c15:datalabelsRange>
                <c15:f>'FINAL Chart CCO state only_Span'!$B$2:$B$16</c15:f>
                <c15:dlblRangeCache>
                  <c:ptCount val="15"/>
                  <c:pt idx="0">
                    <c:v>Prueba de detección de depresión y plan de seguimiento</c:v>
                  </c:pt>
                  <c:pt idx="1">
                    <c:v>Estado de vacunación infantil: combinación 3</c:v>
                  </c:pt>
                  <c:pt idx="2">
                    <c:v>Evaluaciones para niños bajo custodia del DHS</c:v>
                  </c:pt>
                  <c:pt idx="3">
                    <c:v>Diabetes: control deficiente de la HbA1c^</c:v>
                  </c:pt>
                  <c:pt idx="4">
                    <c:v>Inicio y participación en el tratamiento del SUD: participación</c:v>
                  </c:pt>
                  <c:pt idx="5">
                    <c:v>Inicio y participación en el tratamiento del SUD: inicio</c:v>
                  </c:pt>
                  <c:pt idx="6">
                    <c:v>Vacunación para adolescentes: combinación 2</c:v>
                  </c:pt>
                  <c:pt idx="7">
                    <c:v>Acceso significativo al idioma (equidad en salud)</c:v>
                  </c:pt>
                  <c:pt idx="8">
                    <c:v>Adultos con diabetes: evaluación oral</c:v>
                  </c:pt>
                  <c:pt idx="9">
                    <c:v>Cuidados prenatales y posparto: posparto^</c:v>
                  </c:pt>
                  <c:pt idx="10">
                    <c:v>Servicios de salud dental o bucal preventivos (de 1 a 5 años de edad)^</c:v>
                  </c:pt>
                  <c:pt idx="11">
                    <c:v>Servicios de salud dental o bucal preventivos (de 6 a 14 años de edad)^</c:v>
                  </c:pt>
                  <c:pt idx="12">
                    <c:v>0</c:v>
                  </c:pt>
                  <c:pt idx="13">
                    <c:v>0</c:v>
                  </c:pt>
                  <c:pt idx="14">
                    <c:v>Visitas de bienestar para niños y adolescentes (de 3 a 6 años de edad)^</c:v>
                  </c:pt>
                </c15:dlblRangeCache>
              </c15:datalabelsRange>
            </c:ext>
            <c:ext xmlns:c16="http://schemas.microsoft.com/office/drawing/2014/chart" uri="{C3380CC4-5D6E-409C-BE32-E72D297353CC}">
              <c16:uniqueId val="{0000000F-2DF7-477F-8202-EB1FA254D8EC}"/>
            </c:ext>
          </c:extLst>
        </c:ser>
        <c:ser>
          <c:idx val="2"/>
          <c:order val="17"/>
          <c:tx>
            <c:strRef>
              <c:f>'FINAL Chart CCO state only_Span'!$F$1</c:f>
              <c:strCache>
                <c:ptCount val="1"/>
                <c:pt idx="0">
                  <c:v>Mejoró (10% o más)</c:v>
                </c:pt>
              </c:strCache>
            </c:strRef>
          </c:tx>
          <c:spPr>
            <a:ln w="25400" cap="rnd">
              <a:noFill/>
              <a:round/>
            </a:ln>
            <a:effectLst/>
          </c:spPr>
          <c:marker>
            <c:symbol val="circle"/>
            <c:size val="26"/>
            <c:spPr>
              <a:solidFill>
                <a:schemeClr val="tx2"/>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only_Span'!$F$2:$F$16</c:f>
              <c:numCache>
                <c:formatCode>0.0%</c:formatCode>
                <c:ptCount val="15"/>
                <c:pt idx="0">
                  <c:v>#N/A</c:v>
                </c:pt>
                <c:pt idx="1">
                  <c:v>#N/A</c:v>
                </c:pt>
                <c:pt idx="2">
                  <c:v>#N/A</c:v>
                </c:pt>
                <c:pt idx="3">
                  <c:v>#N/A</c:v>
                </c:pt>
                <c:pt idx="4">
                  <c:v>#N/A</c:v>
                </c:pt>
                <c:pt idx="5">
                  <c:v>#N/A</c:v>
                </c:pt>
                <c:pt idx="6">
                  <c:v>#N/A</c:v>
                </c:pt>
                <c:pt idx="7">
                  <c:v>0.22916666666666669</c:v>
                </c:pt>
                <c:pt idx="8">
                  <c:v>#N/A</c:v>
                </c:pt>
                <c:pt idx="9">
                  <c:v>#N/A</c:v>
                </c:pt>
                <c:pt idx="10">
                  <c:v>#N/A</c:v>
                </c:pt>
                <c:pt idx="11">
                  <c:v>#N/A</c:v>
                </c:pt>
                <c:pt idx="12">
                  <c:v>#N/A</c:v>
                </c:pt>
                <c:pt idx="13">
                  <c:v>#N/A</c:v>
                </c:pt>
                <c:pt idx="14">
                  <c:v>#N/A</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0-2DF7-477F-8202-EB1FA254D8EC}"/>
            </c:ext>
          </c:extLst>
        </c:ser>
        <c:ser>
          <c:idx val="3"/>
          <c:order val="18"/>
          <c:tx>
            <c:strRef>
              <c:f>'FINAL Chart CCO state only_Span'!$G$1</c:f>
              <c:strCache>
                <c:ptCount val="1"/>
                <c:pt idx="0">
                  <c:v>Mejoró ligeramente (de 3.01 a 9.9%)</c:v>
                </c:pt>
              </c:strCache>
            </c:strRef>
          </c:tx>
          <c:spPr>
            <a:ln w="25400" cap="rnd">
              <a:noFill/>
              <a:round/>
            </a:ln>
            <a:effectLst/>
          </c:spPr>
          <c:marker>
            <c:symbol val="circle"/>
            <c:size val="26"/>
            <c:spPr>
              <a:solidFill>
                <a:srgbClr val="4779B1"/>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'FINAL Chart CCO state only_Span'!$G$2:$G$16</c:f>
              <c:numCache>
                <c:formatCode>0.0%</c:formatCode>
                <c:ptCount val="15"/>
                <c:pt idx="0">
                  <c:v>6.7846607669616407E-2</c:v>
                </c:pt>
                <c:pt idx="1">
                  <c:v>#N/A</c:v>
                </c:pt>
                <c:pt idx="2">
                  <c:v>#N/A</c:v>
                </c:pt>
                <c:pt idx="3">
                  <c:v>8.2969432314410549E-2</c:v>
                </c:pt>
                <c:pt idx="4">
                  <c:v>6.060606060606049E-2</c:v>
                </c:pt>
                <c:pt idx="5">
                  <c:v>#N/A</c:v>
                </c:pt>
                <c:pt idx="6">
                  <c:v>7.0796460176991038E-2</c:v>
                </c:pt>
                <c:pt idx="7">
                  <c:v>#N/A</c:v>
                </c:pt>
                <c:pt idx="8">
                  <c:v>#N/A</c:v>
                </c:pt>
                <c:pt idx="9">
                  <c:v>#N/A</c:v>
                </c:pt>
                <c:pt idx="10">
                  <c:v>#N/A</c:v>
                </c:pt>
                <c:pt idx="11">
                  <c:v>#N/A</c:v>
                </c:pt>
                <c:pt idx="12">
                  <c:v>#N/A</c:v>
                </c:pt>
                <c:pt idx="13">
                  <c:v>#N/A</c:v>
                </c:pt>
                <c:pt idx="14">
                  <c:v>3.3333333333333368E-2</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1-2DF7-477F-8202-EB1FA254D8EC}"/>
            </c:ext>
          </c:extLst>
        </c:ser>
        <c:ser>
          <c:idx val="0"/>
          <c:order val="19"/>
          <c:tx>
            <c:strRef>
              <c:f>'FINAL Chart CCO state only_Span'!$H$1</c:f>
              <c:strCache>
                <c:ptCount val="1"/>
                <c:pt idx="0">
                  <c:v>Se mantuvo estable (de -3% a 3%)</c:v>
                </c:pt>
              </c:strCache>
            </c:strRef>
          </c:tx>
          <c:spPr>
            <a:ln w="25400" cap="rnd">
              <a:noFill/>
              <a:round/>
            </a:ln>
            <a:effectLst/>
          </c:spPr>
          <c:marker>
            <c:symbol val="circle"/>
            <c:size val="26"/>
            <c:spPr>
              <a:solidFill>
                <a:srgbClr val="606060"/>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only_Span'!$H$2:$H$16</c:f>
              <c:numCache>
                <c:formatCode>0.0%</c:formatCode>
                <c:ptCount val="15"/>
                <c:pt idx="0">
                  <c:v>#N/A</c:v>
                </c:pt>
                <c:pt idx="1">
                  <c:v>1.6666666666666683E-3</c:v>
                </c:pt>
                <c:pt idx="2">
                  <c:v>2.1372328458942651E-2</c:v>
                </c:pt>
                <c:pt idx="3">
                  <c:v>#N/A</c:v>
                </c:pt>
                <c:pt idx="4">
                  <c:v>#N/A</c:v>
                </c:pt>
                <c:pt idx="5">
                  <c:v>1.6786570743405293E-2</c:v>
                </c:pt>
                <c:pt idx="6">
                  <c:v>#N/A</c:v>
                </c:pt>
                <c:pt idx="7">
                  <c:v>#N/A</c:v>
                </c:pt>
                <c:pt idx="8">
                  <c:v>2.0547945205479472E-2</c:v>
                </c:pt>
                <c:pt idx="9">
                  <c:v>2.211874272409781E-2</c:v>
                </c:pt>
                <c:pt idx="10">
                  <c:v>2.6186579378068765E-2</c:v>
                </c:pt>
                <c:pt idx="11">
                  <c:v>2.0408163265306142E-2</c:v>
                </c:pt>
                <c:pt idx="12">
                  <c:v>0</c:v>
                </c:pt>
                <c:pt idx="13">
                  <c:v>0</c:v>
                </c:pt>
                <c:pt idx="14">
                  <c:v>#N/A</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2-2DF7-477F-8202-EB1FA254D8EC}"/>
            </c:ext>
          </c:extLst>
        </c:ser>
        <c:ser>
          <c:idx val="4"/>
          <c:order val="20"/>
          <c:tx>
            <c:strRef>
              <c:f>'FINAL Chart CCO state only_Span'!$I$1</c:f>
              <c:strCache>
                <c:ptCount val="1"/>
                <c:pt idx="0">
                  <c:v>Slightly worsened (-3.01 to -9.99%)</c:v>
                </c:pt>
              </c:strCache>
            </c:strRef>
          </c:tx>
          <c:spPr>
            <a:ln w="25400" cap="rnd">
              <a:noFill/>
              <a:round/>
            </a:ln>
            <a:effectLst/>
          </c:spPr>
          <c:marker>
            <c:symbol val="circle"/>
            <c:size val="26"/>
            <c:spPr>
              <a:solidFill>
                <a:schemeClr val="accent6">
                  <a:lumMod val="20000"/>
                  <a:lumOff val="80000"/>
                </a:schemeClr>
              </a:solidFill>
              <a:ln w="9525">
                <a:noFill/>
              </a:ln>
              <a:effectLst/>
            </c:spPr>
          </c:marker>
          <c:xVal>
            <c:numRef>
              <c:f>'FINAL Chart CCO state only_Span'!$I$2:$I$16</c:f>
              <c:numCache>
                <c:formatCode>0.0%</c:formatCode>
                <c:ptCount val="1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3-2DF7-477F-8202-EB1FA254D8EC}"/>
            </c:ext>
          </c:extLst>
        </c:ser>
        <c:ser>
          <c:idx val="21"/>
          <c:order val="21"/>
          <c:tx>
            <c:strRef>
              <c:f>'FINAL Chart CCO state only_Span'!$J$1</c:f>
              <c:strCache>
                <c:ptCount val="1"/>
                <c:pt idx="0">
                  <c:v>Worsened (-10% or less)</c:v>
                </c:pt>
              </c:strCache>
            </c:strRef>
          </c:tx>
          <c:spPr>
            <a:ln w="25400" cap="rnd">
              <a:noFill/>
              <a:round/>
            </a:ln>
            <a:effectLst/>
          </c:spPr>
          <c:marker>
            <c:symbol val="circle"/>
            <c:size val="26"/>
            <c:spPr>
              <a:solidFill>
                <a:schemeClr val="accent6">
                  <a:lumMod val="75000"/>
                </a:schemeClr>
              </a:solidFill>
              <a:ln w="9525">
                <a:noFill/>
              </a:ln>
              <a:effectLst/>
            </c:spPr>
          </c:marker>
          <c:dLbls>
            <c:dLbl>
              <c:idx val="14"/>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4876923076923077"/>
                      <c:h val="9.7222222222222224E-2"/>
                    </c:manualLayout>
                  </c15:layout>
                  <c15:showDataLabelsRange val="1"/>
                </c:ext>
                <c:ext xmlns:c16="http://schemas.microsoft.com/office/drawing/2014/chart" uri="{C3380CC4-5D6E-409C-BE32-E72D297353CC}">
                  <c16:uniqueId val="{00000014-2DF7-477F-8202-EB1FA254D8E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Narrow" panose="020B0606020202030204" pitchFamily="34" charset="0"/>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'FINAL Chart CCO state only_Span'!$J$2:$J$16</c:f>
              <c:numCache>
                <c:formatCode>0.0%</c:formatCode>
                <c:ptCount val="1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numCache>
            </c:numRef>
          </c:xVal>
          <c:yVal>
            <c:numRef>
              <c:f>'FINAL Chart CCO state only_Span'!$C$2:$C$16</c:f>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5="http://schemas.microsoft.com/office/drawing/2012/chart" uri="{02D57815-91ED-43cb-92C2-25804820EDAC}">
              <c15:datalabelsRange>
                <c15:f>'FINAL Chart CCO state only_Span'!$B$2:$B$16</c15:f>
                <c15:dlblRangeCache>
                  <c:ptCount val="15"/>
                  <c:pt idx="0">
                    <c:v>Prueba de detección de depresión y plan de seguimiento</c:v>
                  </c:pt>
                  <c:pt idx="1">
                    <c:v>Estado de vacunación infantil: combinación 3</c:v>
                  </c:pt>
                  <c:pt idx="2">
                    <c:v>Evaluaciones para niños bajo custodia del DHS</c:v>
                  </c:pt>
                  <c:pt idx="3">
                    <c:v>Diabetes: control deficiente de la HbA1c^</c:v>
                  </c:pt>
                  <c:pt idx="4">
                    <c:v>Inicio y participación en el tratamiento del SUD: participación</c:v>
                  </c:pt>
                  <c:pt idx="5">
                    <c:v>Inicio y participación en el tratamiento del SUD: inicio</c:v>
                  </c:pt>
                  <c:pt idx="6">
                    <c:v>Vacunación para adolescentes: combinación 2</c:v>
                  </c:pt>
                  <c:pt idx="7">
                    <c:v>Acceso significativo al idioma (equidad en salud)</c:v>
                  </c:pt>
                  <c:pt idx="8">
                    <c:v>Adultos con diabetes: evaluación oral</c:v>
                  </c:pt>
                  <c:pt idx="9">
                    <c:v>Cuidados prenatales y posparto: posparto^</c:v>
                  </c:pt>
                  <c:pt idx="10">
                    <c:v>Servicios de salud dental o bucal preventivos (de 1 a 5 años de edad)^</c:v>
                  </c:pt>
                  <c:pt idx="11">
                    <c:v>Servicios de salud dental o bucal preventivos (de 6 a 14 años de edad)^</c:v>
                  </c:pt>
                  <c:pt idx="12">
                    <c:v>0</c:v>
                  </c:pt>
                  <c:pt idx="13">
                    <c:v>0</c:v>
                  </c:pt>
                  <c:pt idx="14">
                    <c:v>Visitas de bienestar para niños y adolescentes (de 3 a 6 años de edad)^</c:v>
                  </c:pt>
                </c15:dlblRangeCache>
              </c15:datalabelsRange>
            </c:ext>
            <c:ext xmlns:c16="http://schemas.microsoft.com/office/drawing/2014/chart" uri="{C3380CC4-5D6E-409C-BE32-E72D297353CC}">
              <c16:uniqueId val="{00000015-2DF7-477F-8202-EB1FA254D8EC}"/>
            </c:ext>
          </c:extLst>
        </c:ser>
        <c:dLbls>
          <c:showLegendKey val="0"/>
          <c:showVal val="0"/>
          <c:showCatName val="0"/>
          <c:showSerName val="0"/>
          <c:showPercent val="0"/>
          <c:showBubbleSize val="0"/>
        </c:dLbls>
        <c:axId val="799829584"/>
        <c:axId val="799827064"/>
        <c:extLst>
          <c:ext xmlns:c15="http://schemas.microsoft.com/office/drawing/2012/chart" uri="{02D57815-91ED-43cb-92C2-25804820EDAC}">
            <c15:filteredScatterSeries>
              <c15:ser>
                <c:idx val="5"/>
                <c:order val="0"/>
                <c:tx>
                  <c:strRef>
                    <c:extLst>
                      <c:ext uri="{02D57815-91ED-43cb-92C2-25804820EDAC}">
                        <c15:formulaRef>
                          <c15:sqref>'FINAL Chart CCO state only_Span'!$K$1</c15:sqref>
                        </c15:formulaRef>
                      </c:ext>
                    </c:extLst>
                    <c:strCache>
                      <c:ptCount val="1"/>
                      <c:pt idx="0">
                        <c:v>Advanced Health</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c:ext xmlns:c16="http://schemas.microsoft.com/office/drawing/2014/chart" uri="{C3380CC4-5D6E-409C-BE32-E72D297353CC}">
                      <c16:uniqueId val="{00000016-2DF7-477F-8202-EB1FA254D8EC}"/>
                    </c:ext>
                  </c:extLst>
                </c:dPt>
                <c:xVal>
                  <c:numRef>
                    <c:extLst>
                      <c:ext uri="{02D57815-91ED-43cb-92C2-25804820EDAC}">
                        <c15:formulaRef>
                          <c15:sqref>'FINAL Chart CCO state only_Span'!$K$2:$K$16</c15:sqref>
                        </c15:formulaRef>
                      </c:ext>
                    </c:extLst>
                    <c:numCache>
                      <c:formatCode>0.0%</c:formatCode>
                      <c:ptCount val="15"/>
                      <c:pt idx="0">
                        <c:v>-0.13265306122448972</c:v>
                      </c:pt>
                      <c:pt idx="1">
                        <c:v>1.2820512820512832E-2</c:v>
                      </c:pt>
                      <c:pt idx="2">
                        <c:v>7.4547390841320626E-3</c:v>
                      </c:pt>
                      <c:pt idx="3">
                        <c:v>-0.11743772241992873</c:v>
                      </c:pt>
                      <c:pt idx="4">
                        <c:v>8.9041095890411037E-2</c:v>
                      </c:pt>
                      <c:pt idx="5">
                        <c:v>4.2154566744730719E-2</c:v>
                      </c:pt>
                      <c:pt idx="6">
                        <c:v>7.5539568345323604E-2</c:v>
                      </c:pt>
                      <c:pt idx="7">
                        <c:v>-0.37209302325581389</c:v>
                      </c:pt>
                      <c:pt idx="8">
                        <c:v>-4.3478260869565258E-2</c:v>
                      </c:pt>
                      <c:pt idx="9">
                        <c:v>6.2060889929742444E-2</c:v>
                      </c:pt>
                      <c:pt idx="10">
                        <c:v>-1.1560693641618347E-2</c:v>
                      </c:pt>
                      <c:pt idx="11">
                        <c:v>-3.5063113604488112E-2</c:v>
                      </c:pt>
                      <c:pt idx="12">
                        <c:v>0</c:v>
                      </c:pt>
                      <c:pt idx="13">
                        <c:v>0</c:v>
                      </c:pt>
                      <c:pt idx="14">
                        <c:v>2.6277372262773581E-2</c:v>
                      </c:pt>
                    </c:numCache>
                  </c:numRef>
                </c:xVal>
                <c:yVal>
                  <c:numRef>
                    <c:extLst>
                      <c:ex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c:ext xmlns:c16="http://schemas.microsoft.com/office/drawing/2014/chart" uri="{C3380CC4-5D6E-409C-BE32-E72D297353CC}">
                    <c16:uniqueId val="{00000017-2DF7-477F-8202-EB1FA254D8EC}"/>
                  </c:ext>
                </c:extLst>
              </c15:ser>
            </c15:filteredScatterSeries>
            <c15:filteredScatterSeries>
              <c15:ser>
                <c:idx val="6"/>
                <c:order val="1"/>
                <c:tx>
                  <c:strRef>
                    <c:extLst xmlns:c15="http://schemas.microsoft.com/office/drawing/2012/chart">
                      <c:ext xmlns:c15="http://schemas.microsoft.com/office/drawing/2012/chart" uri="{02D57815-91ED-43cb-92C2-25804820EDAC}">
                        <c15:formulaRef>
                          <c15:sqref>'FINAL Chart CCO state only_Span'!$L$1</c15:sqref>
                        </c15:formulaRef>
                      </c:ext>
                    </c:extLst>
                    <c:strCache>
                      <c:ptCount val="1"/>
                      <c:pt idx="0">
                        <c:v>AllCare CCO</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8-2DF7-477F-8202-EB1FA254D8EC}"/>
                    </c:ext>
                  </c:extLst>
                </c:dPt>
                <c:xVal>
                  <c:numRef>
                    <c:extLst xmlns:c15="http://schemas.microsoft.com/office/drawing/2012/chart">
                      <c:ext xmlns:c15="http://schemas.microsoft.com/office/drawing/2012/chart" uri="{02D57815-91ED-43cb-92C2-25804820EDAC}">
                        <c15:formulaRef>
                          <c15:sqref>'FINAL Chart CCO state only_Span'!$L$2:$L$16</c15:sqref>
                        </c15:formulaRef>
                      </c:ext>
                    </c:extLst>
                    <c:numCache>
                      <c:formatCode>0.0%</c:formatCode>
                      <c:ptCount val="15"/>
                      <c:pt idx="0">
                        <c:v>0.12071535022354687</c:v>
                      </c:pt>
                      <c:pt idx="1">
                        <c:v>1.6279069767441874E-2</c:v>
                      </c:pt>
                      <c:pt idx="2">
                        <c:v>-0.10784313725490205</c:v>
                      </c:pt>
                      <c:pt idx="3">
                        <c:v>0.11594202898550722</c:v>
                      </c:pt>
                      <c:pt idx="4">
                        <c:v>7.2580645161290383E-2</c:v>
                      </c:pt>
                      <c:pt idx="5">
                        <c:v>8.3550913838120036E-2</c:v>
                      </c:pt>
                      <c:pt idx="6">
                        <c:v>-7.1856287425149754E-2</c:v>
                      </c:pt>
                      <c:pt idx="7">
                        <c:v>0.68817204301075274</c:v>
                      </c:pt>
                      <c:pt idx="8">
                        <c:v>-1.5936254980079695E-2</c:v>
                      </c:pt>
                      <c:pt idx="9">
                        <c:v>3.1431897555296885E-2</c:v>
                      </c:pt>
                      <c:pt idx="10">
                        <c:v>-9.6969696969697053E-2</c:v>
                      </c:pt>
                      <c:pt idx="11">
                        <c:v>-7.5734157650695577E-2</c:v>
                      </c:pt>
                      <c:pt idx="12">
                        <c:v>0</c:v>
                      </c:pt>
                      <c:pt idx="13">
                        <c:v>0</c:v>
                      </c:pt>
                      <c:pt idx="14">
                        <c:v>3.4690799396681779E-2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9-2DF7-477F-8202-EB1FA254D8EC}"/>
                  </c:ext>
                </c:extLst>
              </c15:ser>
            </c15:filteredScatterSeries>
            <c15:filteredScatterSeries>
              <c15:ser>
                <c:idx val="7"/>
                <c:order val="2"/>
                <c:tx>
                  <c:strRef>
                    <c:extLst xmlns:c15="http://schemas.microsoft.com/office/drawing/2012/chart">
                      <c:ext xmlns:c15="http://schemas.microsoft.com/office/drawing/2012/chart" uri="{02D57815-91ED-43cb-92C2-25804820EDAC}">
                        <c15:formulaRef>
                          <c15:sqref>'FINAL Chart CCO state only_Span'!$M$1</c15:sqref>
                        </c15:formulaRef>
                      </c:ext>
                    </c:extLst>
                    <c:strCache>
                      <c:ptCount val="1"/>
                      <c:pt idx="0">
                        <c:v>Cascade Health Alliance</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A-2DF7-477F-8202-EB1FA254D8EC}"/>
                    </c:ext>
                  </c:extLst>
                </c:dPt>
                <c:xVal>
                  <c:numRef>
                    <c:extLst xmlns:c15="http://schemas.microsoft.com/office/drawing/2012/chart">
                      <c:ext xmlns:c15="http://schemas.microsoft.com/office/drawing/2012/chart" uri="{02D57815-91ED-43cb-92C2-25804820EDAC}">
                        <c15:formulaRef>
                          <c15:sqref>'FINAL Chart CCO state only_Span'!$M$2:$M$16</c15:sqref>
                        </c15:formulaRef>
                      </c:ext>
                    </c:extLst>
                    <c:numCache>
                      <c:formatCode>0.0%</c:formatCode>
                      <c:ptCount val="15"/>
                      <c:pt idx="0">
                        <c:v>3.652173913043482E-2</c:v>
                      </c:pt>
                      <c:pt idx="1">
                        <c:v>2.9268292682926855E-2</c:v>
                      </c:pt>
                      <c:pt idx="2">
                        <c:v>-2.7466937945066151E-2</c:v>
                      </c:pt>
                      <c:pt idx="3">
                        <c:v>0.23043478260869574</c:v>
                      </c:pt>
                      <c:pt idx="4">
                        <c:v>0.10382513661202196</c:v>
                      </c:pt>
                      <c:pt idx="5">
                        <c:v>8.6956521739130391E-2</c:v>
                      </c:pt>
                      <c:pt idx="6">
                        <c:v>3.2828282828282714E-2</c:v>
                      </c:pt>
                      <c:pt idx="7">
                        <c:v>1.6428571428571428</c:v>
                      </c:pt>
                      <c:pt idx="8">
                        <c:v>0.12177121771217701</c:v>
                      </c:pt>
                      <c:pt idx="9">
                        <c:v>-3.1180400890868622E-2</c:v>
                      </c:pt>
                      <c:pt idx="10">
                        <c:v>-8.6805555555555646E-3</c:v>
                      </c:pt>
                      <c:pt idx="11">
                        <c:v>7.3770491803278757E-2</c:v>
                      </c:pt>
                      <c:pt idx="12">
                        <c:v>0</c:v>
                      </c:pt>
                      <c:pt idx="13">
                        <c:v>0</c:v>
                      </c:pt>
                      <c:pt idx="14">
                        <c:v>6.3559322033898372E-2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B-2DF7-477F-8202-EB1FA254D8EC}"/>
                  </c:ext>
                </c:extLst>
              </c15:ser>
            </c15:filteredScatterSeries>
            <c15:filteredScatterSeries>
              <c15:ser>
                <c:idx val="8"/>
                <c:order val="3"/>
                <c:tx>
                  <c:strRef>
                    <c:extLst xmlns:c15="http://schemas.microsoft.com/office/drawing/2012/chart">
                      <c:ext xmlns:c15="http://schemas.microsoft.com/office/drawing/2012/chart" uri="{02D57815-91ED-43cb-92C2-25804820EDAC}">
                        <c15:formulaRef>
                          <c15:sqref>'FINAL Chart CCO state only_Span'!$N$1</c15:sqref>
                        </c15:formulaRef>
                      </c:ext>
                    </c:extLst>
                    <c:strCache>
                      <c:ptCount val="1"/>
                      <c:pt idx="0">
                        <c:v>Columbia Pacific</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1C-2DF7-477F-8202-EB1FA254D8EC}"/>
                    </c:ext>
                  </c:extLst>
                </c:dPt>
                <c:xVal>
                  <c:numRef>
                    <c:extLst xmlns:c15="http://schemas.microsoft.com/office/drawing/2012/chart">
                      <c:ext xmlns:c15="http://schemas.microsoft.com/office/drawing/2012/chart" uri="{02D57815-91ED-43cb-92C2-25804820EDAC}">
                        <c15:formulaRef>
                          <c15:sqref>'FINAL Chart CCO state only_Span'!$N$2:$N$16</c15:sqref>
                        </c15:formulaRef>
                      </c:ext>
                    </c:extLst>
                    <c:numCache>
                      <c:formatCode>0.0%</c:formatCode>
                      <c:ptCount val="15"/>
                      <c:pt idx="0">
                        <c:v>7.8286558345642437E-2</c:v>
                      </c:pt>
                      <c:pt idx="1">
                        <c:v>4.0650406504065074E-2</c:v>
                      </c:pt>
                      <c:pt idx="2">
                        <c:v>-0.12365591397849458</c:v>
                      </c:pt>
                      <c:pt idx="3">
                        <c:v>4.587155963302756E-3</c:v>
                      </c:pt>
                      <c:pt idx="4">
                        <c:v>8.1481481481481349E-2</c:v>
                      </c:pt>
                      <c:pt idx="5">
                        <c:v>-1.0899182561307912E-2</c:v>
                      </c:pt>
                      <c:pt idx="6">
                        <c:v>0.2290748898678415</c:v>
                      </c:pt>
                      <c:pt idx="7">
                        <c:v>0.32653061224489793</c:v>
                      </c:pt>
                      <c:pt idx="8">
                        <c:v>-9.3749999999999903E-2</c:v>
                      </c:pt>
                      <c:pt idx="9">
                        <c:v>2.5462962962962986E-2</c:v>
                      </c:pt>
                      <c:pt idx="10">
                        <c:v>-4.7706422018348661E-2</c:v>
                      </c:pt>
                      <c:pt idx="11">
                        <c:v>-5.1813471502590728E-3</c:v>
                      </c:pt>
                      <c:pt idx="12">
                        <c:v>0</c:v>
                      </c:pt>
                      <c:pt idx="13">
                        <c:v>0</c:v>
                      </c:pt>
                      <c:pt idx="14">
                        <c:v>0.10231023102310241</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D-2DF7-477F-8202-EB1FA254D8EC}"/>
                  </c:ext>
                </c:extLst>
              </c15:ser>
            </c15:filteredScatterSeries>
            <c15:filteredScatterSeries>
              <c15:ser>
                <c:idx val="9"/>
                <c:order val="4"/>
                <c:tx>
                  <c:strRef>
                    <c:extLst xmlns:c15="http://schemas.microsoft.com/office/drawing/2012/chart">
                      <c:ext xmlns:c15="http://schemas.microsoft.com/office/drawing/2012/chart" uri="{02D57815-91ED-43cb-92C2-25804820EDAC}">
                        <c15:formulaRef>
                          <c15:sqref>'FINAL Chart CCO state only_Span'!$O$1</c15:sqref>
                        </c15:formulaRef>
                      </c:ext>
                    </c:extLst>
                    <c:strCache>
                      <c:ptCount val="1"/>
                      <c:pt idx="0">
                        <c:v>Eastern Oregon CCO</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only_Span'!$O$2:$O$16</c15:sqref>
                        </c15:formulaRef>
                      </c:ext>
                    </c:extLst>
                    <c:numCache>
                      <c:formatCode>0.0%</c:formatCode>
                      <c:ptCount val="15"/>
                      <c:pt idx="0">
                        <c:v>8.8150289017341121E-2</c:v>
                      </c:pt>
                      <c:pt idx="1">
                        <c:v>-5.1127819548872223E-2</c:v>
                      </c:pt>
                      <c:pt idx="2">
                        <c:v>-4.136504653567739E-3</c:v>
                      </c:pt>
                      <c:pt idx="3">
                        <c:v>0.12019230769230767</c:v>
                      </c:pt>
                      <c:pt idx="4">
                        <c:v>7.4074074074074138E-3</c:v>
                      </c:pt>
                      <c:pt idx="5">
                        <c:v>-1.3586956521739142E-2</c:v>
                      </c:pt>
                      <c:pt idx="6">
                        <c:v>4.021447721179628E-2</c:v>
                      </c:pt>
                      <c:pt idx="7">
                        <c:v>-0.27272727272727271</c:v>
                      </c:pt>
                      <c:pt idx="8">
                        <c:v>-4.9019607843137303E-2</c:v>
                      </c:pt>
                      <c:pt idx="9">
                        <c:v>4.2713567839195873E-2</c:v>
                      </c:pt>
                      <c:pt idx="10">
                        <c:v>-3.3485540334855429E-2</c:v>
                      </c:pt>
                      <c:pt idx="11">
                        <c:v>-2.1186440677966122E-2</c:v>
                      </c:pt>
                      <c:pt idx="12">
                        <c:v>0</c:v>
                      </c:pt>
                      <c:pt idx="13">
                        <c:v>0</c:v>
                      </c:pt>
                      <c:pt idx="14">
                        <c:v>3.3724340175952945E-2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E-2DF7-477F-8202-EB1FA254D8EC}"/>
                  </c:ext>
                </c:extLst>
              </c15:ser>
            </c15:filteredScatterSeries>
            <c15:filteredScatterSeries>
              <c15:ser>
                <c:idx val="10"/>
                <c:order val="5"/>
                <c:tx>
                  <c:strRef>
                    <c:extLst xmlns:c15="http://schemas.microsoft.com/office/drawing/2012/chart">
                      <c:ext xmlns:c15="http://schemas.microsoft.com/office/drawing/2012/chart" uri="{02D57815-91ED-43cb-92C2-25804820EDAC}">
                        <c15:formulaRef>
                          <c15:sqref>'FINAL Chart CCO state only_Span'!$P$1</c15:sqref>
                        </c15:formulaRef>
                      </c:ext>
                    </c:extLst>
                    <c:strCache>
                      <c:ptCount val="1"/>
                      <c:pt idx="0">
                        <c:v>Health Share of Oregon</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only_Span'!$P$2:$P$16</c15:sqref>
                        </c15:formulaRef>
                      </c:ext>
                    </c:extLst>
                    <c:numCache>
                      <c:formatCode>0.0%</c:formatCode>
                      <c:ptCount val="15"/>
                      <c:pt idx="0">
                        <c:v>4.8850574712643723E-2</c:v>
                      </c:pt>
                      <c:pt idx="1">
                        <c:v>6.5040650406504126E-3</c:v>
                      </c:pt>
                      <c:pt idx="2">
                        <c:v>-5.3304904051171571E-3</c:v>
                      </c:pt>
                      <c:pt idx="3">
                        <c:v>6.3025210084033556E-2</c:v>
                      </c:pt>
                      <c:pt idx="4">
                        <c:v>6.7039106145251465E-2</c:v>
                      </c:pt>
                      <c:pt idx="5">
                        <c:v>-1.075268817204302E-2</c:v>
                      </c:pt>
                      <c:pt idx="6">
                        <c:v>7.9081632653061146E-2</c:v>
                      </c:pt>
                      <c:pt idx="7">
                        <c:v>0.22784810126582281</c:v>
                      </c:pt>
                      <c:pt idx="8">
                        <c:v>7.4675324675324742E-2</c:v>
                      </c:pt>
                      <c:pt idx="9">
                        <c:v>-1.2485811577752566E-2</c:v>
                      </c:pt>
                      <c:pt idx="10">
                        <c:v>3.6423841059602682E-2</c:v>
                      </c:pt>
                      <c:pt idx="11">
                        <c:v>4.1806020066889674E-2</c:v>
                      </c:pt>
                      <c:pt idx="12">
                        <c:v>0</c:v>
                      </c:pt>
                      <c:pt idx="13">
                        <c:v>0</c:v>
                      </c:pt>
                      <c:pt idx="14">
                        <c:v>4.4349070100143106E-2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1F-2DF7-477F-8202-EB1FA254D8EC}"/>
                  </c:ext>
                </c:extLst>
              </c15:ser>
            </c15:filteredScatterSeries>
            <c15:filteredScatterSeries>
              <c15:ser>
                <c:idx val="11"/>
                <c:order val="6"/>
                <c:tx>
                  <c:strRef>
                    <c:extLst xmlns:c15="http://schemas.microsoft.com/office/drawing/2012/chart">
                      <c:ext xmlns:c15="http://schemas.microsoft.com/office/drawing/2012/chart" uri="{02D57815-91ED-43cb-92C2-25804820EDAC}">
                        <c15:formulaRef>
                          <c15:sqref>'FINAL Chart CCO state only_Span'!$Q$1</c15:sqref>
                        </c15:formulaRef>
                      </c:ext>
                    </c:extLst>
                    <c:strCache>
                      <c:ptCount val="1"/>
                      <c:pt idx="0">
                        <c:v>InterCommunity Health Network</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0-2DF7-477F-8202-EB1FA254D8EC}"/>
                    </c:ext>
                  </c:extLst>
                </c:dPt>
                <c:xVal>
                  <c:numRef>
                    <c:extLst xmlns:c15="http://schemas.microsoft.com/office/drawing/2012/chart">
                      <c:ext xmlns:c15="http://schemas.microsoft.com/office/drawing/2012/chart" uri="{02D57815-91ED-43cb-92C2-25804820EDAC}">
                        <c15:formulaRef>
                          <c15:sqref>'FINAL Chart CCO state only_Span'!$Q$2:$Q$16</c15:sqref>
                        </c15:formulaRef>
                      </c:ext>
                    </c:extLst>
                    <c:numCache>
                      <c:formatCode>0.0%</c:formatCode>
                      <c:ptCount val="15"/>
                      <c:pt idx="0">
                        <c:v>0.10276679841897242</c:v>
                      </c:pt>
                      <c:pt idx="1">
                        <c:v>-5.8346839546191298E-2</c:v>
                      </c:pt>
                      <c:pt idx="2">
                        <c:v>4.4340723453909027E-2</c:v>
                      </c:pt>
                      <c:pt idx="3">
                        <c:v>9.9290780141843879E-2</c:v>
                      </c:pt>
                      <c:pt idx="4">
                        <c:v>4.7368421052631622E-2</c:v>
                      </c:pt>
                      <c:pt idx="5">
                        <c:v>9.9216710182767565E-2</c:v>
                      </c:pt>
                      <c:pt idx="6">
                        <c:v>0.15151515151515152</c:v>
                      </c:pt>
                      <c:pt idx="7">
                        <c:v>2.4545454545454546</c:v>
                      </c:pt>
                      <c:pt idx="8">
                        <c:v>4.2553191489361746E-3</c:v>
                      </c:pt>
                      <c:pt idx="9">
                        <c:v>1.3872832369942209E-2</c:v>
                      </c:pt>
                      <c:pt idx="10">
                        <c:v>5.3054662379421268E-2</c:v>
                      </c:pt>
                      <c:pt idx="11">
                        <c:v>2.5796661608497747E-2</c:v>
                      </c:pt>
                      <c:pt idx="12">
                        <c:v>0</c:v>
                      </c:pt>
                      <c:pt idx="13">
                        <c:v>0</c:v>
                      </c:pt>
                      <c:pt idx="14">
                        <c:v>6.4971751412429446E-2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1-2DF7-477F-8202-EB1FA254D8EC}"/>
                  </c:ext>
                </c:extLst>
              </c15:ser>
            </c15:filteredScatterSeries>
            <c15:filteredScatterSeries>
              <c15:ser>
                <c:idx val="12"/>
                <c:order val="7"/>
                <c:tx>
                  <c:strRef>
                    <c:extLst xmlns:c15="http://schemas.microsoft.com/office/drawing/2012/chart">
                      <c:ext xmlns:c15="http://schemas.microsoft.com/office/drawing/2012/chart" uri="{02D57815-91ED-43cb-92C2-25804820EDAC}">
                        <c15:formulaRef>
                          <c15:sqref>'FINAL Chart CCO state only_Span'!$R$1</c15:sqref>
                        </c15:formulaRef>
                      </c:ext>
                    </c:extLst>
                    <c:strCache>
                      <c:ptCount val="1"/>
                      <c:pt idx="0">
                        <c:v>Jackson Care Connect</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only_Span'!$R$2:$R$16</c15:sqref>
                        </c15:formulaRef>
                      </c:ext>
                    </c:extLst>
                    <c:numCache>
                      <c:formatCode>0.0%</c:formatCode>
                      <c:ptCount val="15"/>
                      <c:pt idx="0">
                        <c:v>3.9113428943937455E-2</c:v>
                      </c:pt>
                      <c:pt idx="1">
                        <c:v>5.2336448598130678E-2</c:v>
                      </c:pt>
                      <c:pt idx="2">
                        <c:v>9.5948827292110968E-3</c:v>
                      </c:pt>
                      <c:pt idx="3">
                        <c:v>5.9090909090909145E-2</c:v>
                      </c:pt>
                      <c:pt idx="4">
                        <c:v>-1.8292682926829285E-2</c:v>
                      </c:pt>
                      <c:pt idx="5">
                        <c:v>-8.8636363636363583E-2</c:v>
                      </c:pt>
                      <c:pt idx="6">
                        <c:v>1.7006802721088451E-2</c:v>
                      </c:pt>
                      <c:pt idx="7">
                        <c:v>-4.5045045045045085E-2</c:v>
                      </c:pt>
                      <c:pt idx="8">
                        <c:v>-2.1276595744680674E-2</c:v>
                      </c:pt>
                      <c:pt idx="9">
                        <c:v>1.7123287671232893E-2</c:v>
                      </c:pt>
                      <c:pt idx="10">
                        <c:v>0</c:v>
                      </c:pt>
                      <c:pt idx="11">
                        <c:v>-7.5642965204236069E-3</c:v>
                      </c:pt>
                      <c:pt idx="12">
                        <c:v>0</c:v>
                      </c:pt>
                      <c:pt idx="13">
                        <c:v>0</c:v>
                      </c:pt>
                      <c:pt idx="14">
                        <c:v>3.3182503770739093E-2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2-2DF7-477F-8202-EB1FA254D8EC}"/>
                  </c:ext>
                </c:extLst>
              </c15:ser>
            </c15:filteredScatterSeries>
            <c15:filteredScatterSeries>
              <c15:ser>
                <c:idx val="13"/>
                <c:order val="8"/>
                <c:tx>
                  <c:strRef>
                    <c:extLst xmlns:c15="http://schemas.microsoft.com/office/drawing/2012/chart">
                      <c:ext xmlns:c15="http://schemas.microsoft.com/office/drawing/2012/chart" uri="{02D57815-91ED-43cb-92C2-25804820EDAC}">
                        <c15:formulaRef>
                          <c15:sqref>'FINAL Chart CCO state only_Span'!$S$1</c15:sqref>
                        </c15:formulaRef>
                      </c:ext>
                    </c:extLst>
                    <c:strCache>
                      <c:ptCount val="1"/>
                      <c:pt idx="0">
                        <c:v>PacificSource Central</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only_Span'!$S$2:$S$16</c15:sqref>
                        </c15:formulaRef>
                      </c:ext>
                    </c:extLst>
                    <c:numCache>
                      <c:formatCode>0.0%</c:formatCode>
                      <c:ptCount val="15"/>
                      <c:pt idx="0">
                        <c:v>1.1612903225806461E-2</c:v>
                      </c:pt>
                      <c:pt idx="1">
                        <c:v>-4.7775947281713388E-2</c:v>
                      </c:pt>
                      <c:pt idx="2">
                        <c:v>0.31470588235294111</c:v>
                      </c:pt>
                      <c:pt idx="3">
                        <c:v>0.12135922330097085</c:v>
                      </c:pt>
                      <c:pt idx="4">
                        <c:v>4.0229885057471305E-2</c:v>
                      </c:pt>
                      <c:pt idx="5">
                        <c:v>2.2443890274314093E-2</c:v>
                      </c:pt>
                      <c:pt idx="6">
                        <c:v>3.8147138964577693E-2</c:v>
                      </c:pt>
                      <c:pt idx="7">
                        <c:v>-0.13698630136986295</c:v>
                      </c:pt>
                      <c:pt idx="8">
                        <c:v>-0.1076388888888888</c:v>
                      </c:pt>
                      <c:pt idx="9">
                        <c:v>1.3777267508610804E-2</c:v>
                      </c:pt>
                      <c:pt idx="10">
                        <c:v>-1.5151515151515166E-2</c:v>
                      </c:pt>
                      <c:pt idx="11">
                        <c:v>-4.5662100456621045E-3</c:v>
                      </c:pt>
                      <c:pt idx="12">
                        <c:v>0</c:v>
                      </c:pt>
                      <c:pt idx="13">
                        <c:v>0</c:v>
                      </c:pt>
                      <c:pt idx="14">
                        <c:v>1.4627659574468098E-2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3-2DF7-477F-8202-EB1FA254D8EC}"/>
                  </c:ext>
                </c:extLst>
              </c15:ser>
            </c15:filteredScatterSeries>
            <c15:filteredScatterSeries>
              <c15:ser>
                <c:idx val="14"/>
                <c:order val="9"/>
                <c:tx>
                  <c:strRef>
                    <c:extLst xmlns:c15="http://schemas.microsoft.com/office/drawing/2012/chart">
                      <c:ext xmlns:c15="http://schemas.microsoft.com/office/drawing/2012/chart" uri="{02D57815-91ED-43cb-92C2-25804820EDAC}">
                        <c15:formulaRef>
                          <c15:sqref>'FINAL Chart CCO state only_Span'!$T$1</c15:sqref>
                        </c15:formulaRef>
                      </c:ext>
                    </c:extLst>
                    <c:strCache>
                      <c:ptCount val="1"/>
                      <c:pt idx="0">
                        <c:v>PacificSource Gorge</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4-2DF7-477F-8202-EB1FA254D8EC}"/>
                    </c:ext>
                  </c:extLst>
                </c:dPt>
                <c:xVal>
                  <c:numRef>
                    <c:extLst xmlns:c15="http://schemas.microsoft.com/office/drawing/2012/chart">
                      <c:ext xmlns:c15="http://schemas.microsoft.com/office/drawing/2012/chart" uri="{02D57815-91ED-43cb-92C2-25804820EDAC}">
                        <c15:formulaRef>
                          <c15:sqref>'FINAL Chart CCO state only_Span'!$T$2:$T$16</c15:sqref>
                        </c15:formulaRef>
                      </c:ext>
                    </c:extLst>
                    <c:numCache>
                      <c:formatCode>0.0%</c:formatCode>
                      <c:ptCount val="15"/>
                      <c:pt idx="0">
                        <c:v>0.10374149659863956</c:v>
                      </c:pt>
                      <c:pt idx="1">
                        <c:v>7.3649754500818398E-2</c:v>
                      </c:pt>
                      <c:pt idx="2">
                        <c:v>5.9322033898305142E-2</c:v>
                      </c:pt>
                      <c:pt idx="3">
                        <c:v>5.1020408163265345E-3</c:v>
                      </c:pt>
                      <c:pt idx="4">
                        <c:v>-0.23684210526315796</c:v>
                      </c:pt>
                      <c:pt idx="5">
                        <c:v>-0.18840579710144914</c:v>
                      </c:pt>
                      <c:pt idx="6">
                        <c:v>-5.0505050505050553E-2</c:v>
                      </c:pt>
                      <c:pt idx="7">
                        <c:v>11.533333333333333</c:v>
                      </c:pt>
                      <c:pt idx="8">
                        <c:v>0.1688311688311688</c:v>
                      </c:pt>
                      <c:pt idx="9">
                        <c:v>1.0262257696693282E-2</c:v>
                      </c:pt>
                      <c:pt idx="10">
                        <c:v>0.14705882352941169</c:v>
                      </c:pt>
                      <c:pt idx="11">
                        <c:v>3.4954407294832859E-2</c:v>
                      </c:pt>
                      <c:pt idx="12">
                        <c:v>0</c:v>
                      </c:pt>
                      <c:pt idx="13">
                        <c:v>0</c:v>
                      </c:pt>
                      <c:pt idx="14">
                        <c:v>-2.1935483870967762E-2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5-2DF7-477F-8202-EB1FA254D8EC}"/>
                  </c:ext>
                </c:extLst>
              </c15:ser>
            </c15:filteredScatterSeries>
            <c15:filteredScatterSeries>
              <c15:ser>
                <c:idx val="15"/>
                <c:order val="10"/>
                <c:tx>
                  <c:strRef>
                    <c:extLst xmlns:c15="http://schemas.microsoft.com/office/drawing/2012/chart">
                      <c:ext xmlns:c15="http://schemas.microsoft.com/office/drawing/2012/chart" uri="{02D57815-91ED-43cb-92C2-25804820EDAC}">
                        <c15:formulaRef>
                          <c15:sqref>'FINAL Chart CCO state only_Span'!$U$1</c15:sqref>
                        </c15:formulaRef>
                      </c:ext>
                    </c:extLst>
                    <c:strCache>
                      <c:ptCount val="1"/>
                      <c:pt idx="0">
                        <c:v>PacificSource Lane</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only_Span'!$U$2:$U$16</c15:sqref>
                        </c15:formulaRef>
                      </c:ext>
                    </c:extLst>
                    <c:numCache>
                      <c:formatCode>0.0%</c:formatCode>
                      <c:ptCount val="15"/>
                      <c:pt idx="0">
                        <c:v>0.15988779803646563</c:v>
                      </c:pt>
                      <c:pt idx="1">
                        <c:v>4.6801872074883032E-3</c:v>
                      </c:pt>
                      <c:pt idx="2">
                        <c:v>0.1552197802197802</c:v>
                      </c:pt>
                      <c:pt idx="3">
                        <c:v>0.12376237623762386</c:v>
                      </c:pt>
                      <c:pt idx="4">
                        <c:v>0.15286624203821653</c:v>
                      </c:pt>
                      <c:pt idx="5">
                        <c:v>6.0913705583756257E-2</c:v>
                      </c:pt>
                      <c:pt idx="6">
                        <c:v>9.3189964157705973E-2</c:v>
                      </c:pt>
                      <c:pt idx="7">
                        <c:v>4.2735042735042653E-2</c:v>
                      </c:pt>
                      <c:pt idx="8">
                        <c:v>0</c:v>
                      </c:pt>
                      <c:pt idx="9">
                        <c:v>4.5662100456621045E-3</c:v>
                      </c:pt>
                      <c:pt idx="10">
                        <c:v>0.10207336523125989</c:v>
                      </c:pt>
                      <c:pt idx="11">
                        <c:v>3.6603221083455213E-2</c:v>
                      </c:pt>
                      <c:pt idx="12">
                        <c:v>0</c:v>
                      </c:pt>
                      <c:pt idx="13">
                        <c:v>0</c:v>
                      </c:pt>
                      <c:pt idx="14">
                        <c:v>4.0066777963272154E-2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6-2DF7-477F-8202-EB1FA254D8EC}"/>
                  </c:ext>
                </c:extLst>
              </c15:ser>
            </c15:filteredScatterSeries>
            <c15:filteredScatterSeries>
              <c15:ser>
                <c:idx val="16"/>
                <c:order val="11"/>
                <c:tx>
                  <c:strRef>
                    <c:extLst xmlns:c15="http://schemas.microsoft.com/office/drawing/2012/chart">
                      <c:ext xmlns:c15="http://schemas.microsoft.com/office/drawing/2012/chart" uri="{02D57815-91ED-43cb-92C2-25804820EDAC}">
                        <c15:formulaRef>
                          <c15:sqref>'FINAL Chart CCO state only_Span'!$V$1</c15:sqref>
                        </c15:formulaRef>
                      </c:ext>
                    </c:extLst>
                    <c:strCache>
                      <c:ptCount val="1"/>
                      <c:pt idx="0">
                        <c:v>PacificSource Marion Polk</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only_Span'!$V$2:$V$16</c15:sqref>
                        </c15:formulaRef>
                      </c:ext>
                    </c:extLst>
                    <c:numCache>
                      <c:formatCode>0.0%</c:formatCode>
                      <c:ptCount val="15"/>
                      <c:pt idx="0">
                        <c:v>9.7087378640776795E-3</c:v>
                      </c:pt>
                      <c:pt idx="1">
                        <c:v>3.1796502384737707E-3</c:v>
                      </c:pt>
                      <c:pt idx="2">
                        <c:v>-2.685950413223143E-2</c:v>
                      </c:pt>
                      <c:pt idx="3">
                        <c:v>-8.0321285140562328E-3</c:v>
                      </c:pt>
                      <c:pt idx="4">
                        <c:v>-4.7337278106508916E-2</c:v>
                      </c:pt>
                      <c:pt idx="5">
                        <c:v>1.0554089709762543E-2</c:v>
                      </c:pt>
                      <c:pt idx="6">
                        <c:v>9.9730458221024193E-2</c:v>
                      </c:pt>
                      <c:pt idx="7">
                        <c:v>-1.3245033112582794E-2</c:v>
                      </c:pt>
                      <c:pt idx="8">
                        <c:v>5.9479553903345569E-2</c:v>
                      </c:pt>
                      <c:pt idx="9">
                        <c:v>1.8583042973286893E-2</c:v>
                      </c:pt>
                      <c:pt idx="10">
                        <c:v>3.3123028391167222E-2</c:v>
                      </c:pt>
                      <c:pt idx="11">
                        <c:v>3.4632034632034667E-2</c:v>
                      </c:pt>
                      <c:pt idx="12">
                        <c:v>0</c:v>
                      </c:pt>
                      <c:pt idx="13">
                        <c:v>0</c:v>
                      </c:pt>
                      <c:pt idx="14">
                        <c:v>-2.7434842249657088E-3</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7-2DF7-477F-8202-EB1FA254D8EC}"/>
                  </c:ext>
                </c:extLst>
              </c15:ser>
            </c15:filteredScatterSeries>
            <c15:filteredScatterSeries>
              <c15:ser>
                <c:idx val="17"/>
                <c:order val="12"/>
                <c:tx>
                  <c:strRef>
                    <c:extLst xmlns:c15="http://schemas.microsoft.com/office/drawing/2012/chart">
                      <c:ext xmlns:c15="http://schemas.microsoft.com/office/drawing/2012/chart" uri="{02D57815-91ED-43cb-92C2-25804820EDAC}">
                        <c15:formulaRef>
                          <c15:sqref>'FINAL Chart CCO state only_Span'!$W$1</c15:sqref>
                        </c15:formulaRef>
                      </c:ext>
                    </c:extLst>
                    <c:strCache>
                      <c:ptCount val="1"/>
                      <c:pt idx="0">
                        <c:v>Trillium North</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8-2DF7-477F-8202-EB1FA254D8EC}"/>
                    </c:ext>
                  </c:extLst>
                </c:dPt>
                <c:xVal>
                  <c:numRef>
                    <c:extLst xmlns:c15="http://schemas.microsoft.com/office/drawing/2012/chart">
                      <c:ext xmlns:c15="http://schemas.microsoft.com/office/drawing/2012/chart" uri="{02D57815-91ED-43cb-92C2-25804820EDAC}">
                        <c15:formulaRef>
                          <c15:sqref>'FINAL Chart CCO state only_Span'!$W$2:$W$16</c15:sqref>
                        </c15:formulaRef>
                      </c:ext>
                    </c:extLst>
                    <c:numCache>
                      <c:formatCode>0.0%</c:formatCode>
                      <c:ptCount val="15"/>
                      <c:pt idx="0">
                        <c:v>0.14787701317715954</c:v>
                      </c:pt>
                      <c:pt idx="1">
                        <c:v>0.12211981566820275</c:v>
                      </c:pt>
                      <c:pt idx="2">
                        <c:v>0.20048019207683079</c:v>
                      </c:pt>
                      <c:pt idx="3">
                        <c:v>0.26146788990825687</c:v>
                      </c:pt>
                      <c:pt idx="4">
                        <c:v>0.29931972789115657</c:v>
                      </c:pt>
                      <c:pt idx="5">
                        <c:v>6.9716775599128478E-2</c:v>
                      </c:pt>
                      <c:pt idx="6">
                        <c:v>0.29050279329608952</c:v>
                      </c:pt>
                      <c:pt idx="7">
                        <c:v>0.32571428571428584</c:v>
                      </c:pt>
                      <c:pt idx="8">
                        <c:v>0</c:v>
                      </c:pt>
                      <c:pt idx="9">
                        <c:v>0.1053315994798439</c:v>
                      </c:pt>
                      <c:pt idx="10">
                        <c:v>0.17551963048498848</c:v>
                      </c:pt>
                      <c:pt idx="11">
                        <c:v>0.14247311827956988</c:v>
                      </c:pt>
                      <c:pt idx="12">
                        <c:v>0</c:v>
                      </c:pt>
                      <c:pt idx="13">
                        <c:v>0</c:v>
                      </c:pt>
                      <c:pt idx="14">
                        <c:v>0.12601626016260173</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9-2DF7-477F-8202-EB1FA254D8EC}"/>
                  </c:ext>
                </c:extLst>
              </c15:ser>
            </c15:filteredScatterSeries>
            <c15:filteredScatterSeries>
              <c15:ser>
                <c:idx val="18"/>
                <c:order val="13"/>
                <c:tx>
                  <c:strRef>
                    <c:extLst xmlns:c15="http://schemas.microsoft.com/office/drawing/2012/chart">
                      <c:ext xmlns:c15="http://schemas.microsoft.com/office/drawing/2012/chart" uri="{02D57815-91ED-43cb-92C2-25804820EDAC}">
                        <c15:formulaRef>
                          <c15:sqref>'FINAL Chart CCO state only_Span'!$X$1</c15:sqref>
                        </c15:formulaRef>
                      </c:ext>
                    </c:extLst>
                    <c:strCache>
                      <c:ptCount val="1"/>
                      <c:pt idx="0">
                        <c:v>Trillium South</c:v>
                      </c:pt>
                    </c:strCache>
                  </c:strRef>
                </c:tx>
                <c:spPr>
                  <a:ln w="25400" cap="rnd">
                    <a:noFill/>
                    <a:round/>
                  </a:ln>
                  <a:effectLst/>
                </c:spPr>
                <c:marker>
                  <c:symbol val="circle"/>
                  <c:size val="10"/>
                  <c:spPr>
                    <a:solidFill>
                      <a:srgbClr val="F2F2F2"/>
                    </a:solidFill>
                    <a:ln w="9525">
                      <a:solidFill>
                        <a:srgbClr val="606060"/>
                      </a:solidFill>
                    </a:ln>
                    <a:effectLst/>
                  </c:spPr>
                </c:marker>
                <c:xVal>
                  <c:numRef>
                    <c:extLst xmlns:c15="http://schemas.microsoft.com/office/drawing/2012/chart">
                      <c:ext xmlns:c15="http://schemas.microsoft.com/office/drawing/2012/chart" uri="{02D57815-91ED-43cb-92C2-25804820EDAC}">
                        <c15:formulaRef>
                          <c15:sqref>'FINAL Chart CCO state only_Span'!$X$2:$X$16</c15:sqref>
                        </c15:formulaRef>
                      </c:ext>
                    </c:extLst>
                    <c:numCache>
                      <c:formatCode>0.0%</c:formatCode>
                      <c:ptCount val="15"/>
                      <c:pt idx="0">
                        <c:v>9.8648648648648585E-2</c:v>
                      </c:pt>
                      <c:pt idx="1">
                        <c:v>2.7075812274368054E-2</c:v>
                      </c:pt>
                      <c:pt idx="2">
                        <c:v>0.31754874651810583</c:v>
                      </c:pt>
                      <c:pt idx="3">
                        <c:v>-9.7826086956521827E-2</c:v>
                      </c:pt>
                      <c:pt idx="4">
                        <c:v>1.1299435028248598E-2</c:v>
                      </c:pt>
                      <c:pt idx="5">
                        <c:v>9.7799511002445074E-3</c:v>
                      </c:pt>
                      <c:pt idx="6">
                        <c:v>-7.6923076923076988E-3</c:v>
                      </c:pt>
                      <c:pt idx="7">
                        <c:v>-6.0810810810810682E-2</c:v>
                      </c:pt>
                      <c:pt idx="8">
                        <c:v>3.5842293906810066E-3</c:v>
                      </c:pt>
                      <c:pt idx="9">
                        <c:v>1.1494252873563229E-2</c:v>
                      </c:pt>
                      <c:pt idx="10">
                        <c:v>4.4334975369458171E-2</c:v>
                      </c:pt>
                      <c:pt idx="11">
                        <c:v>1.5050167224080282E-2</c:v>
                      </c:pt>
                      <c:pt idx="12">
                        <c:v>0</c:v>
                      </c:pt>
                      <c:pt idx="13">
                        <c:v>0</c:v>
                      </c:pt>
                      <c:pt idx="14">
                        <c:v>-2.1558872305140982E-2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A-2DF7-477F-8202-EB1FA254D8EC}"/>
                  </c:ext>
                </c:extLst>
              </c15:ser>
            </c15:filteredScatterSeries>
            <c15:filteredScatterSeries>
              <c15:ser>
                <c:idx val="19"/>
                <c:order val="14"/>
                <c:tx>
                  <c:strRef>
                    <c:extLst xmlns:c15="http://schemas.microsoft.com/office/drawing/2012/chart">
                      <c:ext xmlns:c15="http://schemas.microsoft.com/office/drawing/2012/chart" uri="{02D57815-91ED-43cb-92C2-25804820EDAC}">
                        <c15:formulaRef>
                          <c15:sqref>'FINAL Chart CCO state only_Span'!$Y$1</c15:sqref>
                        </c15:formulaRef>
                      </c:ext>
                    </c:extLst>
                    <c:strCache>
                      <c:ptCount val="1"/>
                      <c:pt idx="0">
                        <c:v>Umpqua Health Alliance</c:v>
                      </c:pt>
                    </c:strCache>
                  </c:strRef>
                </c:tx>
                <c:spPr>
                  <a:ln w="25400" cap="rnd">
                    <a:noFill/>
                    <a:round/>
                  </a:ln>
                  <a:effectLst/>
                </c:spPr>
                <c:marker>
                  <c:symbol val="circle"/>
                  <c:size val="10"/>
                  <c:spPr>
                    <a:solidFill>
                      <a:srgbClr val="F2F2F2"/>
                    </a:solidFill>
                    <a:ln w="9525">
                      <a:solidFill>
                        <a:srgbClr val="606060"/>
                      </a:solidFill>
                    </a:ln>
                    <a:effectLst/>
                  </c:spPr>
                </c:marker>
                <c:dPt>
                  <c:idx val="7"/>
                  <c:marker>
                    <c:symbol val="triangle"/>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B-2DF7-477F-8202-EB1FA254D8EC}"/>
                    </c:ext>
                  </c:extLst>
                </c:dPt>
                <c:xVal>
                  <c:numRef>
                    <c:extLst xmlns:c15="http://schemas.microsoft.com/office/drawing/2012/chart">
                      <c:ext xmlns:c15="http://schemas.microsoft.com/office/drawing/2012/chart" uri="{02D57815-91ED-43cb-92C2-25804820EDAC}">
                        <c15:formulaRef>
                          <c15:sqref>'FINAL Chart CCO state only_Span'!$Y$2:$Y$16</c15:sqref>
                        </c15:formulaRef>
                      </c:ext>
                    </c:extLst>
                    <c:numCache>
                      <c:formatCode>0.0%</c:formatCode>
                      <c:ptCount val="15"/>
                      <c:pt idx="0">
                        <c:v>3.8406827880512126E-2</c:v>
                      </c:pt>
                      <c:pt idx="1">
                        <c:v>4.0462427745664775E-2</c:v>
                      </c:pt>
                      <c:pt idx="2">
                        <c:v>-3.6119711042311577E-2</c:v>
                      </c:pt>
                      <c:pt idx="3">
                        <c:v>9.3617021276595713E-2</c:v>
                      </c:pt>
                      <c:pt idx="4">
                        <c:v>0.2119205298013245</c:v>
                      </c:pt>
                      <c:pt idx="5">
                        <c:v>0.10497237569060783</c:v>
                      </c:pt>
                      <c:pt idx="6">
                        <c:v>0.18146718146718141</c:v>
                      </c:pt>
                      <c:pt idx="7">
                        <c:v>0.73417721518987356</c:v>
                      </c:pt>
                      <c:pt idx="8">
                        <c:v>-5.7377049180327919E-2</c:v>
                      </c:pt>
                      <c:pt idx="9">
                        <c:v>2.5056947608200479E-2</c:v>
                      </c:pt>
                      <c:pt idx="10">
                        <c:v>-3.3557046979865801E-3</c:v>
                      </c:pt>
                      <c:pt idx="11">
                        <c:v>-2.1186440677966122E-2</c:v>
                      </c:pt>
                      <c:pt idx="12">
                        <c:v>0</c:v>
                      </c:pt>
                      <c:pt idx="13">
                        <c:v>0</c:v>
                      </c:pt>
                      <c:pt idx="14">
                        <c:v>1.7241379310344841E-2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C-2DF7-477F-8202-EB1FA254D8EC}"/>
                  </c:ext>
                </c:extLst>
              </c15:ser>
            </c15:filteredScatterSeries>
            <c15:filteredScatterSeries>
              <c15:ser>
                <c:idx val="20"/>
                <c:order val="15"/>
                <c:tx>
                  <c:strRef>
                    <c:extLst xmlns:c15="http://schemas.microsoft.com/office/drawing/2012/chart">
                      <c:ext xmlns:c15="http://schemas.microsoft.com/office/drawing/2012/chart" uri="{02D57815-91ED-43cb-92C2-25804820EDAC}">
                        <c15:formulaRef>
                          <c15:sqref>'FINAL Chart CCO state only_Span'!$Z$1</c15:sqref>
                        </c15:formulaRef>
                      </c:ext>
                    </c:extLst>
                    <c:strCache>
                      <c:ptCount val="1"/>
                      <c:pt idx="0">
                        <c:v>Individual CCO</c:v>
                      </c:pt>
                    </c:strCache>
                  </c:strRef>
                </c:tx>
                <c:spPr>
                  <a:ln w="25400" cap="rnd">
                    <a:noFill/>
                    <a:round/>
                  </a:ln>
                  <a:effectLst/>
                </c:spPr>
                <c:marker>
                  <c:symbol val="circle"/>
                  <c:size val="10"/>
                  <c:spPr>
                    <a:solidFill>
                      <a:srgbClr val="F2F2F2"/>
                    </a:solidFill>
                    <a:ln w="9525">
                      <a:solidFill>
                        <a:srgbClr val="606060"/>
                      </a:solidFill>
                    </a:ln>
                    <a:effectLst/>
                  </c:spPr>
                </c:marker>
                <c:dPt>
                  <c:idx val="2"/>
                  <c:marker>
                    <c:symbol val="diamond"/>
                    <c:size val="10"/>
                    <c:spPr>
                      <a:solidFill>
                        <a:srgbClr val="F2F2F2"/>
                      </a:solidFill>
                      <a:ln w="9525">
                        <a:solidFill>
                          <a:srgbClr val="606060"/>
                        </a:solidFill>
                      </a:ln>
                      <a:effectLst/>
                    </c:spPr>
                  </c:marker>
                  <c:bubble3D val="0"/>
                  <c:extLst xmlns:c15="http://schemas.microsoft.com/office/drawing/2012/chart">
                    <c:ext xmlns:c16="http://schemas.microsoft.com/office/drawing/2014/chart" uri="{C3380CC4-5D6E-409C-BE32-E72D297353CC}">
                      <c16:uniqueId val="{0000002D-2DF7-477F-8202-EB1FA254D8EC}"/>
                    </c:ext>
                  </c:extLst>
                </c:dPt>
                <c:xVal>
                  <c:numRef>
                    <c:extLst xmlns:c15="http://schemas.microsoft.com/office/drawing/2012/chart">
                      <c:ext xmlns:c15="http://schemas.microsoft.com/office/drawing/2012/chart" uri="{02D57815-91ED-43cb-92C2-25804820EDAC}">
                        <c15:formulaRef>
                          <c15:sqref>'FINAL Chart CCO state only_Span'!$Z$2:$Z$16</c15:sqref>
                        </c15:formulaRef>
                      </c:ext>
                    </c:extLst>
                    <c:numCache>
                      <c:formatCode>0.0%</c:formatCode>
                      <c:ptCount val="15"/>
                      <c:pt idx="0">
                        <c:v>5.3435114503816696E-2</c:v>
                      </c:pt>
                      <c:pt idx="1">
                        <c:v>1.4423076923076936E-2</c:v>
                      </c:pt>
                      <c:pt idx="2">
                        <c:v>-7.276507276507283E-3</c:v>
                      </c:pt>
                      <c:pt idx="3">
                        <c:v>-0.14432989690721648</c:v>
                      </c:pt>
                      <c:pt idx="4">
                        <c:v>0.29577464788732405</c:v>
                      </c:pt>
                      <c:pt idx="5">
                        <c:v>7.9019073569482359E-2</c:v>
                      </c:pt>
                      <c:pt idx="6">
                        <c:v>3.5175879396984813E-2</c:v>
                      </c:pt>
                      <c:pt idx="7">
                        <c:v>-0.10970464135021096</c:v>
                      </c:pt>
                      <c:pt idx="8">
                        <c:v>7.4534161490683121E-2</c:v>
                      </c:pt>
                      <c:pt idx="9">
                        <c:v>3.3681765389082491E-2</c:v>
                      </c:pt>
                      <c:pt idx="10">
                        <c:v>0.11190053285968039</c:v>
                      </c:pt>
                      <c:pt idx="11">
                        <c:v>5.0000000000000044E-2</c:v>
                      </c:pt>
                      <c:pt idx="12">
                        <c:v>0</c:v>
                      </c:pt>
                      <c:pt idx="13">
                        <c:v>0</c:v>
                      </c:pt>
                      <c:pt idx="14">
                        <c:v>3.3566433566433601E-2</c:v>
                      </c:pt>
                    </c:numCache>
                  </c:numRef>
                </c:xVal>
                <c:yVal>
                  <c:numRef>
                    <c:extLst xmlns:c15="http://schemas.microsoft.com/office/drawing/2012/chart">
                      <c:ext xmlns:c15="http://schemas.microsoft.com/office/drawing/2012/chart" uri="{02D57815-91ED-43cb-92C2-25804820EDAC}">
                        <c15:formulaRef>
                          <c15:sqref>'FINAL Chart CCO state only_Span'!$C$2:$C$16</c15:sqref>
                        </c15:formulaRef>
                      </c:ext>
                    </c:extLst>
                    <c:numCache>
                      <c:formatCode>General</c:formatCode>
                      <c:ptCount val="15"/>
                      <c:pt idx="0">
                        <c:v>10</c:v>
                      </c:pt>
                      <c:pt idx="1">
                        <c:v>1</c:v>
                      </c:pt>
                      <c:pt idx="2">
                        <c:v>5</c:v>
                      </c:pt>
                      <c:pt idx="3">
                        <c:v>12</c:v>
                      </c:pt>
                      <c:pt idx="4">
                        <c:v>9</c:v>
                      </c:pt>
                      <c:pt idx="5">
                        <c:v>2</c:v>
                      </c:pt>
                      <c:pt idx="6">
                        <c:v>11</c:v>
                      </c:pt>
                      <c:pt idx="7">
                        <c:v>13</c:v>
                      </c:pt>
                      <c:pt idx="8">
                        <c:v>4</c:v>
                      </c:pt>
                      <c:pt idx="9">
                        <c:v>6</c:v>
                      </c:pt>
                      <c:pt idx="10">
                        <c:v>7</c:v>
                      </c:pt>
                      <c:pt idx="11">
                        <c:v>3</c:v>
                      </c:pt>
                      <c:pt idx="12">
                        <c:v>#N/A</c:v>
                      </c:pt>
                      <c:pt idx="13">
                        <c:v>#N/A</c:v>
                      </c:pt>
                      <c:pt idx="14">
                        <c:v>8</c:v>
                      </c:pt>
                    </c:numCache>
                  </c:numRef>
                </c:yVal>
                <c:smooth val="0"/>
                <c:extLst xmlns:c15="http://schemas.microsoft.com/office/drawing/2012/chart">
                  <c:ext xmlns:c16="http://schemas.microsoft.com/office/drawing/2014/chart" uri="{C3380CC4-5D6E-409C-BE32-E72D297353CC}">
                    <c16:uniqueId val="{0000002E-2DF7-477F-8202-EB1FA254D8EC}"/>
                  </c:ext>
                </c:extLst>
              </c15:ser>
            </c15:filteredScatterSeries>
          </c:ext>
        </c:extLst>
      </c:scatterChart>
      <c:valAx>
        <c:axId val="799829584"/>
        <c:scaling>
          <c:orientation val="minMax"/>
          <c:max val="0.27"/>
          <c:min val="-0.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high"/>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799827064"/>
        <c:crosses val="autoZero"/>
        <c:crossBetween val="midCat"/>
        <c:minorUnit val="5.000000000000001E-2"/>
      </c:valAx>
      <c:valAx>
        <c:axId val="799827064"/>
        <c:scaling>
          <c:orientation val="minMax"/>
        </c:scaling>
        <c:delete val="1"/>
        <c:axPos val="l"/>
        <c:numFmt formatCode="General" sourceLinked="1"/>
        <c:majorTickMark val="none"/>
        <c:minorTickMark val="none"/>
        <c:tickLblPos val="nextTo"/>
        <c:crossAx val="799829584"/>
        <c:crosses val="autoZero"/>
        <c:crossBetween val="midCat"/>
      </c:valAx>
      <c:spPr>
        <a:noFill/>
        <a:ln>
          <a:noFill/>
        </a:ln>
        <a:effectLst/>
      </c:spPr>
    </c:plotArea>
    <c:legend>
      <c:legendPos val="b"/>
      <c:legendEntry>
        <c:idx val="0"/>
        <c:delete val="1"/>
      </c:legendEntry>
      <c:legendEntry>
        <c:idx val="4"/>
        <c:delete val="1"/>
      </c:legendEntry>
      <c:legendEntry>
        <c:idx val="5"/>
        <c:delete val="1"/>
      </c:legendEntry>
      <c:layout>
        <c:manualLayout>
          <c:xMode val="edge"/>
          <c:yMode val="edge"/>
          <c:x val="8.6378625748704488E-4"/>
          <c:y val="0.89811789151356081"/>
          <c:w val="0.99613567534827374"/>
          <c:h val="6.0315585551806022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4102872557596977"/>
        </c:manualLayout>
      </c:layout>
      <c:lineChart>
        <c:grouping val="standard"/>
        <c:varyColors val="0"/>
        <c:ser>
          <c:idx val="12"/>
          <c:order val="16"/>
          <c:tx>
            <c:strRef>
              <c:f>DHS!$A$18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cat>
          <c:val>
            <c:numRef>
              <c:f>DHS!$B$18:$O$18</c:f>
              <c:numCache>
                <c:formatCode>0.0%</c:formatCode>
                <c:ptCount val="14"/>
                <c:pt idx="0">
                  <c:v>0.52300000000000002</c:v>
                </c:pt>
                <c:pt idx="1">
                  <c:v>0.55100000000000005</c:v>
                </c:pt>
                <c:pt idx="2">
                  <c:v>0.33299999999999996</c:v>
                </c:pt>
                <c:pt idx="3">
                  <c:v>0.41700000000000004</c:v>
                </c:pt>
                <c:pt idx="4">
                  <c:v>0.55600000000000005</c:v>
                </c:pt>
                <c:pt idx="5">
                  <c:v>0.57100000000000006</c:v>
                </c:pt>
                <c:pt idx="6">
                  <c:v>0.69400000000000006</c:v>
                </c:pt>
                <c:pt idx="7">
                  <c:v>0.84400000000000008</c:v>
                </c:pt>
                <c:pt idx="8">
                  <c:v>0.88200000000000001</c:v>
                </c:pt>
                <c:pt idx="9">
                  <c:v>0.95000000000000007</c:v>
                </c:pt>
                <c:pt idx="10">
                  <c:v>0.91400000000000003</c:v>
                </c:pt>
                <c:pt idx="11">
                  <c:v>0.91700000000000004</c:v>
                </c:pt>
                <c:pt idx="12">
                  <c:v>0.96199999999999997</c:v>
                </c:pt>
                <c:pt idx="13">
                  <c:v>0.95499999999999996</c:v>
                </c:pt>
              </c:numCache>
            </c:numRef>
          </c:val>
          <c:smooth val="0"/>
          <c:extLst>
            <c:ext xmlns:c16="http://schemas.microsoft.com/office/drawing/2014/chart" uri="{C3380CC4-5D6E-409C-BE32-E72D297353CC}">
              <c16:uniqueId val="{00000000-8BB2-4299-AB45-ABD36C897AE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19"/>
          <c:order val="0"/>
          <c:tx>
            <c:strRef>
              <c:f>DHS!$A$2</c:f>
              <c:strCache>
                <c:ptCount val="1"/>
                <c:pt idx="0">
                  <c:v>Advanced Health</c:v>
                </c:pt>
              </c:strCache>
            </c:strRef>
          </c:tx>
          <c:spPr>
            <a:ln w="28575"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DHS!$B$2:$O$2</c:f>
              <c:numCache>
                <c:formatCode>0.0%</c:formatCode>
                <c:ptCount val="14"/>
                <c:pt idx="0">
                  <c:v>0.65099999999999991</c:v>
                </c:pt>
                <c:pt idx="1">
                  <c:v>0.65700000000000003</c:v>
                </c:pt>
                <c:pt idx="2">
                  <c:v>0.49299999999999999</c:v>
                </c:pt>
                <c:pt idx="3">
                  <c:v>0.49600000000000005</c:v>
                </c:pt>
                <c:pt idx="4">
                  <c:v>0.72299999999999998</c:v>
                </c:pt>
                <c:pt idx="5">
                  <c:v>0.91900000000000004</c:v>
                </c:pt>
                <c:pt idx="6">
                  <c:v>0.93500000000000005</c:v>
                </c:pt>
                <c:pt idx="7">
                  <c:v>0.97700000000000009</c:v>
                </c:pt>
                <c:pt idx="8">
                  <c:v>0.78800000000000003</c:v>
                </c:pt>
                <c:pt idx="9">
                  <c:v>0.90300000000000002</c:v>
                </c:pt>
                <c:pt idx="10">
                  <c:v>0.95200000000000007</c:v>
                </c:pt>
                <c:pt idx="11">
                  <c:v>0.95699999999999996</c:v>
                </c:pt>
                <c:pt idx="12">
                  <c:v>0.93899999999999995</c:v>
                </c:pt>
                <c:pt idx="13">
                  <c:v>0.94599999999999995</c:v>
                </c:pt>
              </c:numCache>
            </c:numRef>
          </c:yVal>
          <c:smooth val="0"/>
          <c:extLst>
            <c:ext xmlns:c16="http://schemas.microsoft.com/office/drawing/2014/chart" uri="{C3380CC4-5D6E-409C-BE32-E72D297353CC}">
              <c16:uniqueId val="{00000001-8BB2-4299-AB45-ABD36C897AEE}"/>
            </c:ext>
          </c:extLst>
        </c:ser>
        <c:ser>
          <c:idx val="1"/>
          <c:order val="1"/>
          <c:tx>
            <c:strRef>
              <c:f>DHS!$A$3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DHS!$B$3:$O$3</c:f>
              <c:numCache>
                <c:formatCode>0.0%</c:formatCode>
                <c:ptCount val="14"/>
                <c:pt idx="0">
                  <c:v>0.50700000000000001</c:v>
                </c:pt>
                <c:pt idx="1">
                  <c:v>0.5</c:v>
                </c:pt>
                <c:pt idx="2">
                  <c:v>0.214</c:v>
                </c:pt>
                <c:pt idx="3">
                  <c:v>0.40299999999999997</c:v>
                </c:pt>
                <c:pt idx="4">
                  <c:v>0.53300000000000003</c:v>
                </c:pt>
                <c:pt idx="5">
                  <c:v>0.67500000000000004</c:v>
                </c:pt>
                <c:pt idx="6">
                  <c:v>0.71299999999999997</c:v>
                </c:pt>
                <c:pt idx="7">
                  <c:v>0.77900000000000003</c:v>
                </c:pt>
                <c:pt idx="8">
                  <c:v>0.88600000000000001</c:v>
                </c:pt>
                <c:pt idx="9">
                  <c:v>0.82400000000000007</c:v>
                </c:pt>
                <c:pt idx="10">
                  <c:v>0.76800000000000002</c:v>
                </c:pt>
                <c:pt idx="11">
                  <c:v>0.79300000000000004</c:v>
                </c:pt>
                <c:pt idx="12">
                  <c:v>0.91800000000000004</c:v>
                </c:pt>
                <c:pt idx="13">
                  <c:v>0.81899999999999995</c:v>
                </c:pt>
              </c:numCache>
            </c:numRef>
          </c:yVal>
          <c:smooth val="0"/>
          <c:extLst>
            <c:ext xmlns:c16="http://schemas.microsoft.com/office/drawing/2014/chart" uri="{C3380CC4-5D6E-409C-BE32-E72D297353CC}">
              <c16:uniqueId val="{00000002-8BB2-4299-AB45-ABD36C897AEE}"/>
            </c:ext>
          </c:extLst>
        </c:ser>
        <c:ser>
          <c:idx val="2"/>
          <c:order val="2"/>
          <c:tx>
            <c:strRef>
              <c:f>DHS!$A$4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DHS!$B$4:$O$4</c:f>
              <c:numCache>
                <c:formatCode>0.0%</c:formatCode>
                <c:ptCount val="14"/>
                <c:pt idx="0">
                  <c:v>0.67700000000000005</c:v>
                </c:pt>
                <c:pt idx="1">
                  <c:v>0.69500000000000006</c:v>
                </c:pt>
                <c:pt idx="2">
                  <c:v>0.17399999999999999</c:v>
                </c:pt>
                <c:pt idx="3">
                  <c:v>0.47600000000000003</c:v>
                </c:pt>
                <c:pt idx="4">
                  <c:v>0.72099999999999997</c:v>
                </c:pt>
                <c:pt idx="5">
                  <c:v>0.752</c:v>
                </c:pt>
                <c:pt idx="6">
                  <c:v>0.91500000000000004</c:v>
                </c:pt>
                <c:pt idx="7">
                  <c:v>0.86499999999999999</c:v>
                </c:pt>
                <c:pt idx="8">
                  <c:v>0.79200000000000004</c:v>
                </c:pt>
                <c:pt idx="9">
                  <c:v>0.97299999999999998</c:v>
                </c:pt>
                <c:pt idx="10">
                  <c:v>0.97799999999999998</c:v>
                </c:pt>
                <c:pt idx="11">
                  <c:v>0.91200000000000003</c:v>
                </c:pt>
                <c:pt idx="12">
                  <c:v>0.98299999999999998</c:v>
                </c:pt>
                <c:pt idx="13">
                  <c:v>0.95599999999999996</c:v>
                </c:pt>
              </c:numCache>
            </c:numRef>
          </c:yVal>
          <c:smooth val="0"/>
          <c:extLst>
            <c:ext xmlns:c16="http://schemas.microsoft.com/office/drawing/2014/chart" uri="{C3380CC4-5D6E-409C-BE32-E72D297353CC}">
              <c16:uniqueId val="{00000003-8BB2-4299-AB45-ABD36C897AEE}"/>
            </c:ext>
          </c:extLst>
        </c:ser>
        <c:ser>
          <c:idx val="3"/>
          <c:order val="3"/>
          <c:tx>
            <c:strRef>
              <c:f>DHS!$A$5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DHS!$B$5:$O$5</c:f>
              <c:numCache>
                <c:formatCode>0.0%</c:formatCode>
                <c:ptCount val="14"/>
                <c:pt idx="0">
                  <c:v>0.44900000000000001</c:v>
                </c:pt>
                <c:pt idx="1">
                  <c:v>0.45799999999999996</c:v>
                </c:pt>
                <c:pt idx="2">
                  <c:v>0.36600000000000005</c:v>
                </c:pt>
                <c:pt idx="3">
                  <c:v>0.55200000000000005</c:v>
                </c:pt>
                <c:pt idx="4">
                  <c:v>0.78400000000000003</c:v>
                </c:pt>
                <c:pt idx="5">
                  <c:v>0.68599999999999994</c:v>
                </c:pt>
                <c:pt idx="6">
                  <c:v>0.82500000000000007</c:v>
                </c:pt>
                <c:pt idx="7">
                  <c:v>0.91500000000000004</c:v>
                </c:pt>
                <c:pt idx="8">
                  <c:v>0.88600000000000001</c:v>
                </c:pt>
                <c:pt idx="9">
                  <c:v>0.88700000000000001</c:v>
                </c:pt>
                <c:pt idx="10">
                  <c:v>0.83799999999999997</c:v>
                </c:pt>
                <c:pt idx="11">
                  <c:v>0.68899999999999995</c:v>
                </c:pt>
                <c:pt idx="12">
                  <c:v>0.74399999999999999</c:v>
                </c:pt>
                <c:pt idx="13">
                  <c:v>0.65200000000000002</c:v>
                </c:pt>
              </c:numCache>
            </c:numRef>
          </c:yVal>
          <c:smooth val="0"/>
          <c:extLst>
            <c:ext xmlns:c16="http://schemas.microsoft.com/office/drawing/2014/chart" uri="{C3380CC4-5D6E-409C-BE32-E72D297353CC}">
              <c16:uniqueId val="{00000004-8BB2-4299-AB45-ABD36C897AEE}"/>
            </c:ext>
          </c:extLst>
        </c:ser>
        <c:ser>
          <c:idx val="4"/>
          <c:order val="4"/>
          <c:tx>
            <c:strRef>
              <c:f>DHS!$A$6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DHS!$B$6:$O$6</c:f>
              <c:numCache>
                <c:formatCode>0.0%</c:formatCode>
                <c:ptCount val="14"/>
                <c:pt idx="0">
                  <c:v>0.54500000000000004</c:v>
                </c:pt>
                <c:pt idx="1">
                  <c:v>0.55299999999999994</c:v>
                </c:pt>
                <c:pt idx="2">
                  <c:v>0.32400000000000001</c:v>
                </c:pt>
                <c:pt idx="3">
                  <c:v>0.61499999999999999</c:v>
                </c:pt>
                <c:pt idx="4">
                  <c:v>0.73</c:v>
                </c:pt>
                <c:pt idx="5">
                  <c:v>0.83200000000000007</c:v>
                </c:pt>
                <c:pt idx="6">
                  <c:v>0.81700000000000006</c:v>
                </c:pt>
                <c:pt idx="7">
                  <c:v>0.86699999999999999</c:v>
                </c:pt>
                <c:pt idx="8">
                  <c:v>0.88200000000000001</c:v>
                </c:pt>
                <c:pt idx="9">
                  <c:v>0.91300000000000003</c:v>
                </c:pt>
                <c:pt idx="10">
                  <c:v>0.90400000000000003</c:v>
                </c:pt>
                <c:pt idx="11">
                  <c:v>0.92200000000000004</c:v>
                </c:pt>
                <c:pt idx="12">
                  <c:v>0.96699999999999997</c:v>
                </c:pt>
                <c:pt idx="13">
                  <c:v>0.96299999999999997</c:v>
                </c:pt>
              </c:numCache>
            </c:numRef>
          </c:yVal>
          <c:smooth val="0"/>
          <c:extLst>
            <c:ext xmlns:c16="http://schemas.microsoft.com/office/drawing/2014/chart" uri="{C3380CC4-5D6E-409C-BE32-E72D297353CC}">
              <c16:uniqueId val="{00000005-8BB2-4299-AB45-ABD36C897AEE}"/>
            </c:ext>
          </c:extLst>
        </c:ser>
        <c:ser>
          <c:idx val="5"/>
          <c:order val="5"/>
          <c:tx>
            <c:strRef>
              <c:f>DHS!$A$7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DHS!$B$7:$O$7</c:f>
              <c:numCache>
                <c:formatCode>0.0%</c:formatCode>
                <c:ptCount val="14"/>
                <c:pt idx="0">
                  <c:v>0.51400000000000001</c:v>
                </c:pt>
                <c:pt idx="1">
                  <c:v>0.51700000000000002</c:v>
                </c:pt>
                <c:pt idx="2">
                  <c:v>0.29899999999999999</c:v>
                </c:pt>
                <c:pt idx="3">
                  <c:v>0.66099999999999992</c:v>
                </c:pt>
                <c:pt idx="4">
                  <c:v>0.76200000000000001</c:v>
                </c:pt>
                <c:pt idx="5">
                  <c:v>0.88500000000000001</c:v>
                </c:pt>
                <c:pt idx="6">
                  <c:v>0.86499999999999999</c:v>
                </c:pt>
                <c:pt idx="7">
                  <c:v>0.90700000000000003</c:v>
                </c:pt>
                <c:pt idx="8">
                  <c:v>0.81500000000000006</c:v>
                </c:pt>
                <c:pt idx="9">
                  <c:v>0.83099999999999996</c:v>
                </c:pt>
                <c:pt idx="10">
                  <c:v>0.88700000000000001</c:v>
                </c:pt>
                <c:pt idx="11">
                  <c:v>0.88900000000000001</c:v>
                </c:pt>
                <c:pt idx="12">
                  <c:v>0.93799999999999994</c:v>
                </c:pt>
                <c:pt idx="13">
                  <c:v>0.93300000000000005</c:v>
                </c:pt>
              </c:numCache>
            </c:numRef>
          </c:yVal>
          <c:smooth val="0"/>
          <c:extLst>
            <c:ext xmlns:c16="http://schemas.microsoft.com/office/drawing/2014/chart" uri="{C3380CC4-5D6E-409C-BE32-E72D297353CC}">
              <c16:uniqueId val="{00000006-8BB2-4299-AB45-ABD36C897AEE}"/>
            </c:ext>
          </c:extLst>
        </c:ser>
        <c:ser>
          <c:idx val="6"/>
          <c:order val="6"/>
          <c:tx>
            <c:strRef>
              <c:f>DHS!$A$8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DHS!$B$8:$O$8</c:f>
              <c:numCache>
                <c:formatCode>0.0%</c:formatCode>
                <c:ptCount val="14"/>
                <c:pt idx="0">
                  <c:v>0.60299999999999998</c:v>
                </c:pt>
                <c:pt idx="1">
                  <c:v>0.58200000000000007</c:v>
                </c:pt>
                <c:pt idx="2">
                  <c:v>0.25700000000000001</c:v>
                </c:pt>
                <c:pt idx="3">
                  <c:v>0.54400000000000004</c:v>
                </c:pt>
                <c:pt idx="4">
                  <c:v>0.66400000000000003</c:v>
                </c:pt>
                <c:pt idx="5">
                  <c:v>0.79500000000000004</c:v>
                </c:pt>
                <c:pt idx="6">
                  <c:v>0.8</c:v>
                </c:pt>
                <c:pt idx="7">
                  <c:v>0.72</c:v>
                </c:pt>
                <c:pt idx="8">
                  <c:v>0.84</c:v>
                </c:pt>
                <c:pt idx="9">
                  <c:v>0.96299999999999997</c:v>
                </c:pt>
                <c:pt idx="10">
                  <c:v>0.93900000000000006</c:v>
                </c:pt>
                <c:pt idx="11">
                  <c:v>0.91100000000000003</c:v>
                </c:pt>
                <c:pt idx="12">
                  <c:v>0.85699999999999998</c:v>
                </c:pt>
                <c:pt idx="13">
                  <c:v>0.89500000000000002</c:v>
                </c:pt>
              </c:numCache>
            </c:numRef>
          </c:yVal>
          <c:smooth val="0"/>
          <c:extLst>
            <c:ext xmlns:c16="http://schemas.microsoft.com/office/drawing/2014/chart" uri="{C3380CC4-5D6E-409C-BE32-E72D297353CC}">
              <c16:uniqueId val="{00000007-8BB2-4299-AB45-ABD36C897AEE}"/>
            </c:ext>
          </c:extLst>
        </c:ser>
        <c:ser>
          <c:idx val="7"/>
          <c:order val="7"/>
          <c:tx>
            <c:strRef>
              <c:f>DHS!$A$9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DHS!$B$9:$O$9</c:f>
              <c:numCache>
                <c:formatCode>0.0%</c:formatCode>
                <c:ptCount val="14"/>
                <c:pt idx="0">
                  <c:v>0.39200000000000002</c:v>
                </c:pt>
                <c:pt idx="1">
                  <c:v>0.39600000000000002</c:v>
                </c:pt>
                <c:pt idx="2">
                  <c:v>0.247</c:v>
                </c:pt>
                <c:pt idx="3">
                  <c:v>0.67299999999999993</c:v>
                </c:pt>
                <c:pt idx="4">
                  <c:v>0.63700000000000001</c:v>
                </c:pt>
                <c:pt idx="5">
                  <c:v>0.72900000000000009</c:v>
                </c:pt>
                <c:pt idx="6">
                  <c:v>0.78900000000000003</c:v>
                </c:pt>
                <c:pt idx="7">
                  <c:v>0.81900000000000006</c:v>
                </c:pt>
                <c:pt idx="8">
                  <c:v>0.755</c:v>
                </c:pt>
                <c:pt idx="9">
                  <c:v>0.91800000000000004</c:v>
                </c:pt>
                <c:pt idx="10">
                  <c:v>0.91900000000000004</c:v>
                </c:pt>
                <c:pt idx="11">
                  <c:v>0.92500000000000004</c:v>
                </c:pt>
                <c:pt idx="12">
                  <c:v>0.93799999999999994</c:v>
                </c:pt>
                <c:pt idx="13">
                  <c:v>0.94699999999999995</c:v>
                </c:pt>
              </c:numCache>
            </c:numRef>
          </c:yVal>
          <c:smooth val="0"/>
          <c:extLst>
            <c:ext xmlns:c16="http://schemas.microsoft.com/office/drawing/2014/chart" uri="{C3380CC4-5D6E-409C-BE32-E72D297353CC}">
              <c16:uniqueId val="{00000008-8BB2-4299-AB45-ABD36C897AEE}"/>
            </c:ext>
          </c:extLst>
        </c:ser>
        <c:ser>
          <c:idx val="8"/>
          <c:order val="8"/>
          <c:tx>
            <c:strRef>
              <c:f>DHS!$A$10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DHS!$B$10:$O$10</c:f>
              <c:numCache>
                <c:formatCode>0.0%</c:formatCode>
                <c:ptCount val="14"/>
                <c:pt idx="0">
                  <c:v>0.47899999999999998</c:v>
                </c:pt>
                <c:pt idx="1">
                  <c:v>0.45700000000000002</c:v>
                </c:pt>
                <c:pt idx="2">
                  <c:v>0.17600000000000002</c:v>
                </c:pt>
                <c:pt idx="3">
                  <c:v>0.59</c:v>
                </c:pt>
                <c:pt idx="4">
                  <c:v>0.86900000000000011</c:v>
                </c:pt>
                <c:pt idx="5">
                  <c:v>0.93200000000000005</c:v>
                </c:pt>
                <c:pt idx="6">
                  <c:v>0.93299999999999994</c:v>
                </c:pt>
                <c:pt idx="7">
                  <c:v>0.98799999999999999</c:v>
                </c:pt>
                <c:pt idx="8">
                  <c:v>0.83499999999999996</c:v>
                </c:pt>
                <c:pt idx="9">
                  <c:v>0.86599999999999999</c:v>
                </c:pt>
                <c:pt idx="10">
                  <c:v>0.80200000000000005</c:v>
                </c:pt>
                <c:pt idx="11">
                  <c:v>0.84899999999999998</c:v>
                </c:pt>
                <c:pt idx="12">
                  <c:v>0.68</c:v>
                </c:pt>
                <c:pt idx="13">
                  <c:v>0.89400000000000002</c:v>
                </c:pt>
              </c:numCache>
            </c:numRef>
          </c:yVal>
          <c:smooth val="0"/>
          <c:extLst>
            <c:ext xmlns:c16="http://schemas.microsoft.com/office/drawing/2014/chart" uri="{C3380CC4-5D6E-409C-BE32-E72D297353CC}">
              <c16:uniqueId val="{00000009-8BB2-4299-AB45-ABD36C897AEE}"/>
            </c:ext>
          </c:extLst>
        </c:ser>
        <c:ser>
          <c:idx val="9"/>
          <c:order val="9"/>
          <c:tx>
            <c:strRef>
              <c:f>DHS!$A$11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DHS!$B$11:$O$11</c:f>
              <c:numCache>
                <c:formatCode>0.0%</c:formatCode>
                <c:ptCount val="14"/>
                <c:pt idx="0">
                  <c:v>0.47899999999999998</c:v>
                </c:pt>
                <c:pt idx="1">
                  <c:v>0.57500000000000007</c:v>
                </c:pt>
                <c:pt idx="2">
                  <c:v>0.318</c:v>
                </c:pt>
                <c:pt idx="3">
                  <c:v>0.76700000000000002</c:v>
                </c:pt>
                <c:pt idx="4">
                  <c:v>0.5</c:v>
                </c:pt>
                <c:pt idx="5">
                  <c:v>0.87</c:v>
                </c:pt>
                <c:pt idx="6">
                  <c:v>0.96799999999999997</c:v>
                </c:pt>
                <c:pt idx="7">
                  <c:v>0.96700000000000008</c:v>
                </c:pt>
                <c:pt idx="8">
                  <c:v>1</c:v>
                </c:pt>
                <c:pt idx="9">
                  <c:v>1</c:v>
                </c:pt>
                <c:pt idx="10">
                  <c:v>0.92900000000000005</c:v>
                </c:pt>
                <c:pt idx="11">
                  <c:v>0.94699999999999995</c:v>
                </c:pt>
                <c:pt idx="12">
                  <c:v>0.94399999999999995</c:v>
                </c:pt>
                <c:pt idx="13">
                  <c:v>1</c:v>
                </c:pt>
              </c:numCache>
            </c:numRef>
          </c:yVal>
          <c:smooth val="0"/>
          <c:extLst>
            <c:ext xmlns:c16="http://schemas.microsoft.com/office/drawing/2014/chart" uri="{C3380CC4-5D6E-409C-BE32-E72D297353CC}">
              <c16:uniqueId val="{0000000A-8BB2-4299-AB45-ABD36C897AEE}"/>
            </c:ext>
          </c:extLst>
        </c:ser>
        <c:ser>
          <c:idx val="10"/>
          <c:order val="10"/>
          <c:tx>
            <c:strRef>
              <c:f>DHS!$A$12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DHS!$B$12:$O$12</c:f>
              <c:numCache>
                <c:formatCode>General</c:formatCode>
                <c:ptCount val="14"/>
                <c:pt idx="8" formatCode="0.0%">
                  <c:v>0.68599999999999994</c:v>
                </c:pt>
                <c:pt idx="9" formatCode="0.0%">
                  <c:v>0.89200000000000002</c:v>
                </c:pt>
                <c:pt idx="10" formatCode="0.0%">
                  <c:v>0.82099999999999995</c:v>
                </c:pt>
                <c:pt idx="11" formatCode="0.0%">
                  <c:v>0.78600000000000003</c:v>
                </c:pt>
                <c:pt idx="12" formatCode="0.0%">
                  <c:v>0.72799999999999998</c:v>
                </c:pt>
                <c:pt idx="13" formatCode="0.0%">
                  <c:v>0.84099999999999997</c:v>
                </c:pt>
              </c:numCache>
            </c:numRef>
          </c:yVal>
          <c:smooth val="0"/>
          <c:extLst>
            <c:ext xmlns:c16="http://schemas.microsoft.com/office/drawing/2014/chart" uri="{C3380CC4-5D6E-409C-BE32-E72D297353CC}">
              <c16:uniqueId val="{0000000B-8BB2-4299-AB45-ABD36C897AEE}"/>
            </c:ext>
          </c:extLst>
        </c:ser>
        <c:ser>
          <c:idx val="11"/>
          <c:order val="11"/>
          <c:tx>
            <c:strRef>
              <c:f>DHS!$A$13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DHS!$B$13:$O$13</c:f>
              <c:numCache>
                <c:formatCode>General</c:formatCode>
                <c:ptCount val="14"/>
                <c:pt idx="8" formatCode="0.0%">
                  <c:v>0.67599999999999993</c:v>
                </c:pt>
                <c:pt idx="9" formatCode="0.0%">
                  <c:v>0.81599999999999995</c:v>
                </c:pt>
                <c:pt idx="10" formatCode="0.0%">
                  <c:v>0.91400000000000003</c:v>
                </c:pt>
                <c:pt idx="11" formatCode="0.0%">
                  <c:v>0.94299999999999995</c:v>
                </c:pt>
                <c:pt idx="12" formatCode="0.0%">
                  <c:v>0.96799999999999997</c:v>
                </c:pt>
                <c:pt idx="13" formatCode="0.0%">
                  <c:v>0.94199999999999995</c:v>
                </c:pt>
              </c:numCache>
            </c:numRef>
          </c:yVal>
          <c:smooth val="0"/>
          <c:extLst>
            <c:ext xmlns:c16="http://schemas.microsoft.com/office/drawing/2014/chart" uri="{C3380CC4-5D6E-409C-BE32-E72D297353CC}">
              <c16:uniqueId val="{0000000C-8BB2-4299-AB45-ABD36C897AEE}"/>
            </c:ext>
          </c:extLst>
        </c:ser>
        <c:ser>
          <c:idx val="13"/>
          <c:order val="12"/>
          <c:tx>
            <c:strRef>
              <c:f>DHS!$A$14</c:f>
              <c:strCache>
                <c:ptCount val="1"/>
                <c:pt idx="0">
                  <c:v>Statewide</c:v>
                </c:pt>
              </c:strCache>
            </c:strRef>
          </c:tx>
          <c:spPr>
            <a:ln w="28575" cap="rnd">
              <a:solidFill>
                <a:schemeClr val="accent1">
                  <a:lumMod val="75000"/>
                </a:schemeClr>
              </a:solidFill>
              <a:round/>
            </a:ln>
            <a:effectLst/>
          </c:spPr>
          <c:marker>
            <c:symbol val="none"/>
          </c:marker>
          <c:dPt>
            <c:idx val="9"/>
            <c:marker>
              <c:symbol val="none"/>
            </c:marker>
            <c:bubble3D val="0"/>
            <c:extLst>
              <c:ext xmlns:c16="http://schemas.microsoft.com/office/drawing/2014/chart" uri="{C3380CC4-5D6E-409C-BE32-E72D297353CC}">
                <c16:uniqueId val="{0000000D-8BB2-4299-AB45-ABD36C897AEE}"/>
              </c:ext>
            </c:extLst>
          </c:dPt>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DHS!$B$14:$O$14</c:f>
              <c:numCache>
                <c:formatCode>0.0%</c:formatCode>
                <c:ptCount val="14"/>
                <c:pt idx="0">
                  <c:v>0.53600000000000003</c:v>
                </c:pt>
                <c:pt idx="1">
                  <c:v>0.63500000000000001</c:v>
                </c:pt>
                <c:pt idx="2">
                  <c:v>0.27899999999999997</c:v>
                </c:pt>
                <c:pt idx="3">
                  <c:v>0.58399999999999996</c:v>
                </c:pt>
                <c:pt idx="4">
                  <c:v>0.74400000000000011</c:v>
                </c:pt>
                <c:pt idx="5">
                  <c:v>0.82799999999999996</c:v>
                </c:pt>
                <c:pt idx="6">
                  <c:v>0.86699999999999999</c:v>
                </c:pt>
                <c:pt idx="7">
                  <c:v>0.878</c:v>
                </c:pt>
                <c:pt idx="8">
                  <c:v>0.79900000000000004</c:v>
                </c:pt>
                <c:pt idx="9">
                  <c:v>0.88100000000000001</c:v>
                </c:pt>
                <c:pt idx="10">
                  <c:v>0.88300000000000001</c:v>
                </c:pt>
                <c:pt idx="11">
                  <c:v>0.878</c:v>
                </c:pt>
                <c:pt idx="12">
                  <c:v>0.88900000000000001</c:v>
                </c:pt>
                <c:pt idx="13">
                  <c:v>0.90800000000000003</c:v>
                </c:pt>
              </c:numCache>
            </c:numRef>
          </c:yVal>
          <c:smooth val="0"/>
          <c:extLst>
            <c:ext xmlns:c16="http://schemas.microsoft.com/office/drawing/2014/chart" uri="{C3380CC4-5D6E-409C-BE32-E72D297353CC}">
              <c16:uniqueId val="{0000000E-8BB2-4299-AB45-ABD36C897AEE}"/>
            </c:ext>
          </c:extLst>
        </c:ser>
        <c:ser>
          <c:idx val="14"/>
          <c:order val="13"/>
          <c:tx>
            <c:strRef>
              <c:f>DHS!$A$15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DHS!$B$15:$O$15</c:f>
              <c:numCache>
                <c:formatCode>General</c:formatCode>
                <c:ptCount val="14"/>
                <c:pt idx="9" formatCode="0.0%">
                  <c:v>0.8</c:v>
                </c:pt>
                <c:pt idx="10" formatCode="0.0%">
                  <c:v>0.9</c:v>
                </c:pt>
                <c:pt idx="11" formatCode="0.0%">
                  <c:v>0.75</c:v>
                </c:pt>
                <c:pt idx="12" formatCode="0.0%">
                  <c:v>0.83299999999999996</c:v>
                </c:pt>
                <c:pt idx="13" formatCode="0.0%">
                  <c:v>1</c:v>
                </c:pt>
              </c:numCache>
            </c:numRef>
          </c:yVal>
          <c:smooth val="0"/>
          <c:extLst>
            <c:ext xmlns:c16="http://schemas.microsoft.com/office/drawing/2014/chart" uri="{C3380CC4-5D6E-409C-BE32-E72D297353CC}">
              <c16:uniqueId val="{0000000F-8BB2-4299-AB45-ABD36C897AEE}"/>
            </c:ext>
          </c:extLst>
        </c:ser>
        <c:ser>
          <c:idx val="15"/>
          <c:order val="14"/>
          <c:tx>
            <c:strRef>
              <c:f>DHS!$A$16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DHS!$B$16:$O$16</c:f>
              <c:numCache>
                <c:formatCode>0.0%</c:formatCode>
                <c:ptCount val="14"/>
                <c:pt idx="0">
                  <c:v>0.47100000000000003</c:v>
                </c:pt>
                <c:pt idx="1">
                  <c:v>0.49100000000000005</c:v>
                </c:pt>
                <c:pt idx="2">
                  <c:v>0.28300000000000003</c:v>
                </c:pt>
                <c:pt idx="3">
                  <c:v>0.60099999999999998</c:v>
                </c:pt>
                <c:pt idx="4">
                  <c:v>0.83299999999999996</c:v>
                </c:pt>
                <c:pt idx="5">
                  <c:v>0.88</c:v>
                </c:pt>
                <c:pt idx="6">
                  <c:v>0.90300000000000002</c:v>
                </c:pt>
                <c:pt idx="7">
                  <c:v>0.84200000000000008</c:v>
                </c:pt>
                <c:pt idx="8">
                  <c:v>0.71099999999999997</c:v>
                </c:pt>
                <c:pt idx="9">
                  <c:v>0.91400000000000003</c:v>
                </c:pt>
                <c:pt idx="10">
                  <c:v>0.92900000000000005</c:v>
                </c:pt>
                <c:pt idx="11">
                  <c:v>0.77800000000000002</c:v>
                </c:pt>
                <c:pt idx="12">
                  <c:v>0.71799999999999997</c:v>
                </c:pt>
                <c:pt idx="13">
                  <c:v>0.94599999999999995</c:v>
                </c:pt>
              </c:numCache>
            </c:numRef>
          </c:yVal>
          <c:smooth val="0"/>
          <c:extLst>
            <c:ext xmlns:c16="http://schemas.microsoft.com/office/drawing/2014/chart" uri="{C3380CC4-5D6E-409C-BE32-E72D297353CC}">
              <c16:uniqueId val="{00000010-8BB2-4299-AB45-ABD36C897AEE}"/>
            </c:ext>
          </c:extLst>
        </c:ser>
        <c:ser>
          <c:idx val="16"/>
          <c:order val="15"/>
          <c:tx>
            <c:strRef>
              <c:f>DHS!$A$17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DHS!$B$17:$O$17</c:f>
              <c:numCache>
                <c:formatCode>0.0%</c:formatCode>
                <c:ptCount val="14"/>
                <c:pt idx="0">
                  <c:v>0.47200000000000003</c:v>
                </c:pt>
                <c:pt idx="1">
                  <c:v>0.48100000000000004</c:v>
                </c:pt>
                <c:pt idx="2">
                  <c:v>0.11800000000000001</c:v>
                </c:pt>
                <c:pt idx="3">
                  <c:v>0.5</c:v>
                </c:pt>
                <c:pt idx="4">
                  <c:v>0.84599999999999997</c:v>
                </c:pt>
                <c:pt idx="5">
                  <c:v>0.90200000000000002</c:v>
                </c:pt>
                <c:pt idx="6">
                  <c:v>0.90800000000000003</c:v>
                </c:pt>
                <c:pt idx="7">
                  <c:v>0.91200000000000003</c:v>
                </c:pt>
                <c:pt idx="8">
                  <c:v>0.77</c:v>
                </c:pt>
                <c:pt idx="9">
                  <c:v>0.89</c:v>
                </c:pt>
                <c:pt idx="10">
                  <c:v>0.94900000000000007</c:v>
                </c:pt>
                <c:pt idx="11">
                  <c:v>0.92700000000000005</c:v>
                </c:pt>
                <c:pt idx="12">
                  <c:v>0.96899999999999997</c:v>
                </c:pt>
                <c:pt idx="13">
                  <c:v>0.93400000000000005</c:v>
                </c:pt>
              </c:numCache>
            </c:numRef>
          </c:yVal>
          <c:smooth val="0"/>
          <c:extLst>
            <c:ext xmlns:c16="http://schemas.microsoft.com/office/drawing/2014/chart" uri="{C3380CC4-5D6E-409C-BE32-E72D297353CC}">
              <c16:uniqueId val="{00000011-8BB2-4299-AB45-ABD36C897AEE}"/>
            </c:ext>
          </c:extLst>
        </c:ser>
        <c:ser>
          <c:idx val="17"/>
          <c:order val="17"/>
          <c:tx>
            <c:strRef>
              <c:f>DHS!$A$20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DHS!$B$20:$O$20</c:f>
              <c:numCache>
                <c:formatCode>0.0%</c:formatCode>
                <c:ptCount val="14"/>
                <c:pt idx="0">
                  <c:v>0.53600000000000003</c:v>
                </c:pt>
                <c:pt idx="1">
                  <c:v>0.63500000000000001</c:v>
                </c:pt>
                <c:pt idx="2">
                  <c:v>0.27899999999999997</c:v>
                </c:pt>
                <c:pt idx="3">
                  <c:v>0.58399999999999996</c:v>
                </c:pt>
                <c:pt idx="4">
                  <c:v>0.74400000000000011</c:v>
                </c:pt>
                <c:pt idx="5">
                  <c:v>0.82799999999999996</c:v>
                </c:pt>
                <c:pt idx="6">
                  <c:v>0.86699999999999999</c:v>
                </c:pt>
                <c:pt idx="7">
                  <c:v>0.878</c:v>
                </c:pt>
                <c:pt idx="8">
                  <c:v>0.79900000000000004</c:v>
                </c:pt>
                <c:pt idx="9">
                  <c:v>0.88100000000000001</c:v>
                </c:pt>
                <c:pt idx="10">
                  <c:v>0.88300000000000001</c:v>
                </c:pt>
                <c:pt idx="11">
                  <c:v>0.878</c:v>
                </c:pt>
                <c:pt idx="12">
                  <c:v>0.88900000000000001</c:v>
                </c:pt>
                <c:pt idx="13">
                  <c:v>0.90800000000000003</c:v>
                </c:pt>
              </c:numCache>
            </c:numRef>
          </c:yVal>
          <c:smooth val="0"/>
          <c:extLst>
            <c:ext xmlns:c16="http://schemas.microsoft.com/office/drawing/2014/chart" uri="{C3380CC4-5D6E-409C-BE32-E72D297353CC}">
              <c16:uniqueId val="{00000012-8BB2-4299-AB45-ABD36C897AEE}"/>
            </c:ext>
          </c:extLst>
        </c:ser>
        <c:ser>
          <c:idx val="20"/>
          <c:order val="18"/>
          <c:tx>
            <c:strRef>
              <c:f>DHS!$A$19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DHS!$B$19:$O$19</c:f>
              <c:numCache>
                <c:formatCode>0.0%</c:formatCode>
                <c:ptCount val="14"/>
                <c:pt idx="0">
                  <c:v>0.52300000000000002</c:v>
                </c:pt>
                <c:pt idx="1">
                  <c:v>0.55100000000000005</c:v>
                </c:pt>
                <c:pt idx="2">
                  <c:v>0.33299999999999996</c:v>
                </c:pt>
                <c:pt idx="3">
                  <c:v>0.41700000000000004</c:v>
                </c:pt>
                <c:pt idx="4">
                  <c:v>0.55600000000000005</c:v>
                </c:pt>
                <c:pt idx="5">
                  <c:v>0.57100000000000006</c:v>
                </c:pt>
                <c:pt idx="6">
                  <c:v>0.69400000000000006</c:v>
                </c:pt>
                <c:pt idx="7">
                  <c:v>0.84400000000000008</c:v>
                </c:pt>
                <c:pt idx="8">
                  <c:v>0.88200000000000001</c:v>
                </c:pt>
                <c:pt idx="9">
                  <c:v>0.95000000000000007</c:v>
                </c:pt>
                <c:pt idx="10">
                  <c:v>0.91400000000000003</c:v>
                </c:pt>
                <c:pt idx="11">
                  <c:v>0.91700000000000004</c:v>
                </c:pt>
                <c:pt idx="12">
                  <c:v>0.96199999999999997</c:v>
                </c:pt>
                <c:pt idx="13">
                  <c:v>0.95499999999999996</c:v>
                </c:pt>
              </c:numCache>
            </c:numRef>
          </c:yVal>
          <c:smooth val="0"/>
          <c:extLst>
            <c:ext xmlns:c16="http://schemas.microsoft.com/office/drawing/2014/chart" uri="{C3380CC4-5D6E-409C-BE32-E72D297353CC}">
              <c16:uniqueId val="{00000013-8BB2-4299-AB45-ABD36C897AEE}"/>
            </c:ext>
          </c:extLst>
        </c:ser>
        <c:ser>
          <c:idx val="18"/>
          <c:order val="19"/>
          <c:tx>
            <c:strRef>
              <c:f>DHS!$A$21</c:f>
              <c:strCache>
                <c:ptCount val="1"/>
                <c:pt idx="0">
                  <c:v>Benchmark</c:v>
                </c:pt>
              </c:strCache>
            </c:strRef>
          </c:tx>
          <c:spPr>
            <a:ln w="25400" cap="rnd">
              <a:noFill/>
              <a:round/>
            </a:ln>
            <a:effectLst/>
          </c:spPr>
          <c:marker>
            <c:symbol val="dash"/>
            <c:size val="14"/>
            <c:spPr>
              <a:solidFill>
                <a:schemeClr val="accent2">
                  <a:lumMod val="75000"/>
                </a:schemeClr>
              </a:solidFill>
              <a:ln w="3175">
                <a:solidFill>
                  <a:schemeClr val="bg1"/>
                </a:solidFill>
              </a:ln>
              <a:effectLst/>
            </c:spPr>
          </c:marker>
          <c:dLbls>
            <c:dLbl>
              <c:idx val="2"/>
              <c:tx>
                <c:rich>
                  <a:bodyPr/>
                  <a:lstStyle/>
                  <a:p>
                    <a:r>
                      <a:rPr lang="en-US"/>
                      <a:t>Punto de referencia</a:t>
                    </a:r>
                  </a:p>
                </c:rich>
              </c:tx>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8BB2-4299-AB45-ABD36C897AE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DHS!$B$1:$O$1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DHS!$B$21:$O$21</c:f>
              <c:numCache>
                <c:formatCode>General</c:formatCode>
                <c:ptCount val="14"/>
                <c:pt idx="2" formatCode="0.0%">
                  <c:v>0.9</c:v>
                </c:pt>
                <c:pt idx="3" formatCode="0.0%">
                  <c:v>0.9</c:v>
                </c:pt>
                <c:pt idx="4" formatCode="0.0%">
                  <c:v>0.9</c:v>
                </c:pt>
                <c:pt idx="5" formatCode="0.0%">
                  <c:v>0.9</c:v>
                </c:pt>
                <c:pt idx="6" formatCode="0.0%">
                  <c:v>0.9</c:v>
                </c:pt>
                <c:pt idx="7" formatCode="0.0%">
                  <c:v>0.9</c:v>
                </c:pt>
                <c:pt idx="8" formatCode="0.0%">
                  <c:v>0.9</c:v>
                </c:pt>
                <c:pt idx="9" formatCode="0.0%">
                  <c:v>0.9</c:v>
                </c:pt>
                <c:pt idx="10" formatCode="0.0%">
                  <c:v>0.9</c:v>
                </c:pt>
                <c:pt idx="11" formatCode="0.0%">
                  <c:v>0.9</c:v>
                </c:pt>
                <c:pt idx="12" formatCode="0.0%">
                  <c:v>0.93200000000000005</c:v>
                </c:pt>
                <c:pt idx="13" formatCode="0.0%">
                  <c:v>0.93200000000000005</c:v>
                </c:pt>
              </c:numCache>
            </c:numRef>
          </c:yVal>
          <c:smooth val="0"/>
          <c:extLst>
            <c:ext xmlns:c16="http://schemas.microsoft.com/office/drawing/2014/chart" uri="{C3380CC4-5D6E-409C-BE32-E72D297353CC}">
              <c16:uniqueId val="{00000015-8BB2-4299-AB45-ABD36C897AEE}"/>
            </c:ext>
          </c:extLst>
        </c:ser>
        <c:ser>
          <c:idx val="0"/>
          <c:order val="20"/>
          <c:tx>
            <c:strRef>
              <c:f>DHS!$Q$1</c:f>
              <c:strCache>
                <c:ptCount val="1"/>
                <c:pt idx="0">
                  <c:v>Spec change year:</c:v>
                </c:pt>
              </c:strCache>
            </c:strRef>
          </c:tx>
          <c:spPr>
            <a:ln w="22225" cap="rnd">
              <a:solidFill>
                <a:schemeClr val="tx1">
                  <a:lumMod val="60000"/>
                  <a:lumOff val="40000"/>
                </a:schemeClr>
              </a:solidFill>
              <a:prstDash val="dash"/>
              <a:round/>
            </a:ln>
            <a:effectLst/>
          </c:spPr>
          <c:marker>
            <c:symbol val="none"/>
          </c:marker>
          <c:xVal>
            <c:numRef>
              <c:f>DHS!$Q$3:$Q$4</c:f>
              <c:numCache>
                <c:formatCode>General</c:formatCode>
                <c:ptCount val="2"/>
                <c:pt idx="0">
                  <c:v>3</c:v>
                </c:pt>
                <c:pt idx="1">
                  <c:v>3</c:v>
                </c:pt>
              </c:numCache>
            </c:numRef>
          </c:xVal>
          <c:yVal>
            <c:numRef>
              <c:f>DHS!$R$3:$R$4</c:f>
              <c:numCache>
                <c:formatCode>General</c:formatCode>
                <c:ptCount val="2"/>
                <c:pt idx="0">
                  <c:v>0</c:v>
                </c:pt>
                <c:pt idx="1">
                  <c:v>1</c:v>
                </c:pt>
              </c:numCache>
            </c:numRef>
          </c:yVal>
          <c:smooth val="0"/>
          <c:extLst>
            <c:ext xmlns:c16="http://schemas.microsoft.com/office/drawing/2014/chart" uri="{C3380CC4-5D6E-409C-BE32-E72D297353CC}">
              <c16:uniqueId val="{00000016-8BB2-4299-AB45-ABD36C897AE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4523747978472388"/>
        </c:manualLayout>
      </c:layout>
      <c:lineChart>
        <c:grouping val="standard"/>
        <c:varyColors val="0"/>
        <c:ser>
          <c:idx val="12"/>
          <c:order val="16"/>
          <c:tx>
            <c:strRef>
              <c:f>MLA_C2_Quality!$A$18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MLA_C2_Quality!$B$1:$E$1</c:f>
              <c:strCache>
                <c:ptCount val="4"/>
                <c:pt idx="0">
                  <c:v>'22</c:v>
                </c:pt>
                <c:pt idx="1">
                  <c:v>'23</c:v>
                </c:pt>
                <c:pt idx="2">
                  <c:v>'24</c:v>
                </c:pt>
                <c:pt idx="3">
                  <c:v>'25</c:v>
                </c:pt>
              </c:strCache>
            </c:strRef>
          </c:cat>
          <c:val>
            <c:numRef>
              <c:f>MLA_C2_Quality!$B$18:$E$18</c:f>
              <c:numCache>
                <c:formatCode>0.0%</c:formatCode>
                <c:ptCount val="4"/>
                <c:pt idx="0">
                  <c:v>0.122</c:v>
                </c:pt>
                <c:pt idx="1">
                  <c:v>9.9000000000000005E-2</c:v>
                </c:pt>
                <c:pt idx="2">
                  <c:v>0.23699999999999999</c:v>
                </c:pt>
                <c:pt idx="3">
                  <c:v>0.21099999999999999</c:v>
                </c:pt>
              </c:numCache>
            </c:numRef>
          </c:val>
          <c:smooth val="0"/>
          <c:extLst>
            <c:ext xmlns:c16="http://schemas.microsoft.com/office/drawing/2014/chart" uri="{C3380CC4-5D6E-409C-BE32-E72D297353CC}">
              <c16:uniqueId val="{00000000-4A33-4677-929A-7449B58890C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MLA_C2_Quality!$A$2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MLA_C2_Quality!$B$2:$E$2</c:f>
              <c:numCache>
                <c:formatCode>0.0%</c:formatCode>
                <c:ptCount val="4"/>
                <c:pt idx="0">
                  <c:v>0</c:v>
                </c:pt>
                <c:pt idx="1">
                  <c:v>6.0999999999999999E-2</c:v>
                </c:pt>
                <c:pt idx="2">
                  <c:v>4.2999999999999997E-2</c:v>
                </c:pt>
                <c:pt idx="3">
                  <c:v>2.7E-2</c:v>
                </c:pt>
              </c:numCache>
            </c:numRef>
          </c:yVal>
          <c:smooth val="0"/>
          <c:extLst>
            <c:ext xmlns:c16="http://schemas.microsoft.com/office/drawing/2014/chart" uri="{C3380CC4-5D6E-409C-BE32-E72D297353CC}">
              <c16:uniqueId val="{00000001-4A33-4677-929A-7449B58890CB}"/>
            </c:ext>
          </c:extLst>
        </c:ser>
        <c:ser>
          <c:idx val="1"/>
          <c:order val="1"/>
          <c:tx>
            <c:strRef>
              <c:f>MLA_C2_Quality!$A$3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MLA_C2_Quality!$B$3:$E$3</c:f>
              <c:numCache>
                <c:formatCode>0.0%</c:formatCode>
                <c:ptCount val="4"/>
                <c:pt idx="0">
                  <c:v>2.6000000000000002E-2</c:v>
                </c:pt>
                <c:pt idx="1">
                  <c:v>0</c:v>
                </c:pt>
                <c:pt idx="2">
                  <c:v>9.2999999999999999E-2</c:v>
                </c:pt>
                <c:pt idx="3">
                  <c:v>0.157</c:v>
                </c:pt>
              </c:numCache>
            </c:numRef>
          </c:yVal>
          <c:smooth val="0"/>
          <c:extLst>
            <c:ext xmlns:c16="http://schemas.microsoft.com/office/drawing/2014/chart" uri="{C3380CC4-5D6E-409C-BE32-E72D297353CC}">
              <c16:uniqueId val="{00000002-4A33-4677-929A-7449B58890CB}"/>
            </c:ext>
          </c:extLst>
        </c:ser>
        <c:ser>
          <c:idx val="2"/>
          <c:order val="2"/>
          <c:tx>
            <c:strRef>
              <c:f>MLA_C2_Quality!$A$4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MLA_C2_Quality!$B$4:$E$4</c:f>
              <c:numCache>
                <c:formatCode>0.0%</c:formatCode>
                <c:ptCount val="4"/>
                <c:pt idx="0">
                  <c:v>0</c:v>
                </c:pt>
                <c:pt idx="1">
                  <c:v>0.01</c:v>
                </c:pt>
                <c:pt idx="2">
                  <c:v>4.2000000000000003E-2</c:v>
                </c:pt>
                <c:pt idx="3">
                  <c:v>0.111</c:v>
                </c:pt>
              </c:numCache>
            </c:numRef>
          </c:yVal>
          <c:smooth val="0"/>
          <c:extLst>
            <c:ext xmlns:c16="http://schemas.microsoft.com/office/drawing/2014/chart" uri="{C3380CC4-5D6E-409C-BE32-E72D297353CC}">
              <c16:uniqueId val="{00000003-4A33-4677-929A-7449B58890CB}"/>
            </c:ext>
          </c:extLst>
        </c:ser>
        <c:ser>
          <c:idx val="3"/>
          <c:order val="3"/>
          <c:tx>
            <c:strRef>
              <c:f>MLA_C2_Quality!$A$5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MLA_C2_Quality!$B$5:$E$5</c:f>
              <c:numCache>
                <c:formatCode>0.0%</c:formatCode>
                <c:ptCount val="4"/>
                <c:pt idx="0">
                  <c:v>6.3E-2</c:v>
                </c:pt>
                <c:pt idx="1">
                  <c:v>1.4999999999999999E-2</c:v>
                </c:pt>
                <c:pt idx="2">
                  <c:v>4.9000000000000002E-2</c:v>
                </c:pt>
                <c:pt idx="3">
                  <c:v>6.5000000000000002E-2</c:v>
                </c:pt>
              </c:numCache>
            </c:numRef>
          </c:yVal>
          <c:smooth val="0"/>
          <c:extLst>
            <c:ext xmlns:c16="http://schemas.microsoft.com/office/drawing/2014/chart" uri="{C3380CC4-5D6E-409C-BE32-E72D297353CC}">
              <c16:uniqueId val="{00000004-4A33-4677-929A-7449B58890CB}"/>
            </c:ext>
          </c:extLst>
        </c:ser>
        <c:ser>
          <c:idx val="4"/>
          <c:order val="4"/>
          <c:tx>
            <c:strRef>
              <c:f>MLA_C2_Quality!$A$6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MLA_C2_Quality!$B$6:$E$6</c:f>
              <c:numCache>
                <c:formatCode>0.0%</c:formatCode>
                <c:ptCount val="4"/>
                <c:pt idx="0">
                  <c:v>6.9999999999999993E-3</c:v>
                </c:pt>
                <c:pt idx="1">
                  <c:v>0.107</c:v>
                </c:pt>
                <c:pt idx="2">
                  <c:v>0.11</c:v>
                </c:pt>
                <c:pt idx="3">
                  <c:v>0.08</c:v>
                </c:pt>
              </c:numCache>
            </c:numRef>
          </c:yVal>
          <c:smooth val="0"/>
          <c:extLst>
            <c:ext xmlns:c16="http://schemas.microsoft.com/office/drawing/2014/chart" uri="{C3380CC4-5D6E-409C-BE32-E72D297353CC}">
              <c16:uniqueId val="{00000005-4A33-4677-929A-7449B58890CB}"/>
            </c:ext>
          </c:extLst>
        </c:ser>
        <c:ser>
          <c:idx val="5"/>
          <c:order val="5"/>
          <c:tx>
            <c:strRef>
              <c:f>MLA_C2_Quality!$A$7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MLA_C2_Quality!$B$7:$E$7</c:f>
              <c:numCache>
                <c:formatCode>0.0%</c:formatCode>
                <c:ptCount val="4"/>
                <c:pt idx="0">
                  <c:v>3.7999999999999999E-2</c:v>
                </c:pt>
                <c:pt idx="1">
                  <c:v>7.0000000000000007E-2</c:v>
                </c:pt>
                <c:pt idx="2">
                  <c:v>0.158</c:v>
                </c:pt>
                <c:pt idx="3">
                  <c:v>0.19400000000000001</c:v>
                </c:pt>
              </c:numCache>
            </c:numRef>
          </c:yVal>
          <c:smooth val="0"/>
          <c:extLst>
            <c:ext xmlns:c16="http://schemas.microsoft.com/office/drawing/2014/chart" uri="{C3380CC4-5D6E-409C-BE32-E72D297353CC}">
              <c16:uniqueId val="{00000006-4A33-4677-929A-7449B58890CB}"/>
            </c:ext>
          </c:extLst>
        </c:ser>
        <c:ser>
          <c:idx val="6"/>
          <c:order val="6"/>
          <c:tx>
            <c:strRef>
              <c:f>MLA_C2_Quality!$A$8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MLA_C2_Quality!$B$8:$E$8</c:f>
              <c:numCache>
                <c:formatCode>0.0%</c:formatCode>
                <c:ptCount val="4"/>
                <c:pt idx="1">
                  <c:v>0.02</c:v>
                </c:pt>
                <c:pt idx="2">
                  <c:v>1.0999999999999999E-2</c:v>
                </c:pt>
                <c:pt idx="3">
                  <c:v>3.7999999999999999E-2</c:v>
                </c:pt>
              </c:numCache>
            </c:numRef>
          </c:yVal>
          <c:smooth val="0"/>
          <c:extLst>
            <c:ext xmlns:c16="http://schemas.microsoft.com/office/drawing/2014/chart" uri="{C3380CC4-5D6E-409C-BE32-E72D297353CC}">
              <c16:uniqueId val="{00000007-4A33-4677-929A-7449B58890CB}"/>
            </c:ext>
          </c:extLst>
        </c:ser>
        <c:ser>
          <c:idx val="7"/>
          <c:order val="7"/>
          <c:tx>
            <c:strRef>
              <c:f>MLA_C2_Quality!$A$9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MLA_C2_Quality!$B$9:$E$9</c:f>
              <c:numCache>
                <c:formatCode>0.0%</c:formatCode>
                <c:ptCount val="4"/>
                <c:pt idx="0">
                  <c:v>5.2999999999999999E-2</c:v>
                </c:pt>
                <c:pt idx="1">
                  <c:v>4.1000000000000002E-2</c:v>
                </c:pt>
                <c:pt idx="2">
                  <c:v>0.111</c:v>
                </c:pt>
                <c:pt idx="3">
                  <c:v>0.106</c:v>
                </c:pt>
              </c:numCache>
            </c:numRef>
          </c:yVal>
          <c:smooth val="0"/>
          <c:extLst>
            <c:ext xmlns:c16="http://schemas.microsoft.com/office/drawing/2014/chart" uri="{C3380CC4-5D6E-409C-BE32-E72D297353CC}">
              <c16:uniqueId val="{00000008-4A33-4677-929A-7449B58890CB}"/>
            </c:ext>
          </c:extLst>
        </c:ser>
        <c:ser>
          <c:idx val="8"/>
          <c:order val="8"/>
          <c:tx>
            <c:strRef>
              <c:f>MLA_C2_Quality!$A$10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MLA_C2_Quality!$B$10:$E$10</c:f>
              <c:numCache>
                <c:formatCode>0.0%</c:formatCode>
                <c:ptCount val="4"/>
                <c:pt idx="0">
                  <c:v>6.7000000000000004E-2</c:v>
                </c:pt>
                <c:pt idx="1">
                  <c:v>0.108</c:v>
                </c:pt>
                <c:pt idx="2">
                  <c:v>0.14599999999999999</c:v>
                </c:pt>
                <c:pt idx="3">
                  <c:v>0.126</c:v>
                </c:pt>
              </c:numCache>
            </c:numRef>
          </c:yVal>
          <c:smooth val="0"/>
          <c:extLst>
            <c:ext xmlns:c16="http://schemas.microsoft.com/office/drawing/2014/chart" uri="{C3380CC4-5D6E-409C-BE32-E72D297353CC}">
              <c16:uniqueId val="{00000009-4A33-4677-929A-7449B58890CB}"/>
            </c:ext>
          </c:extLst>
        </c:ser>
        <c:ser>
          <c:idx val="9"/>
          <c:order val="9"/>
          <c:tx>
            <c:strRef>
              <c:f>MLA_C2_Quality!$A$11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MLA_C2_Quality!$B$11:$E$11</c:f>
              <c:numCache>
                <c:formatCode>0.0%</c:formatCode>
                <c:ptCount val="4"/>
                <c:pt idx="0">
                  <c:v>1.3000000000000001E-2</c:v>
                </c:pt>
                <c:pt idx="1">
                  <c:v>0.21299999999999999</c:v>
                </c:pt>
                <c:pt idx="2">
                  <c:v>1.4999999999999999E-2</c:v>
                </c:pt>
                <c:pt idx="3">
                  <c:v>0.188</c:v>
                </c:pt>
              </c:numCache>
            </c:numRef>
          </c:yVal>
          <c:smooth val="0"/>
          <c:extLst>
            <c:ext xmlns:c16="http://schemas.microsoft.com/office/drawing/2014/chart" uri="{C3380CC4-5D6E-409C-BE32-E72D297353CC}">
              <c16:uniqueId val="{0000000A-4A33-4677-929A-7449B58890CB}"/>
            </c:ext>
          </c:extLst>
        </c:ser>
        <c:ser>
          <c:idx val="10"/>
          <c:order val="10"/>
          <c:tx>
            <c:strRef>
              <c:f>MLA_C2_Quality!$A$12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MLA_C2_Quality!$B$12:$E$12</c:f>
              <c:numCache>
                <c:formatCode>0.0%</c:formatCode>
                <c:ptCount val="4"/>
                <c:pt idx="0">
                  <c:v>4.7E-2</c:v>
                </c:pt>
                <c:pt idx="1">
                  <c:v>0.20699999999999999</c:v>
                </c:pt>
                <c:pt idx="2">
                  <c:v>0.11700000000000001</c:v>
                </c:pt>
                <c:pt idx="3">
                  <c:v>0.122</c:v>
                </c:pt>
              </c:numCache>
            </c:numRef>
          </c:yVal>
          <c:smooth val="0"/>
          <c:extLst>
            <c:ext xmlns:c16="http://schemas.microsoft.com/office/drawing/2014/chart" uri="{C3380CC4-5D6E-409C-BE32-E72D297353CC}">
              <c16:uniqueId val="{0000000B-4A33-4677-929A-7449B58890CB}"/>
            </c:ext>
          </c:extLst>
        </c:ser>
        <c:ser>
          <c:idx val="11"/>
          <c:order val="11"/>
          <c:tx>
            <c:strRef>
              <c:f>MLA_C2_Quality!$A$13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MLA_C2_Quality!$B$13:$E$13</c:f>
              <c:numCache>
                <c:formatCode>0.0%</c:formatCode>
                <c:ptCount val="4"/>
                <c:pt idx="0">
                  <c:v>8.5999999999999993E-2</c:v>
                </c:pt>
                <c:pt idx="1">
                  <c:v>0.156</c:v>
                </c:pt>
                <c:pt idx="2">
                  <c:v>0.151</c:v>
                </c:pt>
                <c:pt idx="3">
                  <c:v>0.14899999999999999</c:v>
                </c:pt>
              </c:numCache>
            </c:numRef>
          </c:yVal>
          <c:smooth val="0"/>
          <c:extLst>
            <c:ext xmlns:c16="http://schemas.microsoft.com/office/drawing/2014/chart" uri="{C3380CC4-5D6E-409C-BE32-E72D297353CC}">
              <c16:uniqueId val="{0000000C-4A33-4677-929A-7449B58890CB}"/>
            </c:ext>
          </c:extLst>
        </c:ser>
        <c:ser>
          <c:idx val="13"/>
          <c:order val="12"/>
          <c:tx>
            <c:strRef>
              <c:f>MLA_C2_Quality!$A$14</c:f>
              <c:strCache>
                <c:ptCount val="1"/>
                <c:pt idx="0">
                  <c:v>Statewide</c:v>
                </c:pt>
              </c:strCache>
            </c:strRef>
          </c:tx>
          <c:spPr>
            <a:ln w="28575" cap="rnd">
              <a:solidFill>
                <a:schemeClr val="accent1">
                  <a:lumMod val="75000"/>
                </a:schemeClr>
              </a:solidFill>
              <a:round/>
            </a:ln>
            <a:effectLst/>
          </c:spPr>
          <c:marker>
            <c:symbol val="none"/>
          </c:marker>
          <c:xVal>
            <c:strRef>
              <c:f>MLA_C2_Quality!$B$1:$E$1</c:f>
              <c:strCache>
                <c:ptCount val="4"/>
                <c:pt idx="0">
                  <c:v>'22</c:v>
                </c:pt>
                <c:pt idx="1">
                  <c:v>'23</c:v>
                </c:pt>
                <c:pt idx="2">
                  <c:v>'24</c:v>
                </c:pt>
                <c:pt idx="3">
                  <c:v>'25</c:v>
                </c:pt>
              </c:strCache>
            </c:strRef>
          </c:xVal>
          <c:yVal>
            <c:numRef>
              <c:f>MLA_C2_Quality!$B$14:$E$14</c:f>
              <c:numCache>
                <c:formatCode>0.0%</c:formatCode>
                <c:ptCount val="4"/>
                <c:pt idx="0">
                  <c:v>5.5999999999999994E-2</c:v>
                </c:pt>
                <c:pt idx="1">
                  <c:v>0.107</c:v>
                </c:pt>
                <c:pt idx="2">
                  <c:v>0.14399999999999999</c:v>
                </c:pt>
                <c:pt idx="3">
                  <c:v>0.16900000000000001</c:v>
                </c:pt>
              </c:numCache>
            </c:numRef>
          </c:yVal>
          <c:smooth val="0"/>
          <c:extLst>
            <c:ext xmlns:c16="http://schemas.microsoft.com/office/drawing/2014/chart" uri="{C3380CC4-5D6E-409C-BE32-E72D297353CC}">
              <c16:uniqueId val="{0000000D-4A33-4677-929A-7449B58890CB}"/>
            </c:ext>
          </c:extLst>
        </c:ser>
        <c:ser>
          <c:idx val="14"/>
          <c:order val="13"/>
          <c:tx>
            <c:strRef>
              <c:f>MLA_C2_Quality!$A$15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MLA_C2_Quality!$B$15:$E$15</c:f>
              <c:numCache>
                <c:formatCode>0.0%</c:formatCode>
                <c:ptCount val="4"/>
                <c:pt idx="0">
                  <c:v>0.105</c:v>
                </c:pt>
                <c:pt idx="1">
                  <c:v>0.13400000000000001</c:v>
                </c:pt>
                <c:pt idx="2">
                  <c:v>0.17499999999999999</c:v>
                </c:pt>
                <c:pt idx="3">
                  <c:v>0.23200000000000001</c:v>
                </c:pt>
              </c:numCache>
            </c:numRef>
          </c:yVal>
          <c:smooth val="0"/>
          <c:extLst>
            <c:ext xmlns:c16="http://schemas.microsoft.com/office/drawing/2014/chart" uri="{C3380CC4-5D6E-409C-BE32-E72D297353CC}">
              <c16:uniqueId val="{0000000E-4A33-4677-929A-7449B58890CB}"/>
            </c:ext>
          </c:extLst>
        </c:ser>
        <c:ser>
          <c:idx val="15"/>
          <c:order val="14"/>
          <c:tx>
            <c:strRef>
              <c:f>MLA_C2_Quality!$A$16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MLA_C2_Quality!$B$16:$E$16</c:f>
              <c:numCache>
                <c:formatCode>0.0%</c:formatCode>
                <c:ptCount val="4"/>
                <c:pt idx="0">
                  <c:v>6.3E-2</c:v>
                </c:pt>
                <c:pt idx="1">
                  <c:v>6.6000000000000003E-2</c:v>
                </c:pt>
                <c:pt idx="2">
                  <c:v>0.14799999999999999</c:v>
                </c:pt>
                <c:pt idx="3">
                  <c:v>0.13900000000000001</c:v>
                </c:pt>
              </c:numCache>
            </c:numRef>
          </c:yVal>
          <c:smooth val="0"/>
          <c:extLst>
            <c:ext xmlns:c16="http://schemas.microsoft.com/office/drawing/2014/chart" uri="{C3380CC4-5D6E-409C-BE32-E72D297353CC}">
              <c16:uniqueId val="{0000000F-4A33-4677-929A-7449B58890CB}"/>
            </c:ext>
          </c:extLst>
        </c:ser>
        <c:ser>
          <c:idx val="16"/>
          <c:order val="15"/>
          <c:tx>
            <c:strRef>
              <c:f>MLA_C2_Quality!$A$17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MLA_C2_Quality!$B$17:$E$17</c:f>
              <c:numCache>
                <c:formatCode>0.0%</c:formatCode>
                <c:ptCount val="4"/>
                <c:pt idx="0">
                  <c:v>4.0000000000000001E-3</c:v>
                </c:pt>
                <c:pt idx="1">
                  <c:v>4.1000000000000002E-2</c:v>
                </c:pt>
                <c:pt idx="2">
                  <c:v>7.9000000000000001E-2</c:v>
                </c:pt>
                <c:pt idx="3">
                  <c:v>0.13700000000000001</c:v>
                </c:pt>
              </c:numCache>
            </c:numRef>
          </c:yVal>
          <c:smooth val="0"/>
          <c:extLst>
            <c:ext xmlns:c16="http://schemas.microsoft.com/office/drawing/2014/chart" uri="{C3380CC4-5D6E-409C-BE32-E72D297353CC}">
              <c16:uniqueId val="{00000010-4A33-4677-929A-7449B58890CB}"/>
            </c:ext>
          </c:extLst>
        </c:ser>
        <c:ser>
          <c:idx val="17"/>
          <c:order val="17"/>
          <c:tx>
            <c:strRef>
              <c:f>MLA_C2_Quality!$A$20</c:f>
              <c:strCache>
                <c:ptCount val="1"/>
                <c:pt idx="0">
                  <c:v>CCO statewide</c:v>
                </c:pt>
              </c:strCache>
            </c:strRef>
          </c:tx>
          <c:spPr>
            <a:ln w="25400" cap="rnd">
              <a:noFill/>
              <a:round/>
            </a:ln>
            <a:effectLst/>
          </c:spPr>
          <c:marker>
            <c:symbol val="circle"/>
            <c:size val="7"/>
            <c:spPr>
              <a:solidFill>
                <a:schemeClr val="accent1">
                  <a:lumMod val="75000"/>
                </a:schemeClr>
              </a:solidFill>
              <a:ln w="9525">
                <a:noFill/>
              </a:ln>
              <a:effectLst/>
            </c:spPr>
          </c:marker>
          <c:xVal>
            <c:strRef>
              <c:f>MLA_C2_Quality!$B$1:$E$1</c:f>
              <c:strCache>
                <c:ptCount val="4"/>
                <c:pt idx="0">
                  <c:v>'22</c:v>
                </c:pt>
                <c:pt idx="1">
                  <c:v>'23</c:v>
                </c:pt>
                <c:pt idx="2">
                  <c:v>'24</c:v>
                </c:pt>
                <c:pt idx="3">
                  <c:v>'25</c:v>
                </c:pt>
              </c:strCache>
            </c:strRef>
          </c:xVal>
          <c:yVal>
            <c:numRef>
              <c:f>MLA_C2_Quality!$B$20:$E$20</c:f>
              <c:numCache>
                <c:formatCode>0.0%</c:formatCode>
                <c:ptCount val="4"/>
                <c:pt idx="0">
                  <c:v>5.5999999999999994E-2</c:v>
                </c:pt>
                <c:pt idx="1">
                  <c:v>0.107</c:v>
                </c:pt>
                <c:pt idx="2">
                  <c:v>0.14399999999999999</c:v>
                </c:pt>
                <c:pt idx="3">
                  <c:v>0.16900000000000001</c:v>
                </c:pt>
              </c:numCache>
            </c:numRef>
          </c:yVal>
          <c:smooth val="0"/>
          <c:extLst>
            <c:ext xmlns:c16="http://schemas.microsoft.com/office/drawing/2014/chart" uri="{C3380CC4-5D6E-409C-BE32-E72D297353CC}">
              <c16:uniqueId val="{00000011-4A33-4677-929A-7449B58890CB}"/>
            </c:ext>
          </c:extLst>
        </c:ser>
        <c:ser>
          <c:idx val="19"/>
          <c:order val="18"/>
          <c:tx>
            <c:v>Individual CCOs</c:v>
          </c:tx>
          <c:spPr>
            <a:ln w="25400" cap="rnd">
              <a:noFill/>
              <a:round/>
            </a:ln>
            <a:effectLst/>
          </c:spPr>
          <c:marker>
            <c:symbol val="circle"/>
            <c:size val="6"/>
            <c:spPr>
              <a:noFill/>
              <a:ln w="9525">
                <a:solidFill>
                  <a:srgbClr val="606060"/>
                </a:solidFill>
              </a:ln>
              <a:effectLst/>
            </c:spPr>
          </c:marker>
          <c:xVal>
            <c:strRef>
              <c:f>MLA_C2_Quality!$B$1:$E$1</c:f>
              <c:strCache>
                <c:ptCount val="4"/>
                <c:pt idx="0">
                  <c:v>'22</c:v>
                </c:pt>
                <c:pt idx="1">
                  <c:v>'23</c:v>
                </c:pt>
                <c:pt idx="2">
                  <c:v>'24</c:v>
                </c:pt>
                <c:pt idx="3">
                  <c:v>'25</c:v>
                </c:pt>
              </c:strCache>
            </c:strRef>
          </c:xVal>
          <c:yVal>
            <c:numRef>
              <c:f>MLA_C2_Quality!$B$19:$E$19</c:f>
              <c:numCache>
                <c:formatCode>0.0%</c:formatCode>
                <c:ptCount val="4"/>
                <c:pt idx="0">
                  <c:v>0.122</c:v>
                </c:pt>
                <c:pt idx="1">
                  <c:v>9.9000000000000005E-2</c:v>
                </c:pt>
                <c:pt idx="2">
                  <c:v>0.23699999999999999</c:v>
                </c:pt>
                <c:pt idx="3">
                  <c:v>0.21099999999999999</c:v>
                </c:pt>
              </c:numCache>
            </c:numRef>
          </c:yVal>
          <c:smooth val="0"/>
          <c:extLst>
            <c:ext xmlns:c16="http://schemas.microsoft.com/office/drawing/2014/chart" uri="{C3380CC4-5D6E-409C-BE32-E72D297353CC}">
              <c16:uniqueId val="{00000012-4A33-4677-929A-7449B58890CB}"/>
            </c:ext>
          </c:extLst>
        </c:ser>
        <c:ser>
          <c:idx val="18"/>
          <c:order val="19"/>
          <c:tx>
            <c:strRef>
              <c:f>MLA_C2_Quality!$A$21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tx>
                <c:rich>
                  <a:bodyPr/>
                  <a:lstStyle/>
                  <a:p>
                    <a:r>
                      <a:rPr lang="en-US"/>
                      <a:t>Punto de referencia</a:t>
                    </a:r>
                  </a:p>
                </c:rich>
              </c:tx>
              <c:dLblPos val="l"/>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4A33-4677-929A-7449B58890C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MLA_C2_Quality!$B$1:$E$1</c:f>
              <c:strCache>
                <c:ptCount val="4"/>
                <c:pt idx="0">
                  <c:v>'22</c:v>
                </c:pt>
                <c:pt idx="1">
                  <c:v>'23</c:v>
                </c:pt>
                <c:pt idx="2">
                  <c:v>'24</c:v>
                </c:pt>
                <c:pt idx="3">
                  <c:v>'25</c:v>
                </c:pt>
              </c:strCache>
            </c:strRef>
          </c:xVal>
          <c:yVal>
            <c:numRef>
              <c:f>MLA_C2_Quality!$B$21:$E$21</c:f>
              <c:numCache>
                <c:formatCode>0.0%</c:formatCode>
                <c:ptCount val="4"/>
                <c:pt idx="1">
                  <c:v>0.75</c:v>
                </c:pt>
                <c:pt idx="2">
                  <c:v>0.75</c:v>
                </c:pt>
                <c:pt idx="3">
                  <c:v>0.5</c:v>
                </c:pt>
              </c:numCache>
            </c:numRef>
          </c:yVal>
          <c:smooth val="0"/>
          <c:extLst>
            <c:ext xmlns:c16="http://schemas.microsoft.com/office/drawing/2014/chart" uri="{C3380CC4-5D6E-409C-BE32-E72D297353CC}">
              <c16:uniqueId val="{00000014-4A33-4677-929A-7449B58890C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b="0">
                <a:solidFill>
                  <a:schemeClr val="accent1">
                    <a:lumMod val="75000"/>
                  </a:schemeClr>
                </a:solidFill>
                <a:latin typeface="+mn-lt"/>
              </a:rPr>
              <a:t>Niños de 1 a 5 años de edad</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048162729658793"/>
          <c:y val="0.1403371453568304"/>
          <c:w val="0.84896281714785649"/>
          <c:h val="0.66197787776527939"/>
        </c:manualLayout>
      </c:layout>
      <c:lineChart>
        <c:grouping val="standard"/>
        <c:varyColors val="0"/>
        <c:ser>
          <c:idx val="12"/>
          <c:order val="16"/>
          <c:tx>
            <c:strRef>
              <c:f>PrevDentOral_0105!$A$18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PrevDentOral_0105!$B$1:$I$1</c:f>
              <c:strCache>
                <c:ptCount val="8"/>
                <c:pt idx="0">
                  <c:v>'18</c:v>
                </c:pt>
                <c:pt idx="1">
                  <c:v>'19</c:v>
                </c:pt>
                <c:pt idx="2">
                  <c:v>'20</c:v>
                </c:pt>
                <c:pt idx="3">
                  <c:v>'21</c:v>
                </c:pt>
                <c:pt idx="4">
                  <c:v>'22</c:v>
                </c:pt>
                <c:pt idx="5">
                  <c:v>'23</c:v>
                </c:pt>
                <c:pt idx="6">
                  <c:v>'24</c:v>
                </c:pt>
                <c:pt idx="7">
                  <c:v>'25</c:v>
                </c:pt>
              </c:strCache>
            </c:strRef>
          </c:cat>
          <c:val>
            <c:numRef>
              <c:f>PrevDentOral_0105!$B$18:$I$18</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val>
          <c:smooth val="0"/>
          <c:extLst>
            <c:ext xmlns:c16="http://schemas.microsoft.com/office/drawing/2014/chart" uri="{C3380CC4-5D6E-409C-BE32-E72D297353CC}">
              <c16:uniqueId val="{00000000-8B64-4A6C-838F-5C5B2B50C34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PrevDentOral_0105!$A$2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PrevDentOral_0105!$B$2:$I$2</c:f>
              <c:numCache>
                <c:formatCode>0.0%</c:formatCode>
                <c:ptCount val="8"/>
                <c:pt idx="0">
                  <c:v>0.45</c:v>
                </c:pt>
                <c:pt idx="1">
                  <c:v>0.42100000000000004</c:v>
                </c:pt>
                <c:pt idx="2">
                  <c:v>0.33200000000000002</c:v>
                </c:pt>
                <c:pt idx="3">
                  <c:v>0.44900000000000001</c:v>
                </c:pt>
                <c:pt idx="4">
                  <c:v>0.52400000000000002</c:v>
                </c:pt>
                <c:pt idx="5">
                  <c:v>0.59599999999999997</c:v>
                </c:pt>
                <c:pt idx="6">
                  <c:v>0.69199999999999984</c:v>
                </c:pt>
                <c:pt idx="7">
                  <c:v>0.68400000000000005</c:v>
                </c:pt>
              </c:numCache>
            </c:numRef>
          </c:yVal>
          <c:smooth val="0"/>
          <c:extLst>
            <c:ext xmlns:c16="http://schemas.microsoft.com/office/drawing/2014/chart" uri="{C3380CC4-5D6E-409C-BE32-E72D297353CC}">
              <c16:uniqueId val="{00000001-8B64-4A6C-838F-5C5B2B50C34B}"/>
            </c:ext>
          </c:extLst>
        </c:ser>
        <c:ser>
          <c:idx val="1"/>
          <c:order val="1"/>
          <c:tx>
            <c:strRef>
              <c:f>PrevDentOral_0105!$A$3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PrevDentOral_0105!$B$3:$I$3</c:f>
              <c:numCache>
                <c:formatCode>0.0%</c:formatCode>
                <c:ptCount val="8"/>
                <c:pt idx="0">
                  <c:v>0.44400000000000001</c:v>
                </c:pt>
                <c:pt idx="1">
                  <c:v>0.45900000000000002</c:v>
                </c:pt>
                <c:pt idx="2">
                  <c:v>0.435</c:v>
                </c:pt>
                <c:pt idx="3">
                  <c:v>0.505</c:v>
                </c:pt>
                <c:pt idx="4">
                  <c:v>0.57500000000000007</c:v>
                </c:pt>
                <c:pt idx="5">
                  <c:v>0.61599999999999999</c:v>
                </c:pt>
                <c:pt idx="6">
                  <c:v>0.66</c:v>
                </c:pt>
                <c:pt idx="7">
                  <c:v>0.59599999999999997</c:v>
                </c:pt>
              </c:numCache>
            </c:numRef>
          </c:yVal>
          <c:smooth val="0"/>
          <c:extLst>
            <c:ext xmlns:c16="http://schemas.microsoft.com/office/drawing/2014/chart" uri="{C3380CC4-5D6E-409C-BE32-E72D297353CC}">
              <c16:uniqueId val="{00000002-8B64-4A6C-838F-5C5B2B50C34B}"/>
            </c:ext>
          </c:extLst>
        </c:ser>
        <c:ser>
          <c:idx val="2"/>
          <c:order val="2"/>
          <c:tx>
            <c:strRef>
              <c:f>PrevDentOral_0105!$A$4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PrevDentOral_0105!$B$4:$I$4</c:f>
              <c:numCache>
                <c:formatCode>0.0%</c:formatCode>
                <c:ptCount val="8"/>
                <c:pt idx="0">
                  <c:v>0.36</c:v>
                </c:pt>
                <c:pt idx="1">
                  <c:v>0.42200000000000004</c:v>
                </c:pt>
                <c:pt idx="2">
                  <c:v>0.44400000000000001</c:v>
                </c:pt>
                <c:pt idx="3">
                  <c:v>0.55900000000000005</c:v>
                </c:pt>
                <c:pt idx="4">
                  <c:v>0.54100000000000004</c:v>
                </c:pt>
                <c:pt idx="5">
                  <c:v>0.58799999999999997</c:v>
                </c:pt>
                <c:pt idx="6">
                  <c:v>0.57599999999999996</c:v>
                </c:pt>
                <c:pt idx="7">
                  <c:v>0.57099999999999995</c:v>
                </c:pt>
              </c:numCache>
            </c:numRef>
          </c:yVal>
          <c:smooth val="0"/>
          <c:extLst>
            <c:ext xmlns:c16="http://schemas.microsoft.com/office/drawing/2014/chart" uri="{C3380CC4-5D6E-409C-BE32-E72D297353CC}">
              <c16:uniqueId val="{00000003-8B64-4A6C-838F-5C5B2B50C34B}"/>
            </c:ext>
          </c:extLst>
        </c:ser>
        <c:ser>
          <c:idx val="3"/>
          <c:order val="3"/>
          <c:tx>
            <c:strRef>
              <c:f>PrevDentOral_0105!$A$5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PrevDentOral_0105!$B$5:$I$5</c:f>
              <c:numCache>
                <c:formatCode>0.0%</c:formatCode>
                <c:ptCount val="8"/>
                <c:pt idx="0">
                  <c:v>0.33200000000000002</c:v>
                </c:pt>
                <c:pt idx="1">
                  <c:v>0.35600000000000004</c:v>
                </c:pt>
                <c:pt idx="2">
                  <c:v>0.32700000000000001</c:v>
                </c:pt>
                <c:pt idx="3">
                  <c:v>0.42100000000000004</c:v>
                </c:pt>
                <c:pt idx="4">
                  <c:v>0.42399999999999999</c:v>
                </c:pt>
                <c:pt idx="5">
                  <c:v>0.47199999999999998</c:v>
                </c:pt>
                <c:pt idx="6">
                  <c:v>0.54500000000000004</c:v>
                </c:pt>
                <c:pt idx="7">
                  <c:v>0.51900000000000002</c:v>
                </c:pt>
              </c:numCache>
            </c:numRef>
          </c:yVal>
          <c:smooth val="0"/>
          <c:extLst>
            <c:ext xmlns:c16="http://schemas.microsoft.com/office/drawing/2014/chart" uri="{C3380CC4-5D6E-409C-BE32-E72D297353CC}">
              <c16:uniqueId val="{00000004-8B64-4A6C-838F-5C5B2B50C34B}"/>
            </c:ext>
          </c:extLst>
        </c:ser>
        <c:ser>
          <c:idx val="4"/>
          <c:order val="4"/>
          <c:tx>
            <c:strRef>
              <c:f>PrevDentOral_0105!$A$6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PrevDentOral_0105!$B$6:$I$6</c:f>
              <c:numCache>
                <c:formatCode>0.0%</c:formatCode>
                <c:ptCount val="8"/>
                <c:pt idx="0">
                  <c:v>0.44700000000000006</c:v>
                </c:pt>
                <c:pt idx="1">
                  <c:v>0.42499999999999999</c:v>
                </c:pt>
                <c:pt idx="2">
                  <c:v>0.35299999999999998</c:v>
                </c:pt>
                <c:pt idx="3">
                  <c:v>0.45900000000000002</c:v>
                </c:pt>
                <c:pt idx="4">
                  <c:v>0.48200000000000004</c:v>
                </c:pt>
                <c:pt idx="5">
                  <c:v>0.60699999999999998</c:v>
                </c:pt>
                <c:pt idx="6">
                  <c:v>0.65700000000000003</c:v>
                </c:pt>
                <c:pt idx="7">
                  <c:v>0.63500000000000001</c:v>
                </c:pt>
              </c:numCache>
            </c:numRef>
          </c:yVal>
          <c:smooth val="0"/>
          <c:extLst>
            <c:ext xmlns:c16="http://schemas.microsoft.com/office/drawing/2014/chart" uri="{C3380CC4-5D6E-409C-BE32-E72D297353CC}">
              <c16:uniqueId val="{00000005-8B64-4A6C-838F-5C5B2B50C34B}"/>
            </c:ext>
          </c:extLst>
        </c:ser>
        <c:ser>
          <c:idx val="5"/>
          <c:order val="5"/>
          <c:tx>
            <c:strRef>
              <c:f>PrevDentOral_0105!$A$7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PrevDentOral_0105!$B$7:$I$7</c:f>
              <c:numCache>
                <c:formatCode>0.0%</c:formatCode>
                <c:ptCount val="8"/>
                <c:pt idx="0">
                  <c:v>0.44</c:v>
                </c:pt>
                <c:pt idx="1">
                  <c:v>0.44</c:v>
                </c:pt>
                <c:pt idx="2">
                  <c:v>0.36100000000000004</c:v>
                </c:pt>
                <c:pt idx="3">
                  <c:v>0.45200000000000001</c:v>
                </c:pt>
                <c:pt idx="4">
                  <c:v>0.49</c:v>
                </c:pt>
                <c:pt idx="5">
                  <c:v>0.55100000000000005</c:v>
                </c:pt>
                <c:pt idx="6">
                  <c:v>0.60399999999999998</c:v>
                </c:pt>
                <c:pt idx="7">
                  <c:v>0.626</c:v>
                </c:pt>
              </c:numCache>
            </c:numRef>
          </c:yVal>
          <c:smooth val="0"/>
          <c:extLst>
            <c:ext xmlns:c16="http://schemas.microsoft.com/office/drawing/2014/chart" uri="{C3380CC4-5D6E-409C-BE32-E72D297353CC}">
              <c16:uniqueId val="{00000006-8B64-4A6C-838F-5C5B2B50C34B}"/>
            </c:ext>
          </c:extLst>
        </c:ser>
        <c:ser>
          <c:idx val="6"/>
          <c:order val="6"/>
          <c:tx>
            <c:strRef>
              <c:f>PrevDentOral_0105!$A$8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PrevDentOral_0105!$B$8:$I$8</c:f>
              <c:numCache>
                <c:formatCode>0.0%</c:formatCode>
                <c:ptCount val="8"/>
                <c:pt idx="0">
                  <c:v>0.36700000000000005</c:v>
                </c:pt>
                <c:pt idx="1">
                  <c:v>0.41399999999999998</c:v>
                </c:pt>
                <c:pt idx="2">
                  <c:v>0.378</c:v>
                </c:pt>
                <c:pt idx="3">
                  <c:v>0.52500000000000002</c:v>
                </c:pt>
                <c:pt idx="4">
                  <c:v>0.53200000000000003</c:v>
                </c:pt>
                <c:pt idx="5">
                  <c:v>0.56799999999999995</c:v>
                </c:pt>
                <c:pt idx="6">
                  <c:v>0.622</c:v>
                </c:pt>
                <c:pt idx="7">
                  <c:v>0.65500000000000003</c:v>
                </c:pt>
              </c:numCache>
            </c:numRef>
          </c:yVal>
          <c:smooth val="0"/>
          <c:extLst>
            <c:ext xmlns:c16="http://schemas.microsoft.com/office/drawing/2014/chart" uri="{C3380CC4-5D6E-409C-BE32-E72D297353CC}">
              <c16:uniqueId val="{00000007-8B64-4A6C-838F-5C5B2B50C34B}"/>
            </c:ext>
          </c:extLst>
        </c:ser>
        <c:ser>
          <c:idx val="7"/>
          <c:order val="7"/>
          <c:tx>
            <c:strRef>
              <c:f>PrevDentOral_0105!$A$9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PrevDentOral_0105!$B$9:$I$9</c:f>
              <c:numCache>
                <c:formatCode>0.0%</c:formatCode>
                <c:ptCount val="8"/>
                <c:pt idx="0">
                  <c:v>0.46</c:v>
                </c:pt>
                <c:pt idx="1">
                  <c:v>0.504</c:v>
                </c:pt>
                <c:pt idx="2">
                  <c:v>0.43100000000000005</c:v>
                </c:pt>
                <c:pt idx="3">
                  <c:v>0.47500000000000003</c:v>
                </c:pt>
                <c:pt idx="4">
                  <c:v>0.53600000000000003</c:v>
                </c:pt>
                <c:pt idx="5">
                  <c:v>0.60499999999999998</c:v>
                </c:pt>
                <c:pt idx="6">
                  <c:v>0.66600000000000004</c:v>
                </c:pt>
                <c:pt idx="7">
                  <c:v>0.66600000000000004</c:v>
                </c:pt>
              </c:numCache>
            </c:numRef>
          </c:yVal>
          <c:smooth val="0"/>
          <c:extLst>
            <c:ext xmlns:c16="http://schemas.microsoft.com/office/drawing/2014/chart" uri="{C3380CC4-5D6E-409C-BE32-E72D297353CC}">
              <c16:uniqueId val="{00000008-8B64-4A6C-838F-5C5B2B50C34B}"/>
            </c:ext>
          </c:extLst>
        </c:ser>
        <c:ser>
          <c:idx val="8"/>
          <c:order val="8"/>
          <c:tx>
            <c:strRef>
              <c:f>PrevDentOral_0105!$A$10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PrevDentOral_0105!$B$10:$I$10</c:f>
              <c:numCache>
                <c:formatCode>0.0%</c:formatCode>
                <c:ptCount val="8"/>
                <c:pt idx="0">
                  <c:v>0.45200000000000001</c:v>
                </c:pt>
                <c:pt idx="1">
                  <c:v>0.46200000000000002</c:v>
                </c:pt>
                <c:pt idx="2">
                  <c:v>0.33799999999999997</c:v>
                </c:pt>
                <c:pt idx="3">
                  <c:v>0.435</c:v>
                </c:pt>
                <c:pt idx="4">
                  <c:v>0.48</c:v>
                </c:pt>
                <c:pt idx="5">
                  <c:v>0.58499999999999996</c:v>
                </c:pt>
                <c:pt idx="6">
                  <c:v>0.59399999999999997</c:v>
                </c:pt>
                <c:pt idx="7">
                  <c:v>0.58499999999999996</c:v>
                </c:pt>
              </c:numCache>
            </c:numRef>
          </c:yVal>
          <c:smooth val="0"/>
          <c:extLst>
            <c:ext xmlns:c16="http://schemas.microsoft.com/office/drawing/2014/chart" uri="{C3380CC4-5D6E-409C-BE32-E72D297353CC}">
              <c16:uniqueId val="{00000009-8B64-4A6C-838F-5C5B2B50C34B}"/>
            </c:ext>
          </c:extLst>
        </c:ser>
        <c:ser>
          <c:idx val="9"/>
          <c:order val="9"/>
          <c:tx>
            <c:strRef>
              <c:f>PrevDentOral_0105!$A$11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PrevDentOral_0105!$B$11:$I$11</c:f>
              <c:numCache>
                <c:formatCode>0.0%</c:formatCode>
                <c:ptCount val="8"/>
                <c:pt idx="0">
                  <c:v>0.53300000000000003</c:v>
                </c:pt>
                <c:pt idx="1">
                  <c:v>0.51500000000000001</c:v>
                </c:pt>
                <c:pt idx="2">
                  <c:v>0.33700000000000002</c:v>
                </c:pt>
                <c:pt idx="3">
                  <c:v>0.40899999999999997</c:v>
                </c:pt>
                <c:pt idx="4">
                  <c:v>0.40899999999999997</c:v>
                </c:pt>
                <c:pt idx="5">
                  <c:v>0.5</c:v>
                </c:pt>
                <c:pt idx="6">
                  <c:v>0.51</c:v>
                </c:pt>
                <c:pt idx="7">
                  <c:v>0.58499999999999996</c:v>
                </c:pt>
              </c:numCache>
            </c:numRef>
          </c:yVal>
          <c:smooth val="0"/>
          <c:extLst>
            <c:ext xmlns:c16="http://schemas.microsoft.com/office/drawing/2014/chart" uri="{C3380CC4-5D6E-409C-BE32-E72D297353CC}">
              <c16:uniqueId val="{0000000A-8B64-4A6C-838F-5C5B2B50C34B}"/>
            </c:ext>
          </c:extLst>
        </c:ser>
        <c:ser>
          <c:idx val="10"/>
          <c:order val="10"/>
          <c:tx>
            <c:strRef>
              <c:f>PrevDentOral_0105!$A$12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PrevDentOral_0105!$B$12:$I$12</c:f>
              <c:numCache>
                <c:formatCode>General</c:formatCode>
                <c:ptCount val="8"/>
                <c:pt idx="2" formatCode="0.0%">
                  <c:v>0.39900000000000002</c:v>
                </c:pt>
                <c:pt idx="3" formatCode="0.0%">
                  <c:v>0.53300000000000003</c:v>
                </c:pt>
                <c:pt idx="4" formatCode="0.0%">
                  <c:v>0.51</c:v>
                </c:pt>
                <c:pt idx="5" formatCode="0.0%">
                  <c:v>0.56000000000000005</c:v>
                </c:pt>
                <c:pt idx="6" formatCode="0.0%">
                  <c:v>0.627</c:v>
                </c:pt>
                <c:pt idx="7" formatCode="0.0%">
                  <c:v>0.69099999999999995</c:v>
                </c:pt>
              </c:numCache>
            </c:numRef>
          </c:yVal>
          <c:smooth val="0"/>
          <c:extLst>
            <c:ext xmlns:c16="http://schemas.microsoft.com/office/drawing/2014/chart" uri="{C3380CC4-5D6E-409C-BE32-E72D297353CC}">
              <c16:uniqueId val="{0000000B-8B64-4A6C-838F-5C5B2B50C34B}"/>
            </c:ext>
          </c:extLst>
        </c:ser>
        <c:ser>
          <c:idx val="11"/>
          <c:order val="11"/>
          <c:tx>
            <c:strRef>
              <c:f>PrevDentOral_0105!$A$13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PrevDentOral_0105!$B$13:$I$13</c:f>
              <c:numCache>
                <c:formatCode>General</c:formatCode>
                <c:ptCount val="8"/>
                <c:pt idx="2" formatCode="0.0%">
                  <c:v>0.40299999999999997</c:v>
                </c:pt>
                <c:pt idx="3" formatCode="0.0%">
                  <c:v>0.501</c:v>
                </c:pt>
                <c:pt idx="4" formatCode="0.0%">
                  <c:v>0.52800000000000002</c:v>
                </c:pt>
                <c:pt idx="5" formatCode="0.0%">
                  <c:v>0.56200000000000006</c:v>
                </c:pt>
                <c:pt idx="6" formatCode="0.0%">
                  <c:v>0.63400000000000001</c:v>
                </c:pt>
                <c:pt idx="7" formatCode="0.0%">
                  <c:v>0.65500000000000003</c:v>
                </c:pt>
              </c:numCache>
            </c:numRef>
          </c:yVal>
          <c:smooth val="0"/>
          <c:extLst>
            <c:ext xmlns:c16="http://schemas.microsoft.com/office/drawing/2014/chart" uri="{C3380CC4-5D6E-409C-BE32-E72D297353CC}">
              <c16:uniqueId val="{0000000C-8B64-4A6C-838F-5C5B2B50C34B}"/>
            </c:ext>
          </c:extLst>
        </c:ser>
        <c:ser>
          <c:idx val="13"/>
          <c:order val="12"/>
          <c:tx>
            <c:strRef>
              <c:f>PrevDentOral_0105!$A$14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8B64-4A6C-838F-5C5B2B50C34B}"/>
              </c:ext>
            </c:extLst>
          </c:dPt>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PrevDentOral_0105!$B$14:$I$14</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0E-8B64-4A6C-838F-5C5B2B50C34B}"/>
            </c:ext>
          </c:extLst>
        </c:ser>
        <c:ser>
          <c:idx val="14"/>
          <c:order val="13"/>
          <c:tx>
            <c:strRef>
              <c:f>PrevDentOral_0105!$A$15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PrevDentOral_0105!$B$15:$I$15</c:f>
              <c:numCache>
                <c:formatCode>General</c:formatCode>
                <c:ptCount val="8"/>
                <c:pt idx="3" formatCode="0.0%">
                  <c:v>0.26100000000000001</c:v>
                </c:pt>
                <c:pt idx="4" formatCode="0.0%">
                  <c:v>0.33600000000000002</c:v>
                </c:pt>
                <c:pt idx="5" formatCode="0.0%">
                  <c:v>0.36799999999999999</c:v>
                </c:pt>
                <c:pt idx="6" formatCode="0.0%">
                  <c:v>0.433</c:v>
                </c:pt>
                <c:pt idx="7" formatCode="0.0%">
                  <c:v>0.50900000000000001</c:v>
                </c:pt>
              </c:numCache>
            </c:numRef>
          </c:yVal>
          <c:smooth val="0"/>
          <c:extLst>
            <c:ext xmlns:c16="http://schemas.microsoft.com/office/drawing/2014/chart" uri="{C3380CC4-5D6E-409C-BE32-E72D297353CC}">
              <c16:uniqueId val="{0000000F-8B64-4A6C-838F-5C5B2B50C34B}"/>
            </c:ext>
          </c:extLst>
        </c:ser>
        <c:ser>
          <c:idx val="15"/>
          <c:order val="14"/>
          <c:tx>
            <c:strRef>
              <c:f>PrevDentOral_0105!$A$16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PrevDentOral_0105!$B$16:$I$16</c:f>
              <c:numCache>
                <c:formatCode>0.0%</c:formatCode>
                <c:ptCount val="8"/>
                <c:pt idx="0">
                  <c:v>0.43200000000000005</c:v>
                </c:pt>
                <c:pt idx="1">
                  <c:v>0.47000000000000003</c:v>
                </c:pt>
                <c:pt idx="2">
                  <c:v>0.35600000000000004</c:v>
                </c:pt>
                <c:pt idx="3">
                  <c:v>0.498</c:v>
                </c:pt>
                <c:pt idx="4">
                  <c:v>0.47000000000000003</c:v>
                </c:pt>
                <c:pt idx="5">
                  <c:v>0.55800000000000005</c:v>
                </c:pt>
                <c:pt idx="6">
                  <c:v>0.60899999999999999</c:v>
                </c:pt>
                <c:pt idx="7">
                  <c:v>0.63600000000000001</c:v>
                </c:pt>
              </c:numCache>
            </c:numRef>
          </c:yVal>
          <c:smooth val="0"/>
          <c:extLst>
            <c:ext xmlns:c16="http://schemas.microsoft.com/office/drawing/2014/chart" uri="{C3380CC4-5D6E-409C-BE32-E72D297353CC}">
              <c16:uniqueId val="{00000010-8B64-4A6C-838F-5C5B2B50C34B}"/>
            </c:ext>
          </c:extLst>
        </c:ser>
        <c:ser>
          <c:idx val="16"/>
          <c:order val="15"/>
          <c:tx>
            <c:strRef>
              <c:f>PrevDentOral_0105!$A$17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PrevDentOral_0105!$B$17:$I$17</c:f>
              <c:numCache>
                <c:formatCode>0.0%</c:formatCode>
                <c:ptCount val="8"/>
                <c:pt idx="0">
                  <c:v>0.37200000000000005</c:v>
                </c:pt>
                <c:pt idx="1">
                  <c:v>0.45700000000000002</c:v>
                </c:pt>
                <c:pt idx="2">
                  <c:v>0.25600000000000001</c:v>
                </c:pt>
                <c:pt idx="3">
                  <c:v>0.40399999999999997</c:v>
                </c:pt>
                <c:pt idx="4">
                  <c:v>0.443</c:v>
                </c:pt>
                <c:pt idx="5">
                  <c:v>0.51</c:v>
                </c:pt>
                <c:pt idx="6">
                  <c:v>0.59599999999999997</c:v>
                </c:pt>
                <c:pt idx="7">
                  <c:v>0.59399999999999997</c:v>
                </c:pt>
              </c:numCache>
            </c:numRef>
          </c:yVal>
          <c:smooth val="0"/>
          <c:extLst>
            <c:ext xmlns:c16="http://schemas.microsoft.com/office/drawing/2014/chart" uri="{C3380CC4-5D6E-409C-BE32-E72D297353CC}">
              <c16:uniqueId val="{00000011-8B64-4A6C-838F-5C5B2B50C34B}"/>
            </c:ext>
          </c:extLst>
        </c:ser>
        <c:ser>
          <c:idx val="17"/>
          <c:order val="17"/>
          <c:tx>
            <c:strRef>
              <c:f>PrevDentOral_0105!$A$20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PrevDentOral_0105!$B$20:$I$20</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12-8B64-4A6C-838F-5C5B2B50C34B}"/>
            </c:ext>
          </c:extLst>
        </c:ser>
        <c:ser>
          <c:idx val="19"/>
          <c:order val="18"/>
          <c:tx>
            <c:strRef>
              <c:f>PrevDentOral_0105!$A$19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PrevDentOral_0105!$B$19:$I$19</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yVal>
          <c:smooth val="0"/>
          <c:extLst>
            <c:ext xmlns:c16="http://schemas.microsoft.com/office/drawing/2014/chart" uri="{C3380CC4-5D6E-409C-BE32-E72D297353CC}">
              <c16:uniqueId val="{00000013-8B64-4A6C-838F-5C5B2B50C34B}"/>
            </c:ext>
          </c:extLst>
        </c:ser>
        <c:ser>
          <c:idx val="18"/>
          <c:order val="19"/>
          <c:tx>
            <c:strRef>
              <c:f>PrevDentOral_0105!$A$21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layout>
                <c:manualLayout>
                  <c:x val="-0.21698622047244095"/>
                  <c:y val="-4.5093738282714659E-2"/>
                </c:manualLayout>
              </c:layout>
              <c:tx>
                <c:rich>
                  <a:bodyPr/>
                  <a:lstStyle/>
                  <a:p>
                    <a:r>
                      <a:rPr lang="en-US" sz="1050">
                        <a:solidFill>
                          <a:schemeClr val="accent2">
                            <a:lumMod val="50000"/>
                          </a:schemeClr>
                        </a:solidFill>
                        <a:latin typeface="Aptos" panose="020B0004020202020204" pitchFamily="34" charset="0"/>
                      </a:rPr>
                      <a:t>Punto de referencia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8B64-4A6C-838F-5C5B2B50C34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PrevDentOral_0105!$B$21:$I$21</c:f>
              <c:numCache>
                <c:formatCode>General</c:formatCode>
                <c:ptCount val="8"/>
                <c:pt idx="2" formatCode="0.0%">
                  <c:v>0.54600000000000004</c:v>
                </c:pt>
                <c:pt idx="3" formatCode="0.0%">
                  <c:v>0.33700000000000002</c:v>
                </c:pt>
                <c:pt idx="4" formatCode="0.0%">
                  <c:v>0.43099999999999999</c:v>
                </c:pt>
                <c:pt idx="5" formatCode="0.0%">
                  <c:v>0.47199999999999998</c:v>
                </c:pt>
                <c:pt idx="6" formatCode="0.0%">
                  <c:v>0.52900000000000003</c:v>
                </c:pt>
                <c:pt idx="7" formatCode="0.0%">
                  <c:v>0.60599999999999998</c:v>
                </c:pt>
              </c:numCache>
            </c:numRef>
          </c:yVal>
          <c:smooth val="0"/>
          <c:extLst>
            <c:ext xmlns:c16="http://schemas.microsoft.com/office/drawing/2014/chart" uri="{C3380CC4-5D6E-409C-BE32-E72D297353CC}">
              <c16:uniqueId val="{00000015-8B64-4A6C-838F-5C5B2B50C34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Niños de 6 a 14 años de edad</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048162729658793"/>
          <c:y val="0.1403371453568304"/>
          <c:w val="0.84896281714785649"/>
          <c:h val="0.6699143857017873"/>
        </c:manualLayout>
      </c:layout>
      <c:lineChart>
        <c:grouping val="standard"/>
        <c:varyColors val="0"/>
        <c:ser>
          <c:idx val="12"/>
          <c:order val="16"/>
          <c:tx>
            <c:strRef>
              <c:f>PrevDentOral_0614!$A$18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PrevDentOral_0614!$B$1:$I$1</c:f>
              <c:strCache>
                <c:ptCount val="8"/>
                <c:pt idx="0">
                  <c:v>'18</c:v>
                </c:pt>
                <c:pt idx="1">
                  <c:v>'19</c:v>
                </c:pt>
                <c:pt idx="2">
                  <c:v>'20</c:v>
                </c:pt>
                <c:pt idx="3">
                  <c:v>'21</c:v>
                </c:pt>
                <c:pt idx="4">
                  <c:v>'22</c:v>
                </c:pt>
                <c:pt idx="5">
                  <c:v>'23</c:v>
                </c:pt>
                <c:pt idx="6">
                  <c:v>'24</c:v>
                </c:pt>
                <c:pt idx="7">
                  <c:v>'25</c:v>
                </c:pt>
              </c:strCache>
            </c:strRef>
          </c:cat>
          <c:val>
            <c:numRef>
              <c:f>PrevDentOral_0614!$B$18:$I$18</c:f>
              <c:numCache>
                <c:formatCode>0.0%</c:formatCode>
                <c:ptCount val="8"/>
                <c:pt idx="0">
                  <c:v>0.64</c:v>
                </c:pt>
                <c:pt idx="1">
                  <c:v>0.65200000000000002</c:v>
                </c:pt>
                <c:pt idx="2">
                  <c:v>0.49200000000000005</c:v>
                </c:pt>
                <c:pt idx="3">
                  <c:v>0.56399999999999995</c:v>
                </c:pt>
                <c:pt idx="4">
                  <c:v>0.59700000000000009</c:v>
                </c:pt>
                <c:pt idx="5">
                  <c:v>0.59899999999999998</c:v>
                </c:pt>
                <c:pt idx="6">
                  <c:v>0.62</c:v>
                </c:pt>
                <c:pt idx="7">
                  <c:v>0.65100000000000002</c:v>
                </c:pt>
              </c:numCache>
            </c:numRef>
          </c:val>
          <c:smooth val="0"/>
          <c:extLst>
            <c:ext xmlns:c16="http://schemas.microsoft.com/office/drawing/2014/chart" uri="{C3380CC4-5D6E-409C-BE32-E72D297353CC}">
              <c16:uniqueId val="{00000000-A239-4F6E-87A9-9B5CF28843D1}"/>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PrevDentOral_0614!$A$2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PrevDentOral_0614!$B$2:$I$2</c:f>
              <c:numCache>
                <c:formatCode>0.0%</c:formatCode>
                <c:ptCount val="8"/>
                <c:pt idx="0">
                  <c:v>0.59700000000000009</c:v>
                </c:pt>
                <c:pt idx="1">
                  <c:v>0.58799999999999997</c:v>
                </c:pt>
                <c:pt idx="2">
                  <c:v>0.40100000000000002</c:v>
                </c:pt>
                <c:pt idx="3">
                  <c:v>0.47799999999999998</c:v>
                </c:pt>
                <c:pt idx="4">
                  <c:v>0.60399999999999998</c:v>
                </c:pt>
                <c:pt idx="5">
                  <c:v>0.66</c:v>
                </c:pt>
                <c:pt idx="6">
                  <c:v>0.71299999999999997</c:v>
                </c:pt>
                <c:pt idx="7">
                  <c:v>0.68799999999999994</c:v>
                </c:pt>
              </c:numCache>
            </c:numRef>
          </c:yVal>
          <c:smooth val="0"/>
          <c:extLst>
            <c:ext xmlns:c16="http://schemas.microsoft.com/office/drawing/2014/chart" uri="{C3380CC4-5D6E-409C-BE32-E72D297353CC}">
              <c16:uniqueId val="{00000001-A239-4F6E-87A9-9B5CF28843D1}"/>
            </c:ext>
          </c:extLst>
        </c:ser>
        <c:ser>
          <c:idx val="1"/>
          <c:order val="1"/>
          <c:tx>
            <c:strRef>
              <c:f>PrevDentOral_0614!$A$3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PrevDentOral_0614!$B$3:$I$3</c:f>
              <c:numCache>
                <c:formatCode>0.0%</c:formatCode>
                <c:ptCount val="8"/>
                <c:pt idx="0">
                  <c:v>0.59</c:v>
                </c:pt>
                <c:pt idx="1">
                  <c:v>0.624</c:v>
                </c:pt>
                <c:pt idx="2">
                  <c:v>0.47200000000000003</c:v>
                </c:pt>
                <c:pt idx="3">
                  <c:v>0.52200000000000002</c:v>
                </c:pt>
                <c:pt idx="4">
                  <c:v>0.6</c:v>
                </c:pt>
                <c:pt idx="5">
                  <c:v>0.59899999999999998</c:v>
                </c:pt>
                <c:pt idx="6">
                  <c:v>0.64700000000000002</c:v>
                </c:pt>
                <c:pt idx="7">
                  <c:v>0.59799999999999998</c:v>
                </c:pt>
              </c:numCache>
            </c:numRef>
          </c:yVal>
          <c:smooth val="0"/>
          <c:extLst>
            <c:ext xmlns:c16="http://schemas.microsoft.com/office/drawing/2014/chart" uri="{C3380CC4-5D6E-409C-BE32-E72D297353CC}">
              <c16:uniqueId val="{00000002-A239-4F6E-87A9-9B5CF28843D1}"/>
            </c:ext>
          </c:extLst>
        </c:ser>
        <c:ser>
          <c:idx val="2"/>
          <c:order val="2"/>
          <c:tx>
            <c:strRef>
              <c:f>PrevDentOral_0614!$A$4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PrevDentOral_0614!$B$4:$I$4</c:f>
              <c:numCache>
                <c:formatCode>0.0%</c:formatCode>
                <c:ptCount val="8"/>
                <c:pt idx="0">
                  <c:v>0.59399999999999997</c:v>
                </c:pt>
                <c:pt idx="1">
                  <c:v>0.58100000000000007</c:v>
                </c:pt>
                <c:pt idx="2">
                  <c:v>0.48499999999999999</c:v>
                </c:pt>
                <c:pt idx="3">
                  <c:v>0.47899999999999998</c:v>
                </c:pt>
                <c:pt idx="4">
                  <c:v>0.61</c:v>
                </c:pt>
                <c:pt idx="5">
                  <c:v>0.64500000000000002</c:v>
                </c:pt>
                <c:pt idx="6">
                  <c:v>0.61</c:v>
                </c:pt>
                <c:pt idx="7">
                  <c:v>0.65500000000000003</c:v>
                </c:pt>
              </c:numCache>
            </c:numRef>
          </c:yVal>
          <c:smooth val="0"/>
          <c:extLst>
            <c:ext xmlns:c16="http://schemas.microsoft.com/office/drawing/2014/chart" uri="{C3380CC4-5D6E-409C-BE32-E72D297353CC}">
              <c16:uniqueId val="{00000003-A239-4F6E-87A9-9B5CF28843D1}"/>
            </c:ext>
          </c:extLst>
        </c:ser>
        <c:ser>
          <c:idx val="3"/>
          <c:order val="3"/>
          <c:tx>
            <c:strRef>
              <c:f>PrevDentOral_0614!$A$5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PrevDentOral_0614!$B$5:$I$5</c:f>
              <c:numCache>
                <c:formatCode>0.0%</c:formatCode>
                <c:ptCount val="8"/>
                <c:pt idx="0">
                  <c:v>0.54600000000000004</c:v>
                </c:pt>
                <c:pt idx="1">
                  <c:v>0.55700000000000005</c:v>
                </c:pt>
                <c:pt idx="2">
                  <c:v>0.35100000000000003</c:v>
                </c:pt>
                <c:pt idx="3">
                  <c:v>0.45299999999999996</c:v>
                </c:pt>
                <c:pt idx="4">
                  <c:v>0.53300000000000003</c:v>
                </c:pt>
                <c:pt idx="5">
                  <c:v>0.55600000000000005</c:v>
                </c:pt>
                <c:pt idx="6">
                  <c:v>0.57899999999999996</c:v>
                </c:pt>
                <c:pt idx="7">
                  <c:v>0.57599999999999996</c:v>
                </c:pt>
              </c:numCache>
            </c:numRef>
          </c:yVal>
          <c:smooth val="0"/>
          <c:extLst>
            <c:ext xmlns:c16="http://schemas.microsoft.com/office/drawing/2014/chart" uri="{C3380CC4-5D6E-409C-BE32-E72D297353CC}">
              <c16:uniqueId val="{00000004-A239-4F6E-87A9-9B5CF28843D1}"/>
            </c:ext>
          </c:extLst>
        </c:ser>
        <c:ser>
          <c:idx val="4"/>
          <c:order val="4"/>
          <c:tx>
            <c:strRef>
              <c:f>PrevDentOral_0614!$A$6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PrevDentOral_0614!$B$6:$I$6</c:f>
              <c:numCache>
                <c:formatCode>0.0%</c:formatCode>
                <c:ptCount val="8"/>
                <c:pt idx="0">
                  <c:v>0.627</c:v>
                </c:pt>
                <c:pt idx="1">
                  <c:v>0.628</c:v>
                </c:pt>
                <c:pt idx="2">
                  <c:v>0.47700000000000004</c:v>
                </c:pt>
                <c:pt idx="3">
                  <c:v>0.58499999999999996</c:v>
                </c:pt>
                <c:pt idx="4">
                  <c:v>0.64800000000000002</c:v>
                </c:pt>
                <c:pt idx="5">
                  <c:v>0.65600000000000003</c:v>
                </c:pt>
                <c:pt idx="6">
                  <c:v>0.70799999999999996</c:v>
                </c:pt>
                <c:pt idx="7">
                  <c:v>0.69299999999999995</c:v>
                </c:pt>
              </c:numCache>
            </c:numRef>
          </c:yVal>
          <c:smooth val="0"/>
          <c:extLst>
            <c:ext xmlns:c16="http://schemas.microsoft.com/office/drawing/2014/chart" uri="{C3380CC4-5D6E-409C-BE32-E72D297353CC}">
              <c16:uniqueId val="{00000005-A239-4F6E-87A9-9B5CF28843D1}"/>
            </c:ext>
          </c:extLst>
        </c:ser>
        <c:ser>
          <c:idx val="5"/>
          <c:order val="5"/>
          <c:tx>
            <c:strRef>
              <c:f>PrevDentOral_0614!$A$7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PrevDentOral_0614!$B$7:$I$7</c:f>
              <c:numCache>
                <c:formatCode>0.0%</c:formatCode>
                <c:ptCount val="8"/>
                <c:pt idx="0">
                  <c:v>0.61199999999999999</c:v>
                </c:pt>
                <c:pt idx="1">
                  <c:v>0.63400000000000001</c:v>
                </c:pt>
                <c:pt idx="2">
                  <c:v>0.43100000000000005</c:v>
                </c:pt>
                <c:pt idx="3">
                  <c:v>0.53400000000000003</c:v>
                </c:pt>
                <c:pt idx="4">
                  <c:v>0.54799999999999993</c:v>
                </c:pt>
                <c:pt idx="5">
                  <c:v>0.57999999999999996</c:v>
                </c:pt>
                <c:pt idx="6">
                  <c:v>0.59799999999999998</c:v>
                </c:pt>
                <c:pt idx="7">
                  <c:v>0.623</c:v>
                </c:pt>
              </c:numCache>
            </c:numRef>
          </c:yVal>
          <c:smooth val="0"/>
          <c:extLst>
            <c:ext xmlns:c16="http://schemas.microsoft.com/office/drawing/2014/chart" uri="{C3380CC4-5D6E-409C-BE32-E72D297353CC}">
              <c16:uniqueId val="{00000006-A239-4F6E-87A9-9B5CF28843D1}"/>
            </c:ext>
          </c:extLst>
        </c:ser>
        <c:ser>
          <c:idx val="6"/>
          <c:order val="6"/>
          <c:tx>
            <c:strRef>
              <c:f>PrevDentOral_0614!$A$8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PrevDentOral_0614!$B$8:$I$8</c:f>
              <c:numCache>
                <c:formatCode>0.0%</c:formatCode>
                <c:ptCount val="8"/>
                <c:pt idx="0">
                  <c:v>0.59100000000000008</c:v>
                </c:pt>
                <c:pt idx="1">
                  <c:v>0.59799999999999998</c:v>
                </c:pt>
                <c:pt idx="2">
                  <c:v>0.443</c:v>
                </c:pt>
                <c:pt idx="3">
                  <c:v>0.53900000000000003</c:v>
                </c:pt>
                <c:pt idx="4">
                  <c:v>0.56399999999999995</c:v>
                </c:pt>
                <c:pt idx="5">
                  <c:v>0.61499999999999999</c:v>
                </c:pt>
                <c:pt idx="6">
                  <c:v>0.65900000000000003</c:v>
                </c:pt>
                <c:pt idx="7">
                  <c:v>0.67600000000000005</c:v>
                </c:pt>
              </c:numCache>
            </c:numRef>
          </c:yVal>
          <c:smooth val="0"/>
          <c:extLst>
            <c:ext xmlns:c16="http://schemas.microsoft.com/office/drawing/2014/chart" uri="{C3380CC4-5D6E-409C-BE32-E72D297353CC}">
              <c16:uniqueId val="{00000007-A239-4F6E-87A9-9B5CF28843D1}"/>
            </c:ext>
          </c:extLst>
        </c:ser>
        <c:ser>
          <c:idx val="7"/>
          <c:order val="7"/>
          <c:tx>
            <c:strRef>
              <c:f>PrevDentOral_0614!$A$9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PrevDentOral_0614!$B$9:$I$9</c:f>
              <c:numCache>
                <c:formatCode>0.0%</c:formatCode>
                <c:ptCount val="8"/>
                <c:pt idx="0">
                  <c:v>0.66300000000000003</c:v>
                </c:pt>
                <c:pt idx="1">
                  <c:v>0.65900000000000003</c:v>
                </c:pt>
                <c:pt idx="2">
                  <c:v>0.52100000000000002</c:v>
                </c:pt>
                <c:pt idx="3">
                  <c:v>0.54500000000000004</c:v>
                </c:pt>
                <c:pt idx="4">
                  <c:v>0.61</c:v>
                </c:pt>
                <c:pt idx="5">
                  <c:v>0.629</c:v>
                </c:pt>
                <c:pt idx="6">
                  <c:v>0.66100000000000003</c:v>
                </c:pt>
                <c:pt idx="7">
                  <c:v>0.65600000000000003</c:v>
                </c:pt>
              </c:numCache>
            </c:numRef>
          </c:yVal>
          <c:smooth val="0"/>
          <c:extLst>
            <c:ext xmlns:c16="http://schemas.microsoft.com/office/drawing/2014/chart" uri="{C3380CC4-5D6E-409C-BE32-E72D297353CC}">
              <c16:uniqueId val="{00000008-A239-4F6E-87A9-9B5CF28843D1}"/>
            </c:ext>
          </c:extLst>
        </c:ser>
        <c:ser>
          <c:idx val="8"/>
          <c:order val="8"/>
          <c:tx>
            <c:strRef>
              <c:f>PrevDentOral_0614!$A$10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PrevDentOral_0614!$B$10:$I$10</c:f>
              <c:numCache>
                <c:formatCode>0.0%</c:formatCode>
                <c:ptCount val="8"/>
                <c:pt idx="0">
                  <c:v>0.56399999999999995</c:v>
                </c:pt>
                <c:pt idx="1">
                  <c:v>0.60899999999999999</c:v>
                </c:pt>
                <c:pt idx="2">
                  <c:v>0.46600000000000003</c:v>
                </c:pt>
                <c:pt idx="3">
                  <c:v>0.51500000000000001</c:v>
                </c:pt>
                <c:pt idx="4">
                  <c:v>0.57200000000000006</c:v>
                </c:pt>
                <c:pt idx="5">
                  <c:v>0.63500000000000001</c:v>
                </c:pt>
                <c:pt idx="6">
                  <c:v>0.65700000000000003</c:v>
                </c:pt>
                <c:pt idx="7">
                  <c:v>0.65400000000000003</c:v>
                </c:pt>
              </c:numCache>
            </c:numRef>
          </c:yVal>
          <c:smooth val="0"/>
          <c:extLst>
            <c:ext xmlns:c16="http://schemas.microsoft.com/office/drawing/2014/chart" uri="{C3380CC4-5D6E-409C-BE32-E72D297353CC}">
              <c16:uniqueId val="{00000009-A239-4F6E-87A9-9B5CF28843D1}"/>
            </c:ext>
          </c:extLst>
        </c:ser>
        <c:ser>
          <c:idx val="9"/>
          <c:order val="9"/>
          <c:tx>
            <c:strRef>
              <c:f>PrevDentOral_0614!$A$11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PrevDentOral_0614!$B$11:$I$11</c:f>
              <c:numCache>
                <c:formatCode>0.0%</c:formatCode>
                <c:ptCount val="8"/>
                <c:pt idx="0">
                  <c:v>0.68599999999999994</c:v>
                </c:pt>
                <c:pt idx="1">
                  <c:v>0.70499999999999996</c:v>
                </c:pt>
                <c:pt idx="2">
                  <c:v>0.52</c:v>
                </c:pt>
                <c:pt idx="3">
                  <c:v>0.60399999999999998</c:v>
                </c:pt>
                <c:pt idx="4">
                  <c:v>0.59</c:v>
                </c:pt>
                <c:pt idx="5">
                  <c:v>0.63500000000000001</c:v>
                </c:pt>
                <c:pt idx="6">
                  <c:v>0.65799999999999992</c:v>
                </c:pt>
                <c:pt idx="7">
                  <c:v>0.68100000000000005</c:v>
                </c:pt>
              </c:numCache>
            </c:numRef>
          </c:yVal>
          <c:smooth val="0"/>
          <c:extLst>
            <c:ext xmlns:c16="http://schemas.microsoft.com/office/drawing/2014/chart" uri="{C3380CC4-5D6E-409C-BE32-E72D297353CC}">
              <c16:uniqueId val="{0000000A-A239-4F6E-87A9-9B5CF28843D1}"/>
            </c:ext>
          </c:extLst>
        </c:ser>
        <c:ser>
          <c:idx val="10"/>
          <c:order val="10"/>
          <c:tx>
            <c:strRef>
              <c:f>PrevDentOral_0614!$A$12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PrevDentOral_0614!$B$12:$I$12</c:f>
              <c:numCache>
                <c:formatCode>General</c:formatCode>
                <c:ptCount val="8"/>
                <c:pt idx="2" formatCode="0.0%">
                  <c:v>0.52100000000000002</c:v>
                </c:pt>
                <c:pt idx="3" formatCode="0.0%">
                  <c:v>0.60200000000000009</c:v>
                </c:pt>
                <c:pt idx="4" formatCode="0.0%">
                  <c:v>0.65599999999999992</c:v>
                </c:pt>
                <c:pt idx="5" formatCode="0.0%">
                  <c:v>0.69</c:v>
                </c:pt>
                <c:pt idx="6" formatCode="0.0%">
                  <c:v>0.68300000000000016</c:v>
                </c:pt>
                <c:pt idx="7" formatCode="0.0%">
                  <c:v>0.70799999999999996</c:v>
                </c:pt>
              </c:numCache>
            </c:numRef>
          </c:yVal>
          <c:smooth val="0"/>
          <c:extLst>
            <c:ext xmlns:c16="http://schemas.microsoft.com/office/drawing/2014/chart" uri="{C3380CC4-5D6E-409C-BE32-E72D297353CC}">
              <c16:uniqueId val="{0000000B-A239-4F6E-87A9-9B5CF28843D1}"/>
            </c:ext>
          </c:extLst>
        </c:ser>
        <c:ser>
          <c:idx val="11"/>
          <c:order val="11"/>
          <c:tx>
            <c:strRef>
              <c:f>PrevDentOral_0614!$A$13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PrevDentOral_0614!$B$13:$I$13</c:f>
              <c:numCache>
                <c:formatCode>General</c:formatCode>
                <c:ptCount val="8"/>
                <c:pt idx="2" formatCode="0.0%">
                  <c:v>0.54</c:v>
                </c:pt>
                <c:pt idx="3" formatCode="0.0%">
                  <c:v>0.627</c:v>
                </c:pt>
                <c:pt idx="4" formatCode="0.0%">
                  <c:v>0.68599999999999994</c:v>
                </c:pt>
                <c:pt idx="5" formatCode="0.0%">
                  <c:v>0.68500000000000005</c:v>
                </c:pt>
                <c:pt idx="6" formatCode="0.0%">
                  <c:v>0.69299999999999995</c:v>
                </c:pt>
                <c:pt idx="7" formatCode="0.0%">
                  <c:v>0.71699999999999997</c:v>
                </c:pt>
              </c:numCache>
            </c:numRef>
          </c:yVal>
          <c:smooth val="0"/>
          <c:extLst>
            <c:ext xmlns:c16="http://schemas.microsoft.com/office/drawing/2014/chart" uri="{C3380CC4-5D6E-409C-BE32-E72D297353CC}">
              <c16:uniqueId val="{0000000C-A239-4F6E-87A9-9B5CF28843D1}"/>
            </c:ext>
          </c:extLst>
        </c:ser>
        <c:ser>
          <c:idx val="13"/>
          <c:order val="12"/>
          <c:tx>
            <c:strRef>
              <c:f>PrevDentOral_0614!$A$14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A239-4F6E-87A9-9B5CF28843D1}"/>
              </c:ext>
            </c:extLst>
          </c:dPt>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PrevDentOral_0614!$B$14:$I$14</c:f>
              <c:numCache>
                <c:formatCode>0.0%</c:formatCode>
                <c:ptCount val="8"/>
                <c:pt idx="0">
                  <c:v>0.63800000000000001</c:v>
                </c:pt>
                <c:pt idx="1">
                  <c:v>0.66099999999999992</c:v>
                </c:pt>
                <c:pt idx="2">
                  <c:v>0.46799999999999997</c:v>
                </c:pt>
                <c:pt idx="3">
                  <c:v>0.54799999999999993</c:v>
                </c:pt>
                <c:pt idx="4">
                  <c:v>0.59</c:v>
                </c:pt>
                <c:pt idx="5">
                  <c:v>0.61799999999999999</c:v>
                </c:pt>
                <c:pt idx="6">
                  <c:v>0.63700000000000001</c:v>
                </c:pt>
                <c:pt idx="7">
                  <c:v>0.65</c:v>
                </c:pt>
              </c:numCache>
            </c:numRef>
          </c:yVal>
          <c:smooth val="0"/>
          <c:extLst>
            <c:ext xmlns:c16="http://schemas.microsoft.com/office/drawing/2014/chart" uri="{C3380CC4-5D6E-409C-BE32-E72D297353CC}">
              <c16:uniqueId val="{0000000E-A239-4F6E-87A9-9B5CF28843D1}"/>
            </c:ext>
          </c:extLst>
        </c:ser>
        <c:ser>
          <c:idx val="14"/>
          <c:order val="13"/>
          <c:tx>
            <c:strRef>
              <c:f>PrevDentOral_0614!$A$15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PrevDentOral_0614!$B$15:$I$15</c:f>
              <c:numCache>
                <c:formatCode>General</c:formatCode>
                <c:ptCount val="8"/>
                <c:pt idx="3" formatCode="0.0%">
                  <c:v>0.28100000000000003</c:v>
                </c:pt>
                <c:pt idx="4" formatCode="0.0%">
                  <c:v>0.32799999999999996</c:v>
                </c:pt>
                <c:pt idx="5" formatCode="0.0%">
                  <c:v>0.38900000000000001</c:v>
                </c:pt>
                <c:pt idx="6" formatCode="0.0%">
                  <c:v>0.37200000000000005</c:v>
                </c:pt>
                <c:pt idx="7" formatCode="0.0%">
                  <c:v>0.42499999999999999</c:v>
                </c:pt>
              </c:numCache>
            </c:numRef>
          </c:yVal>
          <c:smooth val="0"/>
          <c:extLst>
            <c:ext xmlns:c16="http://schemas.microsoft.com/office/drawing/2014/chart" uri="{C3380CC4-5D6E-409C-BE32-E72D297353CC}">
              <c16:uniqueId val="{0000000F-A239-4F6E-87A9-9B5CF28843D1}"/>
            </c:ext>
          </c:extLst>
        </c:ser>
        <c:ser>
          <c:idx val="15"/>
          <c:order val="14"/>
          <c:tx>
            <c:strRef>
              <c:f>PrevDentOral_0614!$A$16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PrevDentOral_0614!$B$16:$I$16</c:f>
              <c:numCache>
                <c:formatCode>0.0%</c:formatCode>
                <c:ptCount val="8"/>
                <c:pt idx="0">
                  <c:v>0.68700000000000006</c:v>
                </c:pt>
                <c:pt idx="1">
                  <c:v>0.69099999999999995</c:v>
                </c:pt>
                <c:pt idx="2">
                  <c:v>0.41200000000000003</c:v>
                </c:pt>
                <c:pt idx="3">
                  <c:v>0.49399999999999999</c:v>
                </c:pt>
                <c:pt idx="4">
                  <c:v>0.53800000000000003</c:v>
                </c:pt>
                <c:pt idx="5">
                  <c:v>0.60399999999999998</c:v>
                </c:pt>
                <c:pt idx="6">
                  <c:v>0.59799999999999998</c:v>
                </c:pt>
                <c:pt idx="7">
                  <c:v>0.60699999999999998</c:v>
                </c:pt>
              </c:numCache>
            </c:numRef>
          </c:yVal>
          <c:smooth val="0"/>
          <c:extLst>
            <c:ext xmlns:c16="http://schemas.microsoft.com/office/drawing/2014/chart" uri="{C3380CC4-5D6E-409C-BE32-E72D297353CC}">
              <c16:uniqueId val="{00000010-A239-4F6E-87A9-9B5CF28843D1}"/>
            </c:ext>
          </c:extLst>
        </c:ser>
        <c:ser>
          <c:idx val="16"/>
          <c:order val="15"/>
          <c:tx>
            <c:strRef>
              <c:f>PrevDentOral_0614!$A$17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PrevDentOral_0614!$B$17:$I$17</c:f>
              <c:numCache>
                <c:formatCode>0.0%</c:formatCode>
                <c:ptCount val="8"/>
                <c:pt idx="0">
                  <c:v>0.66400000000000003</c:v>
                </c:pt>
                <c:pt idx="1">
                  <c:v>0.65900000000000003</c:v>
                </c:pt>
                <c:pt idx="2">
                  <c:v>0.50800000000000001</c:v>
                </c:pt>
                <c:pt idx="3">
                  <c:v>0.50800000000000001</c:v>
                </c:pt>
                <c:pt idx="4">
                  <c:v>0.56100000000000005</c:v>
                </c:pt>
                <c:pt idx="5">
                  <c:v>0.61499999999999999</c:v>
                </c:pt>
                <c:pt idx="6">
                  <c:v>0.70799999999999996</c:v>
                </c:pt>
                <c:pt idx="7">
                  <c:v>0.69299999999999995</c:v>
                </c:pt>
              </c:numCache>
            </c:numRef>
          </c:yVal>
          <c:smooth val="0"/>
          <c:extLst>
            <c:ext xmlns:c16="http://schemas.microsoft.com/office/drawing/2014/chart" uri="{C3380CC4-5D6E-409C-BE32-E72D297353CC}">
              <c16:uniqueId val="{00000011-A239-4F6E-87A9-9B5CF28843D1}"/>
            </c:ext>
          </c:extLst>
        </c:ser>
        <c:ser>
          <c:idx val="17"/>
          <c:order val="17"/>
          <c:tx>
            <c:strRef>
              <c:f>PrevDentOral_0614!$A$20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PrevDentOral_0614!$B$20:$I$20</c:f>
              <c:numCache>
                <c:formatCode>0.0%</c:formatCode>
                <c:ptCount val="8"/>
                <c:pt idx="0">
                  <c:v>0.63800000000000001</c:v>
                </c:pt>
                <c:pt idx="1">
                  <c:v>0.66099999999999992</c:v>
                </c:pt>
                <c:pt idx="2">
                  <c:v>0.46799999999999997</c:v>
                </c:pt>
                <c:pt idx="3">
                  <c:v>0.54799999999999993</c:v>
                </c:pt>
                <c:pt idx="4">
                  <c:v>0.59</c:v>
                </c:pt>
                <c:pt idx="5">
                  <c:v>0.61799999999999999</c:v>
                </c:pt>
                <c:pt idx="6">
                  <c:v>0.63700000000000001</c:v>
                </c:pt>
                <c:pt idx="7">
                  <c:v>0.65</c:v>
                </c:pt>
              </c:numCache>
            </c:numRef>
          </c:yVal>
          <c:smooth val="0"/>
          <c:extLst>
            <c:ext xmlns:c16="http://schemas.microsoft.com/office/drawing/2014/chart" uri="{C3380CC4-5D6E-409C-BE32-E72D297353CC}">
              <c16:uniqueId val="{00000012-A239-4F6E-87A9-9B5CF28843D1}"/>
            </c:ext>
          </c:extLst>
        </c:ser>
        <c:ser>
          <c:idx val="19"/>
          <c:order val="18"/>
          <c:tx>
            <c:strRef>
              <c:f>PrevDentOral_0614!$A$19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PrevDentOral_0614!$B$19:$I$19</c:f>
              <c:numCache>
                <c:formatCode>0.0%</c:formatCode>
                <c:ptCount val="8"/>
                <c:pt idx="0">
                  <c:v>0.64</c:v>
                </c:pt>
                <c:pt idx="1">
                  <c:v>0.65200000000000002</c:v>
                </c:pt>
                <c:pt idx="2">
                  <c:v>0.49200000000000005</c:v>
                </c:pt>
                <c:pt idx="3">
                  <c:v>0.56399999999999995</c:v>
                </c:pt>
                <c:pt idx="4">
                  <c:v>0.59700000000000009</c:v>
                </c:pt>
                <c:pt idx="5">
                  <c:v>0.59899999999999998</c:v>
                </c:pt>
                <c:pt idx="6">
                  <c:v>0.62</c:v>
                </c:pt>
                <c:pt idx="7">
                  <c:v>0.65100000000000002</c:v>
                </c:pt>
              </c:numCache>
            </c:numRef>
          </c:yVal>
          <c:smooth val="0"/>
          <c:extLst>
            <c:ext xmlns:c16="http://schemas.microsoft.com/office/drawing/2014/chart" uri="{C3380CC4-5D6E-409C-BE32-E72D297353CC}">
              <c16:uniqueId val="{00000013-A239-4F6E-87A9-9B5CF28843D1}"/>
            </c:ext>
          </c:extLst>
        </c:ser>
        <c:ser>
          <c:idx val="18"/>
          <c:order val="19"/>
          <c:tx>
            <c:strRef>
              <c:f>PrevDentOral_0614!$A$21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layout>
                <c:manualLayout>
                  <c:x val="-0.21698622047244095"/>
                  <c:y val="-6.9444444444444448E-2"/>
                </c:manualLayout>
              </c:layout>
              <c:tx>
                <c:rich>
                  <a:bodyPr/>
                  <a:lstStyle/>
                  <a:p>
                    <a:r>
                      <a:rPr lang="en-US"/>
                      <a:t>Punto de referencia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A239-4F6E-87A9-9B5CF28843D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PrevDentOral_0614!$B$1:$I$1</c:f>
              <c:strCache>
                <c:ptCount val="8"/>
                <c:pt idx="0">
                  <c:v>'18</c:v>
                </c:pt>
                <c:pt idx="1">
                  <c:v>'19</c:v>
                </c:pt>
                <c:pt idx="2">
                  <c:v>'20</c:v>
                </c:pt>
                <c:pt idx="3">
                  <c:v>'21</c:v>
                </c:pt>
                <c:pt idx="4">
                  <c:v>'22</c:v>
                </c:pt>
                <c:pt idx="5">
                  <c:v>'23</c:v>
                </c:pt>
                <c:pt idx="6">
                  <c:v>'24</c:v>
                </c:pt>
                <c:pt idx="7">
                  <c:v>'25</c:v>
                </c:pt>
              </c:strCache>
            </c:strRef>
          </c:xVal>
          <c:yVal>
            <c:numRef>
              <c:f>PrevDentOral_0614!$B$21:$I$21</c:f>
              <c:numCache>
                <c:formatCode>General</c:formatCode>
                <c:ptCount val="8"/>
                <c:pt idx="2" formatCode="0.0%">
                  <c:v>0.67600000000000005</c:v>
                </c:pt>
                <c:pt idx="3" formatCode="0.0%">
                  <c:v>0.43099999999999999</c:v>
                </c:pt>
                <c:pt idx="4" formatCode="0.0%">
                  <c:v>0.52</c:v>
                </c:pt>
                <c:pt idx="5" formatCode="0.0%">
                  <c:v>0.54800000000000004</c:v>
                </c:pt>
                <c:pt idx="6" formatCode="0.0%">
                  <c:v>0.61</c:v>
                </c:pt>
                <c:pt idx="7" formatCode="0.0%">
                  <c:v>0.67300000000000004</c:v>
                </c:pt>
              </c:numCache>
            </c:numRef>
          </c:yVal>
          <c:smooth val="0"/>
          <c:extLst>
            <c:ext xmlns:c16="http://schemas.microsoft.com/office/drawing/2014/chart" uri="{C3380CC4-5D6E-409C-BE32-E72D297353CC}">
              <c16:uniqueId val="{00000015-A239-4F6E-87A9-9B5CF28843D1}"/>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chemeClr val="accent1">
                    <a:lumMod val="75000"/>
                  </a:schemeClr>
                </a:solidFill>
              </a:rPr>
              <a:t>SDOH: Prueba de detección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888888888888889"/>
          <c:y val="0.10136811023622047"/>
          <c:w val="0.58760683760683763"/>
          <c:h val="0.84830336832895892"/>
        </c:manualLayout>
      </c:layout>
      <c:scatterChart>
        <c:scatterStyle val="lineMarker"/>
        <c:varyColors val="0"/>
        <c:ser>
          <c:idx val="0"/>
          <c:order val="0"/>
          <c:tx>
            <c:strRef>
              <c:f>SDOH_1!$B$1</c:f>
              <c:strCache>
                <c:ptCount val="1"/>
                <c:pt idx="0">
                  <c:v>'25</c:v>
                </c:pt>
              </c:strCache>
            </c:strRef>
          </c:tx>
          <c:spPr>
            <a:ln w="25400" cap="rnd">
              <a:noFill/>
              <a:round/>
            </a:ln>
            <a:effectLst/>
          </c:spPr>
          <c:marker>
            <c:symbol val="circle"/>
            <c:size val="16"/>
            <c:spPr>
              <a:solidFill>
                <a:srgbClr val="F2F2F2"/>
              </a:solidFill>
              <a:ln w="9525">
                <a:solidFill>
                  <a:srgbClr val="606060"/>
                </a:solidFill>
              </a:ln>
              <a:effectLst/>
            </c:spPr>
          </c:marker>
          <c:dPt>
            <c:idx val="3"/>
            <c:marker>
              <c:symbol val="circle"/>
              <c:size val="16"/>
              <c:spPr>
                <a:solidFill>
                  <a:schemeClr val="accent1">
                    <a:lumMod val="75000"/>
                  </a:schemeClr>
                </a:solidFill>
                <a:ln w="9525">
                  <a:solidFill>
                    <a:schemeClr val="accent1">
                      <a:lumMod val="75000"/>
                    </a:schemeClr>
                  </a:solidFill>
                </a:ln>
                <a:effectLst/>
              </c:spPr>
            </c:marker>
            <c:bubble3D val="0"/>
            <c:extLst>
              <c:ext xmlns:c16="http://schemas.microsoft.com/office/drawing/2014/chart" uri="{C3380CC4-5D6E-409C-BE32-E72D297353CC}">
                <c16:uniqueId val="{00000000-A997-4FFE-B9EE-3E6FDC1D75B5}"/>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SDOH_1!$B$2:$B$18</c:f>
              <c:numCache>
                <c:formatCode>0.0%</c:formatCode>
                <c:ptCount val="17"/>
                <c:pt idx="0">
                  <c:v>0.17899999999999999</c:v>
                </c:pt>
                <c:pt idx="1">
                  <c:v>6.3E-2</c:v>
                </c:pt>
                <c:pt idx="2">
                  <c:v>6.7000000000000004E-2</c:v>
                </c:pt>
                <c:pt idx="3">
                  <c:v>0.16300000000000001</c:v>
                </c:pt>
                <c:pt idx="4">
                  <c:v>2.4E-2</c:v>
                </c:pt>
                <c:pt idx="5">
                  <c:v>0.26200000000000001</c:v>
                </c:pt>
                <c:pt idx="6">
                  <c:v>6.4000000000000001E-2</c:v>
                </c:pt>
                <c:pt idx="7">
                  <c:v>2.7E-2</c:v>
                </c:pt>
                <c:pt idx="8">
                  <c:v>7.1999999999999995E-2</c:v>
                </c:pt>
                <c:pt idx="9">
                  <c:v>0.28199999999999997</c:v>
                </c:pt>
                <c:pt idx="10">
                  <c:v>0.13800000000000001</c:v>
                </c:pt>
                <c:pt idx="11">
                  <c:v>5.6000000000000001E-2</c:v>
                </c:pt>
                <c:pt idx="12">
                  <c:v>0.2</c:v>
                </c:pt>
                <c:pt idx="13">
                  <c:v>0.28100000000000003</c:v>
                </c:pt>
                <c:pt idx="14">
                  <c:v>0.52300000000000002</c:v>
                </c:pt>
                <c:pt idx="15">
                  <c:v>0.35499999999999998</c:v>
                </c:pt>
                <c:pt idx="16">
                  <c:v>0</c:v>
                </c:pt>
              </c:numCache>
            </c:numRef>
          </c:xVal>
          <c:yVal>
            <c:numRef>
              <c:f>SDOH_1!$C$2:$C$18</c:f>
              <c:numCache>
                <c:formatCode>General</c:formatCode>
                <c:ptCount val="17"/>
                <c:pt idx="0">
                  <c:v>10</c:v>
                </c:pt>
                <c:pt idx="1">
                  <c:v>5</c:v>
                </c:pt>
                <c:pt idx="2">
                  <c:v>7</c:v>
                </c:pt>
                <c:pt idx="3">
                  <c:v>17</c:v>
                </c:pt>
                <c:pt idx="4">
                  <c:v>2</c:v>
                </c:pt>
                <c:pt idx="5">
                  <c:v>12</c:v>
                </c:pt>
                <c:pt idx="6">
                  <c:v>6</c:v>
                </c:pt>
                <c:pt idx="7">
                  <c:v>3</c:v>
                </c:pt>
                <c:pt idx="8">
                  <c:v>8</c:v>
                </c:pt>
                <c:pt idx="9">
                  <c:v>14</c:v>
                </c:pt>
                <c:pt idx="10">
                  <c:v>9</c:v>
                </c:pt>
                <c:pt idx="11">
                  <c:v>4</c:v>
                </c:pt>
                <c:pt idx="12">
                  <c:v>11</c:v>
                </c:pt>
                <c:pt idx="13">
                  <c:v>13</c:v>
                </c:pt>
                <c:pt idx="14">
                  <c:v>16</c:v>
                </c:pt>
                <c:pt idx="15">
                  <c:v>15</c:v>
                </c:pt>
                <c:pt idx="16">
                  <c:v>1</c:v>
                </c:pt>
              </c:numCache>
            </c:numRef>
          </c:yVal>
          <c:smooth val="0"/>
          <c:extLst>
            <c:ext xmlns:c16="http://schemas.microsoft.com/office/drawing/2014/chart" uri="{C3380CC4-5D6E-409C-BE32-E72D297353CC}">
              <c16:uniqueId val="{00000001-A997-4FFE-B9EE-3E6FDC1D75B5}"/>
            </c:ext>
          </c:extLst>
        </c:ser>
        <c:ser>
          <c:idx val="1"/>
          <c:order val="1"/>
          <c:tx>
            <c:v>Labels</c:v>
          </c:tx>
          <c:spPr>
            <a:ln w="25400" cap="rnd">
              <a:noFill/>
              <a:round/>
            </a:ln>
            <a:effectLst/>
          </c:spPr>
          <c:marker>
            <c:symbol val="none"/>
          </c:marker>
          <c:dLbls>
            <c:dLbl>
              <c:idx val="0"/>
              <c:tx>
                <c:rich>
                  <a:bodyPr/>
                  <a:lstStyle/>
                  <a:p>
                    <a:fld id="{CCCF1B9D-0AA8-4241-B39A-34DB15C9A351}"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997-4FFE-B9EE-3E6FDC1D75B5}"/>
                </c:ext>
              </c:extLst>
            </c:dLbl>
            <c:dLbl>
              <c:idx val="1"/>
              <c:tx>
                <c:rich>
                  <a:bodyPr/>
                  <a:lstStyle/>
                  <a:p>
                    <a:fld id="{18A79475-B5AA-424E-A163-797D0E33933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layout>
                    <c:manualLayout>
                      <c:w val="0.14384850932095028"/>
                      <c:h val="4.6084645669291338E-2"/>
                    </c:manualLayout>
                  </c15:layout>
                  <c15:dlblFieldTable/>
                  <c15:showDataLabelsRange val="1"/>
                </c:ext>
                <c:ext xmlns:c16="http://schemas.microsoft.com/office/drawing/2014/chart" uri="{C3380CC4-5D6E-409C-BE32-E72D297353CC}">
                  <c16:uniqueId val="{00000003-A997-4FFE-B9EE-3E6FDC1D75B5}"/>
                </c:ext>
              </c:extLst>
            </c:dLbl>
            <c:dLbl>
              <c:idx val="2"/>
              <c:tx>
                <c:rich>
                  <a:bodyPr/>
                  <a:lstStyle/>
                  <a:p>
                    <a:fld id="{B766076E-3E38-4E82-952E-2E65E8B5F33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A997-4FFE-B9EE-3E6FDC1D75B5}"/>
                </c:ext>
              </c:extLst>
            </c:dLbl>
            <c:dLbl>
              <c:idx val="3"/>
              <c:tx>
                <c:rich>
                  <a:bodyPr/>
                  <a:lstStyle/>
                  <a:p>
                    <a:r>
                      <a:rPr lang="en-US"/>
                      <a:t>CCO a nivel estatal</a:t>
                    </a:r>
                  </a:p>
                </c:rich>
              </c:tx>
              <c:dLblPos val="l"/>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5-A997-4FFE-B9EE-3E6FDC1D75B5}"/>
                </c:ext>
              </c:extLst>
            </c:dLbl>
            <c:dLbl>
              <c:idx val="4"/>
              <c:tx>
                <c:rich>
                  <a:bodyPr/>
                  <a:lstStyle/>
                  <a:p>
                    <a:fld id="{4FC92293-F2ED-49F3-91E7-956A6C77C9A7}"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A997-4FFE-B9EE-3E6FDC1D75B5}"/>
                </c:ext>
              </c:extLst>
            </c:dLbl>
            <c:dLbl>
              <c:idx val="5"/>
              <c:tx>
                <c:rich>
                  <a:bodyPr/>
                  <a:lstStyle/>
                  <a:p>
                    <a:fld id="{49FBDFDF-1506-4853-BDAC-A6B369018451}"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A997-4FFE-B9EE-3E6FDC1D75B5}"/>
                </c:ext>
              </c:extLst>
            </c:dLbl>
            <c:dLbl>
              <c:idx val="6"/>
              <c:tx>
                <c:rich>
                  <a:bodyPr/>
                  <a:lstStyle/>
                  <a:p>
                    <a:fld id="{39508B82-C2B9-4669-A1AB-C62EC1C52C1A}"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A997-4FFE-B9EE-3E6FDC1D75B5}"/>
                </c:ext>
              </c:extLst>
            </c:dLbl>
            <c:dLbl>
              <c:idx val="7"/>
              <c:tx>
                <c:rich>
                  <a:bodyPr/>
                  <a:lstStyle/>
                  <a:p>
                    <a:fld id="{CD0A48EB-EFC0-405D-9410-E419C786F6A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A997-4FFE-B9EE-3E6FDC1D75B5}"/>
                </c:ext>
              </c:extLst>
            </c:dLbl>
            <c:dLbl>
              <c:idx val="8"/>
              <c:tx>
                <c:rich>
                  <a:bodyPr/>
                  <a:lstStyle/>
                  <a:p>
                    <a:fld id="{EA76625D-A6DD-4314-98C8-726716F36816}"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A997-4FFE-B9EE-3E6FDC1D75B5}"/>
                </c:ext>
              </c:extLst>
            </c:dLbl>
            <c:dLbl>
              <c:idx val="9"/>
              <c:tx>
                <c:rich>
                  <a:bodyPr/>
                  <a:lstStyle/>
                  <a:p>
                    <a:fld id="{77E1E1A9-4957-4072-B3C5-D25192404177}"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A997-4FFE-B9EE-3E6FDC1D75B5}"/>
                </c:ext>
              </c:extLst>
            </c:dLbl>
            <c:dLbl>
              <c:idx val="10"/>
              <c:tx>
                <c:rich>
                  <a:bodyPr/>
                  <a:lstStyle/>
                  <a:p>
                    <a:fld id="{78BA03B7-6C70-4133-A588-FD24F1BC464C}"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A997-4FFE-B9EE-3E6FDC1D75B5}"/>
                </c:ext>
              </c:extLst>
            </c:dLbl>
            <c:dLbl>
              <c:idx val="11"/>
              <c:tx>
                <c:rich>
                  <a:bodyPr/>
                  <a:lstStyle/>
                  <a:p>
                    <a:fld id="{F961EDC6-2C65-4892-B339-02E7C6BFADD2}"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A997-4FFE-B9EE-3E6FDC1D75B5}"/>
                </c:ext>
              </c:extLst>
            </c:dLbl>
            <c:dLbl>
              <c:idx val="12"/>
              <c:tx>
                <c:rich>
                  <a:bodyPr/>
                  <a:lstStyle/>
                  <a:p>
                    <a:fld id="{735A0E72-5B99-4FEA-8D8F-945CB48B7E4E}"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A997-4FFE-B9EE-3E6FDC1D75B5}"/>
                </c:ext>
              </c:extLst>
            </c:dLbl>
            <c:dLbl>
              <c:idx val="13"/>
              <c:tx>
                <c:rich>
                  <a:bodyPr/>
                  <a:lstStyle/>
                  <a:p>
                    <a:fld id="{5FEE8544-BDE8-4FD8-8982-33F6BA89482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A997-4FFE-B9EE-3E6FDC1D75B5}"/>
                </c:ext>
              </c:extLst>
            </c:dLbl>
            <c:dLbl>
              <c:idx val="14"/>
              <c:tx>
                <c:rich>
                  <a:bodyPr/>
                  <a:lstStyle/>
                  <a:p>
                    <a:fld id="{8D235476-AD75-47C3-9726-C88A39099F8D}"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A997-4FFE-B9EE-3E6FDC1D75B5}"/>
                </c:ext>
              </c:extLst>
            </c:dLbl>
            <c:dLbl>
              <c:idx val="15"/>
              <c:tx>
                <c:rich>
                  <a:bodyPr/>
                  <a:lstStyle/>
                  <a:p>
                    <a:fld id="{3130A4DE-F67D-4DFF-8373-8EA24F3267C7}"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A997-4FFE-B9EE-3E6FDC1D75B5}"/>
                </c:ext>
              </c:extLst>
            </c:dLbl>
            <c:dLbl>
              <c:idx val="16"/>
              <c:tx>
                <c:rich>
                  <a:bodyPr/>
                  <a:lstStyle/>
                  <a:p>
                    <a:fld id="{B491170F-E6C4-4E4A-BAFA-BDC5B7E4E80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A997-4FFE-B9EE-3E6FDC1D75B5}"/>
                </c:ext>
              </c:extLst>
            </c:dLbl>
            <c:dLbl>
              <c:idx val="17"/>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3-A997-4FFE-B9EE-3E6FDC1D75B5}"/>
                </c:ext>
              </c:extLst>
            </c:dLbl>
            <c:spPr>
              <a:solidFill>
                <a:schemeClr val="bg1"/>
              </a:solidFill>
              <a:ln>
                <a:noFill/>
              </a:ln>
              <a:effectLst/>
            </c:spPr>
            <c:txPr>
              <a:bodyPr rot="0" spcFirstLastPara="1" vertOverflow="overflow" horzOverflow="overflow" vert="horz" wrap="non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SDOH_1!$D$2:$D$19</c:f>
              <c:numCache>
                <c:formatCode>General</c:formatCode>
                <c:ptCount val="18"/>
                <c:pt idx="0">
                  <c:v>-0.05</c:v>
                </c:pt>
                <c:pt idx="1">
                  <c:v>-0.05</c:v>
                </c:pt>
                <c:pt idx="2">
                  <c:v>-0.05</c:v>
                </c:pt>
                <c:pt idx="3">
                  <c:v>-0.05</c:v>
                </c:pt>
                <c:pt idx="4">
                  <c:v>-0.05</c:v>
                </c:pt>
                <c:pt idx="5">
                  <c:v>-0.05</c:v>
                </c:pt>
                <c:pt idx="6">
                  <c:v>-0.05</c:v>
                </c:pt>
                <c:pt idx="7">
                  <c:v>-0.05</c:v>
                </c:pt>
                <c:pt idx="8">
                  <c:v>-0.05</c:v>
                </c:pt>
                <c:pt idx="9">
                  <c:v>-0.05</c:v>
                </c:pt>
                <c:pt idx="10">
                  <c:v>-0.05</c:v>
                </c:pt>
                <c:pt idx="11">
                  <c:v>-0.05</c:v>
                </c:pt>
                <c:pt idx="12">
                  <c:v>-0.05</c:v>
                </c:pt>
                <c:pt idx="13">
                  <c:v>-0.05</c:v>
                </c:pt>
                <c:pt idx="14">
                  <c:v>-0.05</c:v>
                </c:pt>
                <c:pt idx="15">
                  <c:v>-0.05</c:v>
                </c:pt>
                <c:pt idx="16">
                  <c:v>-0.05</c:v>
                </c:pt>
              </c:numCache>
            </c:numRef>
          </c:xVal>
          <c:yVal>
            <c:numRef>
              <c:f>SDOH_1!$C$2:$C$19</c:f>
              <c:numCache>
                <c:formatCode>General</c:formatCode>
                <c:ptCount val="18"/>
                <c:pt idx="0">
                  <c:v>10</c:v>
                </c:pt>
                <c:pt idx="1">
                  <c:v>5</c:v>
                </c:pt>
                <c:pt idx="2">
                  <c:v>7</c:v>
                </c:pt>
                <c:pt idx="3">
                  <c:v>17</c:v>
                </c:pt>
                <c:pt idx="4">
                  <c:v>2</c:v>
                </c:pt>
                <c:pt idx="5">
                  <c:v>12</c:v>
                </c:pt>
                <c:pt idx="6">
                  <c:v>6</c:v>
                </c:pt>
                <c:pt idx="7">
                  <c:v>3</c:v>
                </c:pt>
                <c:pt idx="8">
                  <c:v>8</c:v>
                </c:pt>
                <c:pt idx="9">
                  <c:v>14</c:v>
                </c:pt>
                <c:pt idx="10">
                  <c:v>9</c:v>
                </c:pt>
                <c:pt idx="11">
                  <c:v>4</c:v>
                </c:pt>
                <c:pt idx="12">
                  <c:v>11</c:v>
                </c:pt>
                <c:pt idx="13">
                  <c:v>13</c:v>
                </c:pt>
                <c:pt idx="14">
                  <c:v>16</c:v>
                </c:pt>
                <c:pt idx="15">
                  <c:v>15</c:v>
                </c:pt>
                <c:pt idx="16">
                  <c:v>1</c:v>
                </c:pt>
              </c:numCache>
            </c:numRef>
          </c:yVal>
          <c:smooth val="0"/>
          <c:extLst>
            <c:ext xmlns:c15="http://schemas.microsoft.com/office/drawing/2012/chart" uri="{02D57815-91ED-43cb-92C2-25804820EDAC}">
              <c15:datalabelsRange>
                <c15:f>SDOH_1!$A$2:$A$18</c15:f>
                <c15:dlblRangeCache>
                  <c:ptCount val="17"/>
                  <c:pt idx="0">
                    <c:v>Advanced Health</c:v>
                  </c:pt>
                  <c:pt idx="1">
                    <c:v>AllCare CCO</c:v>
                  </c:pt>
                  <c:pt idx="2">
                    <c:v>Cascade Health Alliance</c:v>
                  </c:pt>
                  <c:pt idx="3">
                    <c:v>CCO statewide</c:v>
                  </c:pt>
                  <c:pt idx="4">
                    <c:v>Columbia Pacific</c:v>
                  </c:pt>
                  <c:pt idx="5">
                    <c:v>Eastern Oregon CCO</c:v>
                  </c:pt>
                  <c:pt idx="6">
                    <c:v>Health Share of Oregon</c:v>
                  </c:pt>
                  <c:pt idx="7">
                    <c:v>InterCommunity Health Network</c:v>
                  </c:pt>
                  <c:pt idx="8">
                    <c:v>Jackson Care Connect</c:v>
                  </c:pt>
                  <c:pt idx="9">
                    <c:v>PacificSource Central</c:v>
                  </c:pt>
                  <c:pt idx="10">
                    <c:v>PacificSource Gorge</c:v>
                  </c:pt>
                  <c:pt idx="11">
                    <c:v>PacificSource Lane</c:v>
                  </c:pt>
                  <c:pt idx="12">
                    <c:v>PacificSource Marion Polk</c:v>
                  </c:pt>
                  <c:pt idx="13">
                    <c:v>Trillium North</c:v>
                  </c:pt>
                  <c:pt idx="14">
                    <c:v>Trillium South</c:v>
                  </c:pt>
                  <c:pt idx="15">
                    <c:v>Umpqua Health Alliance</c:v>
                  </c:pt>
                  <c:pt idx="16">
                    <c:v>Yamhill Community Care</c:v>
                  </c:pt>
                </c15:dlblRangeCache>
              </c15:datalabelsRange>
            </c:ext>
            <c:ext xmlns:c16="http://schemas.microsoft.com/office/drawing/2014/chart" uri="{C3380CC4-5D6E-409C-BE32-E72D297353CC}">
              <c16:uniqueId val="{00000014-A997-4FFE-B9EE-3E6FDC1D75B5}"/>
            </c:ext>
          </c:extLst>
        </c:ser>
        <c:dLbls>
          <c:showLegendKey val="0"/>
          <c:showVal val="0"/>
          <c:showCatName val="0"/>
          <c:showSerName val="0"/>
          <c:showPercent val="0"/>
          <c:showBubbleSize val="0"/>
        </c:dLbls>
        <c:axId val="850782895"/>
        <c:axId val="850776655"/>
      </c:scatterChart>
      <c:valAx>
        <c:axId val="850782895"/>
        <c:scaling>
          <c:orientation val="minMax"/>
          <c:max val="1.2"/>
          <c:min val="-0.1"/>
        </c:scaling>
        <c:delete val="1"/>
        <c:axPos val="b"/>
        <c:numFmt formatCode="0.0%" sourceLinked="1"/>
        <c:majorTickMark val="out"/>
        <c:minorTickMark val="none"/>
        <c:tickLblPos val="nextTo"/>
        <c:crossAx val="850776655"/>
        <c:crosses val="autoZero"/>
        <c:crossBetween val="midCat"/>
      </c:valAx>
      <c:valAx>
        <c:axId val="850776655"/>
        <c:scaling>
          <c:orientation val="minMax"/>
          <c:max val="17"/>
          <c:min val="1"/>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850782895"/>
        <c:crosses val="autoZero"/>
        <c:crossBetween val="midCat"/>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chemeClr val="accent1">
                    <a:lumMod val="75000"/>
                  </a:schemeClr>
                </a:solidFill>
              </a:rPr>
              <a:t>SDOH: Remisiones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888888888888889"/>
          <c:y val="9.6069182389937113E-2"/>
          <c:w val="0.58760683760683763"/>
          <c:h val="0.82882599580712768"/>
        </c:manualLayout>
      </c:layout>
      <c:scatterChart>
        <c:scatterStyle val="lineMarker"/>
        <c:varyColors val="0"/>
        <c:ser>
          <c:idx val="0"/>
          <c:order val="0"/>
          <c:tx>
            <c:v>Interpret with caution</c:v>
          </c:tx>
          <c:spPr>
            <a:ln w="25400" cap="rnd">
              <a:noFill/>
              <a:round/>
            </a:ln>
            <a:effectLst/>
          </c:spPr>
          <c:marker>
            <c:symbol val="diamond"/>
            <c:size val="16"/>
            <c:spPr>
              <a:solidFill>
                <a:srgbClr val="F2F2F2"/>
              </a:solidFill>
              <a:ln w="9525">
                <a:solidFill>
                  <a:srgbClr val="606060"/>
                </a:solidFill>
              </a:ln>
              <a:effectLst/>
            </c:spPr>
          </c:marker>
          <c:dPt>
            <c:idx val="4"/>
            <c:marker>
              <c:symbol val="circle"/>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0-62F8-4854-BBB4-648039F6C5C5}"/>
              </c:ext>
            </c:extLst>
          </c:dPt>
          <c:dPt>
            <c:idx val="7"/>
            <c:marker>
              <c:symbol val="diamond"/>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1-62F8-4854-BBB4-648039F6C5C5}"/>
              </c:ext>
            </c:extLst>
          </c:dPt>
          <c:dPt>
            <c:idx val="8"/>
            <c:marker>
              <c:symbol val="circle"/>
              <c:size val="16"/>
              <c:spPr>
                <a:solidFill>
                  <a:srgbClr val="F2F2F2"/>
                </a:solidFill>
                <a:ln w="9525">
                  <a:solidFill>
                    <a:srgbClr val="606060"/>
                  </a:solidFill>
                </a:ln>
                <a:effectLst/>
              </c:spPr>
            </c:marker>
            <c:bubble3D val="0"/>
            <c:extLst>
              <c:ext xmlns:c16="http://schemas.microsoft.com/office/drawing/2014/chart" uri="{C3380CC4-5D6E-409C-BE32-E72D297353CC}">
                <c16:uniqueId val="{00000002-62F8-4854-BBB4-648039F6C5C5}"/>
              </c:ext>
            </c:extLst>
          </c:dPt>
          <c:dPt>
            <c:idx val="12"/>
            <c:marker>
              <c:symbol val="circle"/>
              <c:size val="16"/>
              <c:spPr>
                <a:solidFill>
                  <a:schemeClr val="accent1">
                    <a:lumMod val="75000"/>
                  </a:schemeClr>
                </a:solidFill>
                <a:ln w="9525">
                  <a:solidFill>
                    <a:schemeClr val="accent1">
                      <a:lumMod val="75000"/>
                    </a:schemeClr>
                  </a:solidFill>
                </a:ln>
                <a:effectLst/>
              </c:spPr>
            </c:marker>
            <c:bubble3D val="0"/>
            <c:extLst>
              <c:ext xmlns:c16="http://schemas.microsoft.com/office/drawing/2014/chart" uri="{C3380CC4-5D6E-409C-BE32-E72D297353CC}">
                <c16:uniqueId val="{00000003-62F8-4854-BBB4-648039F6C5C5}"/>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'SDOH_3 (2)'!$B$2:$B$18</c:f>
              <c:numCache>
                <c:formatCode>0.0%</c:formatCode>
                <c:ptCount val="17"/>
                <c:pt idx="0">
                  <c:v>0.19400000000000001</c:v>
                </c:pt>
                <c:pt idx="1">
                  <c:v>1</c:v>
                </c:pt>
                <c:pt idx="2">
                  <c:v>6.3E-2</c:v>
                </c:pt>
                <c:pt idx="3">
                  <c:v>0.154</c:v>
                </c:pt>
                <c:pt idx="4">
                  <c:v>0.51400000000000001</c:v>
                </c:pt>
                <c:pt idx="5">
                  <c:v>6.5000000000000002E-2</c:v>
                </c:pt>
                <c:pt idx="6">
                  <c:v>0</c:v>
                </c:pt>
                <c:pt idx="7">
                  <c:v>0.121</c:v>
                </c:pt>
                <c:pt idx="8">
                  <c:v>0.21299999999999999</c:v>
                </c:pt>
                <c:pt idx="9">
                  <c:v>0.16700000000000001</c:v>
                </c:pt>
                <c:pt idx="10">
                  <c:v>0.2</c:v>
                </c:pt>
                <c:pt idx="11">
                  <c:v>0.27800000000000002</c:v>
                </c:pt>
                <c:pt idx="12">
                  <c:v>0.20399999999999999</c:v>
                </c:pt>
                <c:pt idx="13">
                  <c:v>0</c:v>
                </c:pt>
                <c:pt idx="14">
                  <c:v>7.0999999999999994E-2</c:v>
                </c:pt>
                <c:pt idx="15">
                  <c:v>0.27</c:v>
                </c:pt>
                <c:pt idx="16">
                  <c:v>0</c:v>
                </c:pt>
              </c:numCache>
            </c:numRef>
          </c:xVal>
          <c:yVal>
            <c:numRef>
              <c:f>'SDOH_3 (2)'!$C$2:$C$18</c:f>
              <c:numCache>
                <c:formatCode>General</c:formatCode>
                <c:ptCount val="17"/>
                <c:pt idx="0">
                  <c:v>10</c:v>
                </c:pt>
                <c:pt idx="1">
                  <c:v>16</c:v>
                </c:pt>
                <c:pt idx="2">
                  <c:v>4</c:v>
                </c:pt>
                <c:pt idx="3">
                  <c:v>8</c:v>
                </c:pt>
                <c:pt idx="4">
                  <c:v>15</c:v>
                </c:pt>
                <c:pt idx="5">
                  <c:v>5</c:v>
                </c:pt>
                <c:pt idx="6">
                  <c:v>1</c:v>
                </c:pt>
                <c:pt idx="7">
                  <c:v>7</c:v>
                </c:pt>
                <c:pt idx="8">
                  <c:v>12</c:v>
                </c:pt>
                <c:pt idx="9">
                  <c:v>9</c:v>
                </c:pt>
                <c:pt idx="10">
                  <c:v>11</c:v>
                </c:pt>
                <c:pt idx="11">
                  <c:v>14</c:v>
                </c:pt>
                <c:pt idx="12">
                  <c:v>17</c:v>
                </c:pt>
                <c:pt idx="13">
                  <c:v>2</c:v>
                </c:pt>
                <c:pt idx="14">
                  <c:v>6</c:v>
                </c:pt>
                <c:pt idx="15">
                  <c:v>13</c:v>
                </c:pt>
                <c:pt idx="16">
                  <c:v>3</c:v>
                </c:pt>
              </c:numCache>
            </c:numRef>
          </c:yVal>
          <c:smooth val="0"/>
          <c:extLst>
            <c:ext xmlns:c16="http://schemas.microsoft.com/office/drawing/2014/chart" uri="{C3380CC4-5D6E-409C-BE32-E72D297353CC}">
              <c16:uniqueId val="{00000004-62F8-4854-BBB4-648039F6C5C5}"/>
            </c:ext>
          </c:extLst>
        </c:ser>
        <c:ser>
          <c:idx val="1"/>
          <c:order val="1"/>
          <c:tx>
            <c:v>Labels</c:v>
          </c:tx>
          <c:spPr>
            <a:ln w="25400" cap="rnd">
              <a:noFill/>
              <a:round/>
            </a:ln>
            <a:effectLst/>
          </c:spPr>
          <c:marker>
            <c:symbol val="none"/>
          </c:marker>
          <c:dLbls>
            <c:dLbl>
              <c:idx val="0"/>
              <c:tx>
                <c:rich>
                  <a:bodyPr/>
                  <a:lstStyle/>
                  <a:p>
                    <a:fld id="{CC8B107D-EF5F-4AC4-AA62-5A7927B8D78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2F8-4854-BBB4-648039F6C5C5}"/>
                </c:ext>
              </c:extLst>
            </c:dLbl>
            <c:dLbl>
              <c:idx val="1"/>
              <c:tx>
                <c:rich>
                  <a:bodyPr/>
                  <a:lstStyle/>
                  <a:p>
                    <a:fld id="{C4B60C61-C377-414A-9181-2E096F98529B}"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2F8-4854-BBB4-648039F6C5C5}"/>
                </c:ext>
              </c:extLst>
            </c:dLbl>
            <c:dLbl>
              <c:idx val="2"/>
              <c:tx>
                <c:rich>
                  <a:bodyPr/>
                  <a:lstStyle/>
                  <a:p>
                    <a:fld id="{97DADF91-ACA5-43F6-876C-4FC39A1B6E16}"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2F8-4854-BBB4-648039F6C5C5}"/>
                </c:ext>
              </c:extLst>
            </c:dLbl>
            <c:dLbl>
              <c:idx val="3"/>
              <c:tx>
                <c:rich>
                  <a:bodyPr/>
                  <a:lstStyle/>
                  <a:p>
                    <a:fld id="{DEDA2F71-7138-400A-A570-6B616A8750F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2F8-4854-BBB4-648039F6C5C5}"/>
                </c:ext>
              </c:extLst>
            </c:dLbl>
            <c:dLbl>
              <c:idx val="4"/>
              <c:tx>
                <c:rich>
                  <a:bodyPr/>
                  <a:lstStyle/>
                  <a:p>
                    <a:fld id="{5861B313-2A0A-4443-9E29-27126FFA692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62F8-4854-BBB4-648039F6C5C5}"/>
                </c:ext>
              </c:extLst>
            </c:dLbl>
            <c:dLbl>
              <c:idx val="5"/>
              <c:tx>
                <c:rich>
                  <a:bodyPr/>
                  <a:lstStyle/>
                  <a:p>
                    <a:fld id="{3C3F26CE-018A-4198-B1B8-46A6FF9E077B}"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62F8-4854-BBB4-648039F6C5C5}"/>
                </c:ext>
              </c:extLst>
            </c:dLbl>
            <c:dLbl>
              <c:idx val="6"/>
              <c:tx>
                <c:rich>
                  <a:bodyPr/>
                  <a:lstStyle/>
                  <a:p>
                    <a:fld id="{1C0EF877-A775-4611-8EE2-DBFEF7CCC89C}"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62F8-4854-BBB4-648039F6C5C5}"/>
                </c:ext>
              </c:extLst>
            </c:dLbl>
            <c:dLbl>
              <c:idx val="7"/>
              <c:tx>
                <c:rich>
                  <a:bodyPr/>
                  <a:lstStyle/>
                  <a:p>
                    <a:fld id="{9934F464-8243-4471-AC36-567259F97AA5}"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62F8-4854-BBB4-648039F6C5C5}"/>
                </c:ext>
              </c:extLst>
            </c:dLbl>
            <c:dLbl>
              <c:idx val="8"/>
              <c:tx>
                <c:rich>
                  <a:bodyPr/>
                  <a:lstStyle/>
                  <a:p>
                    <a:fld id="{CDE26D1F-F542-442F-A807-0FC61B5C451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62F8-4854-BBB4-648039F6C5C5}"/>
                </c:ext>
              </c:extLst>
            </c:dLbl>
            <c:dLbl>
              <c:idx val="9"/>
              <c:tx>
                <c:rich>
                  <a:bodyPr/>
                  <a:lstStyle/>
                  <a:p>
                    <a:fld id="{C9CA6534-F2B5-4EC1-8BF7-9493762C9F8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62F8-4854-BBB4-648039F6C5C5}"/>
                </c:ext>
              </c:extLst>
            </c:dLbl>
            <c:dLbl>
              <c:idx val="10"/>
              <c:tx>
                <c:rich>
                  <a:bodyPr/>
                  <a:lstStyle/>
                  <a:p>
                    <a:fld id="{98971D0E-7821-4EFF-8BB4-81451E9856A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62F8-4854-BBB4-648039F6C5C5}"/>
                </c:ext>
              </c:extLst>
            </c:dLbl>
            <c:dLbl>
              <c:idx val="11"/>
              <c:tx>
                <c:rich>
                  <a:bodyPr/>
                  <a:lstStyle/>
                  <a:p>
                    <a:fld id="{6FF3790B-8E43-4500-A793-D8EA9B4A10C0}"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62F8-4854-BBB4-648039F6C5C5}"/>
                </c:ext>
              </c:extLst>
            </c:dLbl>
            <c:dLbl>
              <c:idx val="12"/>
              <c:tx>
                <c:rich>
                  <a:bodyPr/>
                  <a:lstStyle/>
                  <a:p>
                    <a:r>
                      <a:rPr lang="en-US"/>
                      <a:t>CCO a nivel estatal</a:t>
                    </a:r>
                  </a:p>
                </c:rich>
              </c:tx>
              <c:dLblPos val="l"/>
              <c:showLegendKey val="0"/>
              <c:showVal val="0"/>
              <c:showCatName val="0"/>
              <c:showSerName val="0"/>
              <c:showPercent val="0"/>
              <c:showBubbleSize val="0"/>
              <c:extLst>
                <c:ext xmlns:c15="http://schemas.microsoft.com/office/drawing/2012/chart" uri="{CE6537A1-D6FC-4f65-9D91-7224C49458BB}">
                  <c15:layout>
                    <c:manualLayout>
                      <c:w val="0.22949738897445479"/>
                      <c:h val="4.0843567903068721E-2"/>
                    </c:manualLayout>
                  </c15:layout>
                  <c15:showDataLabelsRange val="1"/>
                </c:ext>
                <c:ext xmlns:c16="http://schemas.microsoft.com/office/drawing/2014/chart" uri="{C3380CC4-5D6E-409C-BE32-E72D297353CC}">
                  <c16:uniqueId val="{00000011-62F8-4854-BBB4-648039F6C5C5}"/>
                </c:ext>
              </c:extLst>
            </c:dLbl>
            <c:dLbl>
              <c:idx val="13"/>
              <c:tx>
                <c:rich>
                  <a:bodyPr/>
                  <a:lstStyle/>
                  <a:p>
                    <a:fld id="{C18171BE-9A82-4692-943F-11A9FCBB258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62F8-4854-BBB4-648039F6C5C5}"/>
                </c:ext>
              </c:extLst>
            </c:dLbl>
            <c:dLbl>
              <c:idx val="14"/>
              <c:tx>
                <c:rich>
                  <a:bodyPr/>
                  <a:lstStyle/>
                  <a:p>
                    <a:fld id="{48F974B6-6E4E-423A-B63B-1DD4B0915D18}"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62F8-4854-BBB4-648039F6C5C5}"/>
                </c:ext>
              </c:extLst>
            </c:dLbl>
            <c:dLbl>
              <c:idx val="15"/>
              <c:tx>
                <c:rich>
                  <a:bodyPr/>
                  <a:lstStyle/>
                  <a:p>
                    <a:fld id="{FC3EB1E9-B484-40B1-8E90-6ABF73333ADF}"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62F8-4854-BBB4-648039F6C5C5}"/>
                </c:ext>
              </c:extLst>
            </c:dLbl>
            <c:dLbl>
              <c:idx val="16"/>
              <c:tx>
                <c:rich>
                  <a:bodyPr/>
                  <a:lstStyle/>
                  <a:p>
                    <a:fld id="{EE9A4BB0-C0C3-410E-9057-6309F0B0EF04}" type="CELLRANGE">
                      <a:rPr lang="en-US"/>
                      <a:pPr/>
                      <a:t>[CELLRANGE]</a:t>
                    </a:fld>
                    <a:endParaRPr lang="en-US"/>
                  </a:p>
                </c:rich>
              </c:tx>
              <c:dLblPos val="l"/>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62F8-4854-BBB4-648039F6C5C5}"/>
                </c:ext>
              </c:extLst>
            </c:dLbl>
            <c:dLbl>
              <c:idx val="17"/>
              <c:tx>
                <c:rich>
                  <a:bodyPr/>
                  <a:lstStyle/>
                  <a:p>
                    <a:endParaRPr lang="en-US"/>
                  </a:p>
                </c:rich>
              </c:tx>
              <c:dLblPos val="l"/>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16-62F8-4854-BBB4-648039F6C5C5}"/>
                </c:ext>
              </c:extLst>
            </c:dLbl>
            <c:spPr>
              <a:solidFill>
                <a:schemeClr val="bg1"/>
              </a:solidFill>
              <a:ln>
                <a:noFill/>
              </a:ln>
              <a:effectLst/>
            </c:spPr>
            <c:txPr>
              <a:bodyPr rot="0" spcFirstLastPara="1" vertOverflow="overflow" horzOverflow="overflow" vert="horz" wrap="non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l"/>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0"/>
              </c:ext>
            </c:extLst>
          </c:dLbls>
          <c:xVal>
            <c:numRef>
              <c:f>'SDOH_3 (2)'!$D$2:$D$19</c:f>
              <c:numCache>
                <c:formatCode>General</c:formatCode>
                <c:ptCount val="18"/>
                <c:pt idx="0">
                  <c:v>-0.05</c:v>
                </c:pt>
                <c:pt idx="1">
                  <c:v>-0.05</c:v>
                </c:pt>
                <c:pt idx="2">
                  <c:v>-0.05</c:v>
                </c:pt>
                <c:pt idx="3">
                  <c:v>-0.05</c:v>
                </c:pt>
                <c:pt idx="4">
                  <c:v>-0.05</c:v>
                </c:pt>
                <c:pt idx="5">
                  <c:v>-0.05</c:v>
                </c:pt>
                <c:pt idx="6">
                  <c:v>-0.05</c:v>
                </c:pt>
                <c:pt idx="7">
                  <c:v>-0.05</c:v>
                </c:pt>
                <c:pt idx="8">
                  <c:v>-0.05</c:v>
                </c:pt>
                <c:pt idx="9">
                  <c:v>-0.05</c:v>
                </c:pt>
                <c:pt idx="10">
                  <c:v>-0.05</c:v>
                </c:pt>
                <c:pt idx="11">
                  <c:v>-0.05</c:v>
                </c:pt>
                <c:pt idx="12">
                  <c:v>-0.05</c:v>
                </c:pt>
                <c:pt idx="13">
                  <c:v>-0.05</c:v>
                </c:pt>
                <c:pt idx="14">
                  <c:v>-0.05</c:v>
                </c:pt>
                <c:pt idx="15">
                  <c:v>-0.05</c:v>
                </c:pt>
                <c:pt idx="16">
                  <c:v>-0.05</c:v>
                </c:pt>
              </c:numCache>
            </c:numRef>
          </c:xVal>
          <c:yVal>
            <c:numRef>
              <c:f>'SDOH_3 (2)'!$C$2:$C$19</c:f>
              <c:numCache>
                <c:formatCode>General</c:formatCode>
                <c:ptCount val="18"/>
                <c:pt idx="0">
                  <c:v>10</c:v>
                </c:pt>
                <c:pt idx="1">
                  <c:v>16</c:v>
                </c:pt>
                <c:pt idx="2">
                  <c:v>4</c:v>
                </c:pt>
                <c:pt idx="3">
                  <c:v>8</c:v>
                </c:pt>
                <c:pt idx="4">
                  <c:v>15</c:v>
                </c:pt>
                <c:pt idx="5">
                  <c:v>5</c:v>
                </c:pt>
                <c:pt idx="6">
                  <c:v>1</c:v>
                </c:pt>
                <c:pt idx="7">
                  <c:v>7</c:v>
                </c:pt>
                <c:pt idx="8">
                  <c:v>12</c:v>
                </c:pt>
                <c:pt idx="9">
                  <c:v>9</c:v>
                </c:pt>
                <c:pt idx="10">
                  <c:v>11</c:v>
                </c:pt>
                <c:pt idx="11">
                  <c:v>14</c:v>
                </c:pt>
                <c:pt idx="12">
                  <c:v>17</c:v>
                </c:pt>
                <c:pt idx="13">
                  <c:v>2</c:v>
                </c:pt>
                <c:pt idx="14">
                  <c:v>6</c:v>
                </c:pt>
                <c:pt idx="15">
                  <c:v>13</c:v>
                </c:pt>
                <c:pt idx="16">
                  <c:v>3</c:v>
                </c:pt>
              </c:numCache>
            </c:numRef>
          </c:yVal>
          <c:smooth val="0"/>
          <c:extLst>
            <c:ext xmlns:c15="http://schemas.microsoft.com/office/drawing/2012/chart" uri="{02D57815-91ED-43cb-92C2-25804820EDAC}">
              <c15:datalabelsRange>
                <c15:f>'SDOH_3 (2)'!$A$2:$A$18</c15:f>
                <c15:dlblRangeCache>
                  <c:ptCount val="17"/>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CCO statewide</c:v>
                  </c:pt>
                  <c:pt idx="13">
                    <c:v>Trillium North</c:v>
                  </c:pt>
                  <c:pt idx="14">
                    <c:v>Trillium South</c:v>
                  </c:pt>
                  <c:pt idx="15">
                    <c:v>Umpqua Health Alliance</c:v>
                  </c:pt>
                  <c:pt idx="16">
                    <c:v>Yamhill Community Care</c:v>
                  </c:pt>
                </c15:dlblRangeCache>
              </c15:datalabelsRange>
            </c:ext>
            <c:ext xmlns:c16="http://schemas.microsoft.com/office/drawing/2014/chart" uri="{C3380CC4-5D6E-409C-BE32-E72D297353CC}">
              <c16:uniqueId val="{00000017-62F8-4854-BBB4-648039F6C5C5}"/>
            </c:ext>
          </c:extLst>
        </c:ser>
        <c:dLbls>
          <c:showLegendKey val="0"/>
          <c:showVal val="0"/>
          <c:showCatName val="0"/>
          <c:showSerName val="0"/>
          <c:showPercent val="0"/>
          <c:showBubbleSize val="0"/>
        </c:dLbls>
        <c:axId val="850782895"/>
        <c:axId val="850776655"/>
      </c:scatterChart>
      <c:valAx>
        <c:axId val="850782895"/>
        <c:scaling>
          <c:orientation val="minMax"/>
          <c:max val="1.2"/>
          <c:min val="-0.1"/>
        </c:scaling>
        <c:delete val="1"/>
        <c:axPos val="b"/>
        <c:numFmt formatCode="0.0%" sourceLinked="1"/>
        <c:majorTickMark val="out"/>
        <c:minorTickMark val="none"/>
        <c:tickLblPos val="nextTo"/>
        <c:crossAx val="850776655"/>
        <c:crosses val="autoZero"/>
        <c:crossBetween val="midCat"/>
        <c:majorUnit val="0.25"/>
      </c:valAx>
      <c:valAx>
        <c:axId val="850776655"/>
        <c:scaling>
          <c:orientation val="minMax"/>
          <c:max val="17"/>
          <c:min val="1"/>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850782895"/>
        <c:crosses val="autoZero"/>
        <c:crossBetween val="midCat"/>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16207349081365"/>
          <c:y val="4.9305389856570958E-2"/>
          <c:w val="0.86528237095363081"/>
          <c:h val="0.74102872557596977"/>
        </c:manualLayout>
      </c:layout>
      <c:lineChart>
        <c:grouping val="standard"/>
        <c:varyColors val="0"/>
        <c:ser>
          <c:idx val="12"/>
          <c:order val="16"/>
          <c:tx>
            <c:strRef>
              <c:f>SEM!$A$18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SEM!$B$1:$C$1</c:f>
              <c:strCache>
                <c:ptCount val="2"/>
                <c:pt idx="0">
                  <c:v>'24</c:v>
                </c:pt>
                <c:pt idx="1">
                  <c:v>'25</c:v>
                </c:pt>
              </c:strCache>
            </c:strRef>
          </c:cat>
          <c:val>
            <c:numRef>
              <c:f>SEM!$B$18:$C$18</c:f>
              <c:numCache>
                <c:formatCode>0.0%</c:formatCode>
                <c:ptCount val="2"/>
                <c:pt idx="0">
                  <c:v>4.1000000000000002E-2</c:v>
                </c:pt>
                <c:pt idx="1">
                  <c:v>5.6000000000000001E-2</c:v>
                </c:pt>
              </c:numCache>
            </c:numRef>
          </c:val>
          <c:smooth val="0"/>
          <c:extLst>
            <c:ext xmlns:c16="http://schemas.microsoft.com/office/drawing/2014/chart" uri="{C3380CC4-5D6E-409C-BE32-E72D297353CC}">
              <c16:uniqueId val="{00000000-D8AC-4533-856E-21178BEC27F1}"/>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SEM!$A$2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SEM!$B$2:$C$2</c:f>
              <c:numCache>
                <c:formatCode>0.0%</c:formatCode>
                <c:ptCount val="2"/>
                <c:pt idx="0">
                  <c:v>4.1000000000000002E-2</c:v>
                </c:pt>
                <c:pt idx="1">
                  <c:v>7.1999999999999995E-2</c:v>
                </c:pt>
              </c:numCache>
            </c:numRef>
          </c:yVal>
          <c:smooth val="0"/>
          <c:extLst>
            <c:ext xmlns:c16="http://schemas.microsoft.com/office/drawing/2014/chart" uri="{C3380CC4-5D6E-409C-BE32-E72D297353CC}">
              <c16:uniqueId val="{00000001-D8AC-4533-856E-21178BEC27F1}"/>
            </c:ext>
          </c:extLst>
        </c:ser>
        <c:ser>
          <c:idx val="1"/>
          <c:order val="1"/>
          <c:tx>
            <c:strRef>
              <c:f>SEM!$A$3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SEM!$B$3:$C$3</c:f>
              <c:numCache>
                <c:formatCode>0.0%</c:formatCode>
                <c:ptCount val="2"/>
                <c:pt idx="0">
                  <c:v>3.2000000000000001E-2</c:v>
                </c:pt>
                <c:pt idx="1">
                  <c:v>4.3999999999999997E-2</c:v>
                </c:pt>
              </c:numCache>
            </c:numRef>
          </c:yVal>
          <c:smooth val="0"/>
          <c:extLst>
            <c:ext xmlns:c16="http://schemas.microsoft.com/office/drawing/2014/chart" uri="{C3380CC4-5D6E-409C-BE32-E72D297353CC}">
              <c16:uniqueId val="{00000002-D8AC-4533-856E-21178BEC27F1}"/>
            </c:ext>
          </c:extLst>
        </c:ser>
        <c:ser>
          <c:idx val="2"/>
          <c:order val="2"/>
          <c:tx>
            <c:strRef>
              <c:f>SEM!$A$4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SEM!$B$4:$C$4</c:f>
              <c:numCache>
                <c:formatCode>0.0%</c:formatCode>
                <c:ptCount val="2"/>
                <c:pt idx="0">
                  <c:v>4.2000000000000003E-2</c:v>
                </c:pt>
                <c:pt idx="1">
                  <c:v>4.7E-2</c:v>
                </c:pt>
              </c:numCache>
            </c:numRef>
          </c:yVal>
          <c:smooth val="0"/>
          <c:extLst>
            <c:ext xmlns:c16="http://schemas.microsoft.com/office/drawing/2014/chart" uri="{C3380CC4-5D6E-409C-BE32-E72D297353CC}">
              <c16:uniqueId val="{00000003-D8AC-4533-856E-21178BEC27F1}"/>
            </c:ext>
          </c:extLst>
        </c:ser>
        <c:ser>
          <c:idx val="3"/>
          <c:order val="3"/>
          <c:tx>
            <c:strRef>
              <c:f>SEM!$A$5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SEM!$B$5:$C$5</c:f>
              <c:numCache>
                <c:formatCode>0.0%</c:formatCode>
                <c:ptCount val="2"/>
                <c:pt idx="0">
                  <c:v>3.5999999999999997E-2</c:v>
                </c:pt>
                <c:pt idx="1">
                  <c:v>3.7999999999999999E-2</c:v>
                </c:pt>
              </c:numCache>
            </c:numRef>
          </c:yVal>
          <c:smooth val="0"/>
          <c:extLst>
            <c:ext xmlns:c16="http://schemas.microsoft.com/office/drawing/2014/chart" uri="{C3380CC4-5D6E-409C-BE32-E72D297353CC}">
              <c16:uniqueId val="{00000004-D8AC-4533-856E-21178BEC27F1}"/>
            </c:ext>
          </c:extLst>
        </c:ser>
        <c:ser>
          <c:idx val="4"/>
          <c:order val="4"/>
          <c:tx>
            <c:strRef>
              <c:f>SEM!$A$6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SEM!$B$6:$C$6</c:f>
              <c:numCache>
                <c:formatCode>0.0%</c:formatCode>
                <c:ptCount val="2"/>
                <c:pt idx="0">
                  <c:v>3.1E-2</c:v>
                </c:pt>
                <c:pt idx="1">
                  <c:v>3.6999999999999998E-2</c:v>
                </c:pt>
              </c:numCache>
            </c:numRef>
          </c:yVal>
          <c:smooth val="0"/>
          <c:extLst>
            <c:ext xmlns:c16="http://schemas.microsoft.com/office/drawing/2014/chart" uri="{C3380CC4-5D6E-409C-BE32-E72D297353CC}">
              <c16:uniqueId val="{00000005-D8AC-4533-856E-21178BEC27F1}"/>
            </c:ext>
          </c:extLst>
        </c:ser>
        <c:ser>
          <c:idx val="5"/>
          <c:order val="5"/>
          <c:tx>
            <c:strRef>
              <c:f>SEM!$A$7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SEM!$B$7:$C$7</c:f>
              <c:numCache>
                <c:formatCode>0.0%</c:formatCode>
                <c:ptCount val="2"/>
                <c:pt idx="0">
                  <c:v>5.3999999999999999E-2</c:v>
                </c:pt>
                <c:pt idx="1">
                  <c:v>7.1999999999999995E-2</c:v>
                </c:pt>
              </c:numCache>
            </c:numRef>
          </c:yVal>
          <c:smooth val="0"/>
          <c:extLst>
            <c:ext xmlns:c16="http://schemas.microsoft.com/office/drawing/2014/chart" uri="{C3380CC4-5D6E-409C-BE32-E72D297353CC}">
              <c16:uniqueId val="{00000006-D8AC-4533-856E-21178BEC27F1}"/>
            </c:ext>
          </c:extLst>
        </c:ser>
        <c:ser>
          <c:idx val="6"/>
          <c:order val="6"/>
          <c:tx>
            <c:strRef>
              <c:f>SEM!$A$8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SEM!$B$8:$C$8</c:f>
              <c:numCache>
                <c:formatCode>0.0%</c:formatCode>
                <c:ptCount val="2"/>
                <c:pt idx="0">
                  <c:v>4.4999999999999998E-2</c:v>
                </c:pt>
                <c:pt idx="1">
                  <c:v>3.9E-2</c:v>
                </c:pt>
              </c:numCache>
            </c:numRef>
          </c:yVal>
          <c:smooth val="0"/>
          <c:extLst>
            <c:ext xmlns:c16="http://schemas.microsoft.com/office/drawing/2014/chart" uri="{C3380CC4-5D6E-409C-BE32-E72D297353CC}">
              <c16:uniqueId val="{00000007-D8AC-4533-856E-21178BEC27F1}"/>
            </c:ext>
          </c:extLst>
        </c:ser>
        <c:ser>
          <c:idx val="7"/>
          <c:order val="7"/>
          <c:tx>
            <c:strRef>
              <c:f>SEM!$A$9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SEM!$B$9:$C$9</c:f>
              <c:numCache>
                <c:formatCode>0.0%</c:formatCode>
                <c:ptCount val="2"/>
                <c:pt idx="0">
                  <c:v>6.6000000000000003E-2</c:v>
                </c:pt>
                <c:pt idx="1">
                  <c:v>8.5000000000000006E-2</c:v>
                </c:pt>
              </c:numCache>
            </c:numRef>
          </c:yVal>
          <c:smooth val="0"/>
          <c:extLst>
            <c:ext xmlns:c16="http://schemas.microsoft.com/office/drawing/2014/chart" uri="{C3380CC4-5D6E-409C-BE32-E72D297353CC}">
              <c16:uniqueId val="{00000008-D8AC-4533-856E-21178BEC27F1}"/>
            </c:ext>
          </c:extLst>
        </c:ser>
        <c:ser>
          <c:idx val="8"/>
          <c:order val="8"/>
          <c:tx>
            <c:strRef>
              <c:f>SEM!$A$10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SEM!$B$10:$C$10</c:f>
              <c:numCache>
                <c:formatCode>0.0%</c:formatCode>
                <c:ptCount val="2"/>
                <c:pt idx="0">
                  <c:v>8.1000000000000003E-2</c:v>
                </c:pt>
                <c:pt idx="1">
                  <c:v>9.0999999999999998E-2</c:v>
                </c:pt>
              </c:numCache>
            </c:numRef>
          </c:yVal>
          <c:smooth val="0"/>
          <c:extLst>
            <c:ext xmlns:c16="http://schemas.microsoft.com/office/drawing/2014/chart" uri="{C3380CC4-5D6E-409C-BE32-E72D297353CC}">
              <c16:uniqueId val="{00000009-D8AC-4533-856E-21178BEC27F1}"/>
            </c:ext>
          </c:extLst>
        </c:ser>
        <c:ser>
          <c:idx val="9"/>
          <c:order val="9"/>
          <c:tx>
            <c:strRef>
              <c:f>SEM!$A$11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SEM!$B$11:$C$11</c:f>
              <c:numCache>
                <c:formatCode>0.0%</c:formatCode>
                <c:ptCount val="2"/>
                <c:pt idx="0">
                  <c:v>3.4000000000000002E-2</c:v>
                </c:pt>
                <c:pt idx="1">
                  <c:v>6.8000000000000005E-2</c:v>
                </c:pt>
              </c:numCache>
            </c:numRef>
          </c:yVal>
          <c:smooth val="0"/>
          <c:extLst>
            <c:ext xmlns:c16="http://schemas.microsoft.com/office/drawing/2014/chart" uri="{C3380CC4-5D6E-409C-BE32-E72D297353CC}">
              <c16:uniqueId val="{0000000A-D8AC-4533-856E-21178BEC27F1}"/>
            </c:ext>
          </c:extLst>
        </c:ser>
        <c:ser>
          <c:idx val="10"/>
          <c:order val="10"/>
          <c:tx>
            <c:strRef>
              <c:f>SEM!$A$12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SEM!$B$12:$C$12</c:f>
              <c:numCache>
                <c:formatCode>0.0%</c:formatCode>
                <c:ptCount val="2"/>
                <c:pt idx="0">
                  <c:v>6.7000000000000004E-2</c:v>
                </c:pt>
                <c:pt idx="1">
                  <c:v>8.6999999999999994E-2</c:v>
                </c:pt>
              </c:numCache>
            </c:numRef>
          </c:yVal>
          <c:smooth val="0"/>
          <c:extLst>
            <c:ext xmlns:c16="http://schemas.microsoft.com/office/drawing/2014/chart" uri="{C3380CC4-5D6E-409C-BE32-E72D297353CC}">
              <c16:uniqueId val="{0000000B-D8AC-4533-856E-21178BEC27F1}"/>
            </c:ext>
          </c:extLst>
        </c:ser>
        <c:ser>
          <c:idx val="11"/>
          <c:order val="11"/>
          <c:tx>
            <c:strRef>
              <c:f>SEM!$A$13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SEM!$B$13:$C$13</c:f>
              <c:numCache>
                <c:formatCode>0.0%</c:formatCode>
                <c:ptCount val="2"/>
                <c:pt idx="0">
                  <c:v>3.9E-2</c:v>
                </c:pt>
                <c:pt idx="1">
                  <c:v>4.8000000000000001E-2</c:v>
                </c:pt>
              </c:numCache>
            </c:numRef>
          </c:yVal>
          <c:smooth val="0"/>
          <c:extLst>
            <c:ext xmlns:c16="http://schemas.microsoft.com/office/drawing/2014/chart" uri="{C3380CC4-5D6E-409C-BE32-E72D297353CC}">
              <c16:uniqueId val="{0000000C-D8AC-4533-856E-21178BEC27F1}"/>
            </c:ext>
          </c:extLst>
        </c:ser>
        <c:ser>
          <c:idx val="13"/>
          <c:order val="12"/>
          <c:tx>
            <c:strRef>
              <c:f>SEM!$A$14</c:f>
              <c:strCache>
                <c:ptCount val="1"/>
                <c:pt idx="0">
                  <c:v>Statewide</c:v>
                </c:pt>
              </c:strCache>
            </c:strRef>
          </c:tx>
          <c:spPr>
            <a:ln w="28575" cap="rnd">
              <a:solidFill>
                <a:schemeClr val="accent1">
                  <a:lumMod val="75000"/>
                </a:schemeClr>
              </a:solidFill>
              <a:round/>
            </a:ln>
            <a:effectLst/>
          </c:spPr>
          <c:marker>
            <c:symbol val="none"/>
          </c:marker>
          <c:xVal>
            <c:strRef>
              <c:f>SEM!$B$1:$C$1</c:f>
              <c:strCache>
                <c:ptCount val="2"/>
                <c:pt idx="0">
                  <c:v>'24</c:v>
                </c:pt>
                <c:pt idx="1">
                  <c:v>'25</c:v>
                </c:pt>
              </c:strCache>
            </c:strRef>
          </c:xVal>
          <c:yVal>
            <c:numRef>
              <c:f>SEM!$B$14:$C$14</c:f>
              <c:numCache>
                <c:formatCode>0.0%</c:formatCode>
                <c:ptCount val="2"/>
                <c:pt idx="0">
                  <c:v>0.05</c:v>
                </c:pt>
                <c:pt idx="1">
                  <c:v>6.3E-2</c:v>
                </c:pt>
              </c:numCache>
            </c:numRef>
          </c:yVal>
          <c:smooth val="0"/>
          <c:extLst>
            <c:ext xmlns:c16="http://schemas.microsoft.com/office/drawing/2014/chart" uri="{C3380CC4-5D6E-409C-BE32-E72D297353CC}">
              <c16:uniqueId val="{0000000D-D8AC-4533-856E-21178BEC27F1}"/>
            </c:ext>
          </c:extLst>
        </c:ser>
        <c:ser>
          <c:idx val="14"/>
          <c:order val="13"/>
          <c:tx>
            <c:strRef>
              <c:f>SEM!$A$15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SEM!$B$15:$C$15</c:f>
              <c:numCache>
                <c:formatCode>0.0%</c:formatCode>
                <c:ptCount val="2"/>
                <c:pt idx="0">
                  <c:v>6.8000000000000005E-2</c:v>
                </c:pt>
                <c:pt idx="1">
                  <c:v>7.1999999999999995E-2</c:v>
                </c:pt>
              </c:numCache>
            </c:numRef>
          </c:yVal>
          <c:smooth val="0"/>
          <c:extLst>
            <c:ext xmlns:c16="http://schemas.microsoft.com/office/drawing/2014/chart" uri="{C3380CC4-5D6E-409C-BE32-E72D297353CC}">
              <c16:uniqueId val="{0000000E-D8AC-4533-856E-21178BEC27F1}"/>
            </c:ext>
          </c:extLst>
        </c:ser>
        <c:ser>
          <c:idx val="15"/>
          <c:order val="14"/>
          <c:tx>
            <c:strRef>
              <c:f>SEM!$A$16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SEM!$B$16:$C$16</c:f>
              <c:numCache>
                <c:formatCode>0.0%</c:formatCode>
                <c:ptCount val="2"/>
                <c:pt idx="0">
                  <c:v>3.1E-2</c:v>
                </c:pt>
                <c:pt idx="1">
                  <c:v>5.8999999999999997E-2</c:v>
                </c:pt>
              </c:numCache>
            </c:numRef>
          </c:yVal>
          <c:smooth val="0"/>
          <c:extLst>
            <c:ext xmlns:c16="http://schemas.microsoft.com/office/drawing/2014/chart" uri="{C3380CC4-5D6E-409C-BE32-E72D297353CC}">
              <c16:uniqueId val="{0000000F-D8AC-4533-856E-21178BEC27F1}"/>
            </c:ext>
          </c:extLst>
        </c:ser>
        <c:ser>
          <c:idx val="16"/>
          <c:order val="15"/>
          <c:tx>
            <c:strRef>
              <c:f>SEM!$A$17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SEM!$B$17:$C$17</c:f>
              <c:numCache>
                <c:formatCode>0.0%</c:formatCode>
                <c:ptCount val="2"/>
                <c:pt idx="0">
                  <c:v>3.6999999999999998E-2</c:v>
                </c:pt>
                <c:pt idx="1">
                  <c:v>6.2E-2</c:v>
                </c:pt>
              </c:numCache>
            </c:numRef>
          </c:yVal>
          <c:smooth val="0"/>
          <c:extLst>
            <c:ext xmlns:c16="http://schemas.microsoft.com/office/drawing/2014/chart" uri="{C3380CC4-5D6E-409C-BE32-E72D297353CC}">
              <c16:uniqueId val="{00000010-D8AC-4533-856E-21178BEC27F1}"/>
            </c:ext>
          </c:extLst>
        </c:ser>
        <c:ser>
          <c:idx val="17"/>
          <c:order val="17"/>
          <c:tx>
            <c:strRef>
              <c:f>SEM!$A$20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SEM!$B$1:$C$1</c:f>
              <c:strCache>
                <c:ptCount val="2"/>
                <c:pt idx="0">
                  <c:v>'24</c:v>
                </c:pt>
                <c:pt idx="1">
                  <c:v>'25</c:v>
                </c:pt>
              </c:strCache>
            </c:strRef>
          </c:xVal>
          <c:yVal>
            <c:numRef>
              <c:f>SEM!$B$20:$C$20</c:f>
              <c:numCache>
                <c:formatCode>0.0%</c:formatCode>
                <c:ptCount val="2"/>
                <c:pt idx="0">
                  <c:v>0.05</c:v>
                </c:pt>
                <c:pt idx="1">
                  <c:v>6.3E-2</c:v>
                </c:pt>
              </c:numCache>
            </c:numRef>
          </c:yVal>
          <c:smooth val="0"/>
          <c:extLst>
            <c:ext xmlns:c16="http://schemas.microsoft.com/office/drawing/2014/chart" uri="{C3380CC4-5D6E-409C-BE32-E72D297353CC}">
              <c16:uniqueId val="{00000011-D8AC-4533-856E-21178BEC27F1}"/>
            </c:ext>
          </c:extLst>
        </c:ser>
        <c:ser>
          <c:idx val="19"/>
          <c:order val="18"/>
          <c:tx>
            <c:strRef>
              <c:f>SEM!$A$19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SEM!$B$19:$C$19</c:f>
              <c:numCache>
                <c:formatCode>0.0%</c:formatCode>
                <c:ptCount val="2"/>
                <c:pt idx="0">
                  <c:v>4.1000000000000002E-2</c:v>
                </c:pt>
                <c:pt idx="1">
                  <c:v>5.6000000000000001E-2</c:v>
                </c:pt>
              </c:numCache>
            </c:numRef>
          </c:yVal>
          <c:smooth val="0"/>
          <c:extLst>
            <c:ext xmlns:c16="http://schemas.microsoft.com/office/drawing/2014/chart" uri="{C3380CC4-5D6E-409C-BE32-E72D297353CC}">
              <c16:uniqueId val="{00000012-D8AC-4533-856E-21178BEC27F1}"/>
            </c:ext>
          </c:extLst>
        </c:ser>
        <c:ser>
          <c:idx val="18"/>
          <c:order val="19"/>
          <c:tx>
            <c:strRef>
              <c:f>SEM!$A$21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0658333333333334"/>
                  <c:y val="-2.1043771043771045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D8AC-4533-856E-21178BEC27F1}"/>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ptos" panose="020B0004020202020204" pitchFamily="34" charset="0"/>
                    <a:ea typeface="+mn-ea"/>
                    <a:cs typeface="Arial" panose="020B0604020202020204" pitchFamily="34"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SEM!$B$1:$C$1</c:f>
              <c:strCache>
                <c:ptCount val="2"/>
                <c:pt idx="0">
                  <c:v>'24</c:v>
                </c:pt>
                <c:pt idx="1">
                  <c:v>'25</c:v>
                </c:pt>
              </c:strCache>
            </c:strRef>
          </c:xVal>
          <c:yVal>
            <c:numRef>
              <c:f>SEM!$B$21:$C$21</c:f>
              <c:numCache>
                <c:formatCode>0.0%</c:formatCode>
                <c:ptCount val="2"/>
                <c:pt idx="1">
                  <c:v>0.11</c:v>
                </c:pt>
              </c:numCache>
            </c:numRef>
          </c:yVal>
          <c:smooth val="0"/>
          <c:extLst>
            <c:ext xmlns:c16="http://schemas.microsoft.com/office/drawing/2014/chart" uri="{C3380CC4-5D6E-409C-BE32-E72D297353CC}">
              <c16:uniqueId val="{00000014-D8AC-4533-856E-21178BEC27F1}"/>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0.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25"/>
        <c:min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7049000503724918"/>
        </c:manualLayout>
      </c:layout>
      <c:lineChart>
        <c:grouping val="standard"/>
        <c:varyColors val="0"/>
        <c:ser>
          <c:idx val="12"/>
          <c:order val="16"/>
          <c:tx>
            <c:strRef>
              <c:f>WCV_0306!$A$18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WCV_0306!$B$1:$I$1</c:f>
              <c:strCache>
                <c:ptCount val="8"/>
                <c:pt idx="0">
                  <c:v>'18</c:v>
                </c:pt>
                <c:pt idx="1">
                  <c:v>'19</c:v>
                </c:pt>
                <c:pt idx="2">
                  <c:v>'20</c:v>
                </c:pt>
                <c:pt idx="3">
                  <c:v>'21</c:v>
                </c:pt>
                <c:pt idx="4">
                  <c:v>'22</c:v>
                </c:pt>
                <c:pt idx="5">
                  <c:v>'23</c:v>
                </c:pt>
                <c:pt idx="6">
                  <c:v>'24</c:v>
                </c:pt>
                <c:pt idx="7">
                  <c:v>'25</c:v>
                </c:pt>
              </c:strCache>
            </c:strRef>
          </c:cat>
          <c:val>
            <c:numRef>
              <c:f>WCV_0306!$B$18:$I$18</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val>
          <c:smooth val="0"/>
          <c:extLst>
            <c:ext xmlns:c16="http://schemas.microsoft.com/office/drawing/2014/chart" uri="{C3380CC4-5D6E-409C-BE32-E72D297353CC}">
              <c16:uniqueId val="{00000000-FFA3-48A5-AFB9-D2DAF62BED52}"/>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WCV_0306!$A$2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WCV_0306!$B$2:$I$2</c:f>
              <c:numCache>
                <c:formatCode>0.0%</c:formatCode>
                <c:ptCount val="8"/>
                <c:pt idx="0">
                  <c:v>0.71700000000000008</c:v>
                </c:pt>
                <c:pt idx="1">
                  <c:v>0.71200000000000008</c:v>
                </c:pt>
                <c:pt idx="2">
                  <c:v>0.628</c:v>
                </c:pt>
                <c:pt idx="3">
                  <c:v>0.64200000000000002</c:v>
                </c:pt>
                <c:pt idx="4">
                  <c:v>0.64800000000000002</c:v>
                </c:pt>
                <c:pt idx="5">
                  <c:v>0.67400000000000004</c:v>
                </c:pt>
                <c:pt idx="6">
                  <c:v>0.68500000000000005</c:v>
                </c:pt>
                <c:pt idx="7">
                  <c:v>0.70299999999999996</c:v>
                </c:pt>
              </c:numCache>
            </c:numRef>
          </c:yVal>
          <c:smooth val="0"/>
          <c:extLst>
            <c:ext xmlns:c16="http://schemas.microsoft.com/office/drawing/2014/chart" uri="{C3380CC4-5D6E-409C-BE32-E72D297353CC}">
              <c16:uniqueId val="{00000001-FFA3-48A5-AFB9-D2DAF62BED52}"/>
            </c:ext>
          </c:extLst>
        </c:ser>
        <c:ser>
          <c:idx val="1"/>
          <c:order val="1"/>
          <c:tx>
            <c:strRef>
              <c:f>WCV_0306!$A$3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WCV_0306!$B$3:$I$3</c:f>
              <c:numCache>
                <c:formatCode>0.0%</c:formatCode>
                <c:ptCount val="8"/>
                <c:pt idx="0">
                  <c:v>0.67200000000000004</c:v>
                </c:pt>
                <c:pt idx="1">
                  <c:v>0.66099999999999992</c:v>
                </c:pt>
                <c:pt idx="2">
                  <c:v>0.56200000000000006</c:v>
                </c:pt>
                <c:pt idx="3">
                  <c:v>0.55299999999999994</c:v>
                </c:pt>
                <c:pt idx="4">
                  <c:v>0.55299999999999994</c:v>
                </c:pt>
                <c:pt idx="5">
                  <c:v>0.621</c:v>
                </c:pt>
                <c:pt idx="6">
                  <c:v>0.66299999999999992</c:v>
                </c:pt>
                <c:pt idx="7">
                  <c:v>0.68600000000000005</c:v>
                </c:pt>
              </c:numCache>
            </c:numRef>
          </c:yVal>
          <c:smooth val="0"/>
          <c:extLst>
            <c:ext xmlns:c16="http://schemas.microsoft.com/office/drawing/2014/chart" uri="{C3380CC4-5D6E-409C-BE32-E72D297353CC}">
              <c16:uniqueId val="{00000002-FFA3-48A5-AFB9-D2DAF62BED52}"/>
            </c:ext>
          </c:extLst>
        </c:ser>
        <c:ser>
          <c:idx val="2"/>
          <c:order val="2"/>
          <c:tx>
            <c:strRef>
              <c:f>WCV_0306!$A$4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WCV_0306!$B$4:$I$4</c:f>
              <c:numCache>
                <c:formatCode>0.0%</c:formatCode>
                <c:ptCount val="8"/>
                <c:pt idx="0">
                  <c:v>0.59799999999999998</c:v>
                </c:pt>
                <c:pt idx="1">
                  <c:v>0.59599999999999997</c:v>
                </c:pt>
                <c:pt idx="2">
                  <c:v>0.71299999999999997</c:v>
                </c:pt>
                <c:pt idx="3">
                  <c:v>0.59799999999999998</c:v>
                </c:pt>
                <c:pt idx="4">
                  <c:v>0.56600000000000006</c:v>
                </c:pt>
                <c:pt idx="5">
                  <c:v>0.66200000000000003</c:v>
                </c:pt>
                <c:pt idx="6">
                  <c:v>0.70799999999999996</c:v>
                </c:pt>
                <c:pt idx="7">
                  <c:v>0.753</c:v>
                </c:pt>
              </c:numCache>
            </c:numRef>
          </c:yVal>
          <c:smooth val="0"/>
          <c:extLst>
            <c:ext xmlns:c16="http://schemas.microsoft.com/office/drawing/2014/chart" uri="{C3380CC4-5D6E-409C-BE32-E72D297353CC}">
              <c16:uniqueId val="{00000003-FFA3-48A5-AFB9-D2DAF62BED52}"/>
            </c:ext>
          </c:extLst>
        </c:ser>
        <c:ser>
          <c:idx val="3"/>
          <c:order val="3"/>
          <c:tx>
            <c:strRef>
              <c:f>WCV_0306!$A$5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WCV_0306!$B$5:$I$5</c:f>
              <c:numCache>
                <c:formatCode>0.0%</c:formatCode>
                <c:ptCount val="8"/>
                <c:pt idx="0">
                  <c:v>0.64700000000000002</c:v>
                </c:pt>
                <c:pt idx="1">
                  <c:v>0.65</c:v>
                </c:pt>
                <c:pt idx="2">
                  <c:v>0.54600000000000004</c:v>
                </c:pt>
                <c:pt idx="3">
                  <c:v>0.55000000000000004</c:v>
                </c:pt>
                <c:pt idx="4">
                  <c:v>0.59299999999999997</c:v>
                </c:pt>
                <c:pt idx="5">
                  <c:v>0.59699999999999998</c:v>
                </c:pt>
                <c:pt idx="6">
                  <c:v>0.60599999999999998</c:v>
                </c:pt>
                <c:pt idx="7">
                  <c:v>0.66800000000000004</c:v>
                </c:pt>
              </c:numCache>
            </c:numRef>
          </c:yVal>
          <c:smooth val="0"/>
          <c:extLst>
            <c:ext xmlns:c16="http://schemas.microsoft.com/office/drawing/2014/chart" uri="{C3380CC4-5D6E-409C-BE32-E72D297353CC}">
              <c16:uniqueId val="{00000004-FFA3-48A5-AFB9-D2DAF62BED52}"/>
            </c:ext>
          </c:extLst>
        </c:ser>
        <c:ser>
          <c:idx val="4"/>
          <c:order val="4"/>
          <c:tx>
            <c:strRef>
              <c:f>WCV_0306!$A$6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WCV_0306!$B$6:$I$6</c:f>
              <c:numCache>
                <c:formatCode>0.0%</c:formatCode>
                <c:ptCount val="8"/>
                <c:pt idx="0">
                  <c:v>0.57500000000000007</c:v>
                </c:pt>
                <c:pt idx="1">
                  <c:v>0.58299999999999996</c:v>
                </c:pt>
                <c:pt idx="2">
                  <c:v>0.56100000000000005</c:v>
                </c:pt>
                <c:pt idx="3">
                  <c:v>0.64200000000000002</c:v>
                </c:pt>
                <c:pt idx="4">
                  <c:v>0.64599999999999991</c:v>
                </c:pt>
                <c:pt idx="5">
                  <c:v>0.67400000000000004</c:v>
                </c:pt>
                <c:pt idx="6">
                  <c:v>0.68200000000000005</c:v>
                </c:pt>
                <c:pt idx="7">
                  <c:v>0.70499999999999996</c:v>
                </c:pt>
              </c:numCache>
            </c:numRef>
          </c:yVal>
          <c:smooth val="0"/>
          <c:extLst>
            <c:ext xmlns:c16="http://schemas.microsoft.com/office/drawing/2014/chart" uri="{C3380CC4-5D6E-409C-BE32-E72D297353CC}">
              <c16:uniqueId val="{00000005-FFA3-48A5-AFB9-D2DAF62BED52}"/>
            </c:ext>
          </c:extLst>
        </c:ser>
        <c:ser>
          <c:idx val="5"/>
          <c:order val="5"/>
          <c:tx>
            <c:strRef>
              <c:f>WCV_0306!$A$7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WCV_0306!$B$7:$I$7</c:f>
              <c:numCache>
                <c:formatCode>0.0%</c:formatCode>
                <c:ptCount val="8"/>
                <c:pt idx="0">
                  <c:v>0.71900000000000008</c:v>
                </c:pt>
                <c:pt idx="1">
                  <c:v>0.73599999999999999</c:v>
                </c:pt>
                <c:pt idx="2">
                  <c:v>0.59399999999999997</c:v>
                </c:pt>
                <c:pt idx="3">
                  <c:v>0.65599999999999992</c:v>
                </c:pt>
                <c:pt idx="4">
                  <c:v>0.64400000000000002</c:v>
                </c:pt>
                <c:pt idx="5">
                  <c:v>0.66100000000000003</c:v>
                </c:pt>
                <c:pt idx="6">
                  <c:v>0.69899999999999995</c:v>
                </c:pt>
                <c:pt idx="7">
                  <c:v>0.73</c:v>
                </c:pt>
              </c:numCache>
            </c:numRef>
          </c:yVal>
          <c:smooth val="0"/>
          <c:extLst>
            <c:ext xmlns:c16="http://schemas.microsoft.com/office/drawing/2014/chart" uri="{C3380CC4-5D6E-409C-BE32-E72D297353CC}">
              <c16:uniqueId val="{00000006-FFA3-48A5-AFB9-D2DAF62BED52}"/>
            </c:ext>
          </c:extLst>
        </c:ser>
        <c:ser>
          <c:idx val="6"/>
          <c:order val="6"/>
          <c:tx>
            <c:strRef>
              <c:f>WCV_0306!$A$8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WCV_0306!$B$8:$I$8</c:f>
              <c:numCache>
                <c:formatCode>0.0%</c:formatCode>
                <c:ptCount val="8"/>
                <c:pt idx="0">
                  <c:v>0.62</c:v>
                </c:pt>
                <c:pt idx="1">
                  <c:v>0.623</c:v>
                </c:pt>
                <c:pt idx="2">
                  <c:v>0.54600000000000004</c:v>
                </c:pt>
                <c:pt idx="3">
                  <c:v>0.65200000000000002</c:v>
                </c:pt>
                <c:pt idx="4">
                  <c:v>0.64500000000000002</c:v>
                </c:pt>
                <c:pt idx="5">
                  <c:v>0.65500000000000003</c:v>
                </c:pt>
                <c:pt idx="6">
                  <c:v>0.70799999999999996</c:v>
                </c:pt>
                <c:pt idx="7">
                  <c:v>0.754</c:v>
                </c:pt>
              </c:numCache>
            </c:numRef>
          </c:yVal>
          <c:smooth val="0"/>
          <c:extLst>
            <c:ext xmlns:c16="http://schemas.microsoft.com/office/drawing/2014/chart" uri="{C3380CC4-5D6E-409C-BE32-E72D297353CC}">
              <c16:uniqueId val="{00000007-FFA3-48A5-AFB9-D2DAF62BED52}"/>
            </c:ext>
          </c:extLst>
        </c:ser>
        <c:ser>
          <c:idx val="7"/>
          <c:order val="7"/>
          <c:tx>
            <c:strRef>
              <c:f>WCV_0306!$A$9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WCV_0306!$B$9:$I$9</c:f>
              <c:numCache>
                <c:formatCode>0.0%</c:formatCode>
                <c:ptCount val="8"/>
                <c:pt idx="0">
                  <c:v>0.61199999999999999</c:v>
                </c:pt>
                <c:pt idx="1">
                  <c:v>0.64300000000000002</c:v>
                </c:pt>
                <c:pt idx="2">
                  <c:v>0.54600000000000004</c:v>
                </c:pt>
                <c:pt idx="3">
                  <c:v>0.63700000000000001</c:v>
                </c:pt>
                <c:pt idx="4">
                  <c:v>0.57999999999999996</c:v>
                </c:pt>
                <c:pt idx="5">
                  <c:v>0.66600000000000004</c:v>
                </c:pt>
                <c:pt idx="6">
                  <c:v>0.66299999999999992</c:v>
                </c:pt>
                <c:pt idx="7">
                  <c:v>0.68500000000000005</c:v>
                </c:pt>
              </c:numCache>
            </c:numRef>
          </c:yVal>
          <c:smooth val="0"/>
          <c:extLst>
            <c:ext xmlns:c16="http://schemas.microsoft.com/office/drawing/2014/chart" uri="{C3380CC4-5D6E-409C-BE32-E72D297353CC}">
              <c16:uniqueId val="{00000008-FFA3-48A5-AFB9-D2DAF62BED52}"/>
            </c:ext>
          </c:extLst>
        </c:ser>
        <c:ser>
          <c:idx val="8"/>
          <c:order val="8"/>
          <c:tx>
            <c:strRef>
              <c:f>WCV_0306!$A$10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WCV_0306!$B$10:$I$10</c:f>
              <c:numCache>
                <c:formatCode>0.0%</c:formatCode>
                <c:ptCount val="8"/>
                <c:pt idx="0">
                  <c:v>0.64400000000000002</c:v>
                </c:pt>
                <c:pt idx="1">
                  <c:v>0.71099999999999997</c:v>
                </c:pt>
                <c:pt idx="2">
                  <c:v>0.64200000000000002</c:v>
                </c:pt>
                <c:pt idx="3">
                  <c:v>0.68400000000000005</c:v>
                </c:pt>
                <c:pt idx="4">
                  <c:v>0.69299999999999995</c:v>
                </c:pt>
                <c:pt idx="5">
                  <c:v>0.70499999999999996</c:v>
                </c:pt>
                <c:pt idx="6">
                  <c:v>0.752</c:v>
                </c:pt>
                <c:pt idx="7">
                  <c:v>0.76300000000000001</c:v>
                </c:pt>
              </c:numCache>
            </c:numRef>
          </c:yVal>
          <c:smooth val="0"/>
          <c:extLst>
            <c:ext xmlns:c16="http://schemas.microsoft.com/office/drawing/2014/chart" uri="{C3380CC4-5D6E-409C-BE32-E72D297353CC}">
              <c16:uniqueId val="{00000009-FFA3-48A5-AFB9-D2DAF62BED52}"/>
            </c:ext>
          </c:extLst>
        </c:ser>
        <c:ser>
          <c:idx val="9"/>
          <c:order val="9"/>
          <c:tx>
            <c:strRef>
              <c:f>WCV_0306!$A$11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WCV_0306!$B$11:$I$11</c:f>
              <c:numCache>
                <c:formatCode>0.0%</c:formatCode>
                <c:ptCount val="8"/>
                <c:pt idx="0">
                  <c:v>0.68599999999999994</c:v>
                </c:pt>
                <c:pt idx="1">
                  <c:v>0.71700000000000008</c:v>
                </c:pt>
                <c:pt idx="2">
                  <c:v>0.64800000000000002</c:v>
                </c:pt>
                <c:pt idx="3">
                  <c:v>0.71400000000000008</c:v>
                </c:pt>
                <c:pt idx="4">
                  <c:v>0.76</c:v>
                </c:pt>
                <c:pt idx="5">
                  <c:v>0.74399999999999999</c:v>
                </c:pt>
                <c:pt idx="6">
                  <c:v>0.77500000000000002</c:v>
                </c:pt>
                <c:pt idx="7">
                  <c:v>0.75800000000000001</c:v>
                </c:pt>
              </c:numCache>
            </c:numRef>
          </c:yVal>
          <c:smooth val="0"/>
          <c:extLst>
            <c:ext xmlns:c16="http://schemas.microsoft.com/office/drawing/2014/chart" uri="{C3380CC4-5D6E-409C-BE32-E72D297353CC}">
              <c16:uniqueId val="{0000000A-FFA3-48A5-AFB9-D2DAF62BED52}"/>
            </c:ext>
          </c:extLst>
        </c:ser>
        <c:ser>
          <c:idx val="10"/>
          <c:order val="10"/>
          <c:tx>
            <c:strRef>
              <c:f>WCV_0306!$A$12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WCV_0306!$B$12:$I$12</c:f>
              <c:numCache>
                <c:formatCode>General</c:formatCode>
                <c:ptCount val="8"/>
                <c:pt idx="2" formatCode="0.0%">
                  <c:v>0.58100000000000007</c:v>
                </c:pt>
                <c:pt idx="3" formatCode="0.0%">
                  <c:v>0.59499999999999997</c:v>
                </c:pt>
                <c:pt idx="4" formatCode="0.0%">
                  <c:v>0.57799999999999996</c:v>
                </c:pt>
                <c:pt idx="5" formatCode="0.0%">
                  <c:v>0.61299999999999999</c:v>
                </c:pt>
                <c:pt idx="6" formatCode="0.0%">
                  <c:v>0.59899999999999998</c:v>
                </c:pt>
                <c:pt idx="7" formatCode="0.0%">
                  <c:v>0.623</c:v>
                </c:pt>
              </c:numCache>
            </c:numRef>
          </c:yVal>
          <c:smooth val="0"/>
          <c:extLst>
            <c:ext xmlns:c16="http://schemas.microsoft.com/office/drawing/2014/chart" uri="{C3380CC4-5D6E-409C-BE32-E72D297353CC}">
              <c16:uniqueId val="{0000000B-FFA3-48A5-AFB9-D2DAF62BED52}"/>
            </c:ext>
          </c:extLst>
        </c:ser>
        <c:ser>
          <c:idx val="11"/>
          <c:order val="11"/>
          <c:tx>
            <c:strRef>
              <c:f>WCV_0306!$A$13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WCV_0306!$B$13:$I$13</c:f>
              <c:numCache>
                <c:formatCode>General</c:formatCode>
                <c:ptCount val="8"/>
                <c:pt idx="2" formatCode="0.0%">
                  <c:v>0.61699999999999999</c:v>
                </c:pt>
                <c:pt idx="3" formatCode="0.0%">
                  <c:v>0.66200000000000003</c:v>
                </c:pt>
                <c:pt idx="4" formatCode="0.0%">
                  <c:v>0.629</c:v>
                </c:pt>
                <c:pt idx="5" formatCode="0.0%">
                  <c:v>0.64200000000000002</c:v>
                </c:pt>
                <c:pt idx="6" formatCode="0.0%">
                  <c:v>0.72899999999999987</c:v>
                </c:pt>
                <c:pt idx="7" formatCode="0.0%">
                  <c:v>0.72699999999999998</c:v>
                </c:pt>
              </c:numCache>
            </c:numRef>
          </c:yVal>
          <c:smooth val="0"/>
          <c:extLst>
            <c:ext xmlns:c16="http://schemas.microsoft.com/office/drawing/2014/chart" uri="{C3380CC4-5D6E-409C-BE32-E72D297353CC}">
              <c16:uniqueId val="{0000000C-FFA3-48A5-AFB9-D2DAF62BED52}"/>
            </c:ext>
          </c:extLst>
        </c:ser>
        <c:ser>
          <c:idx val="13"/>
          <c:order val="12"/>
          <c:tx>
            <c:strRef>
              <c:f>WCV_0306!$A$14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FFA3-48A5-AFB9-D2DAF62BED52}"/>
              </c:ext>
            </c:extLst>
          </c:dPt>
          <c:xVal>
            <c:strRef>
              <c:f>WCV_0306!$B$1:$I$1</c:f>
              <c:strCache>
                <c:ptCount val="8"/>
                <c:pt idx="0">
                  <c:v>'18</c:v>
                </c:pt>
                <c:pt idx="1">
                  <c:v>'19</c:v>
                </c:pt>
                <c:pt idx="2">
                  <c:v>'20</c:v>
                </c:pt>
                <c:pt idx="3">
                  <c:v>'21</c:v>
                </c:pt>
                <c:pt idx="4">
                  <c:v>'22</c:v>
                </c:pt>
                <c:pt idx="5">
                  <c:v>'23</c:v>
                </c:pt>
                <c:pt idx="6">
                  <c:v>'24</c:v>
                </c:pt>
                <c:pt idx="7">
                  <c:v>'25</c:v>
                </c:pt>
              </c:strCache>
            </c:strRef>
          </c:xVal>
          <c:yVal>
            <c:numRef>
              <c:f>WCV_0306!$B$14:$I$14</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0E-FFA3-48A5-AFB9-D2DAF62BED52}"/>
            </c:ext>
          </c:extLst>
        </c:ser>
        <c:ser>
          <c:idx val="14"/>
          <c:order val="13"/>
          <c:tx>
            <c:strRef>
              <c:f>WCV_0306!$A$15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WCV_0306!$B$15:$I$15</c:f>
              <c:numCache>
                <c:formatCode>General</c:formatCode>
                <c:ptCount val="8"/>
                <c:pt idx="3" formatCode="0.0%">
                  <c:v>0.45600000000000002</c:v>
                </c:pt>
                <c:pt idx="4" formatCode="0.0%">
                  <c:v>0.46299999999999997</c:v>
                </c:pt>
                <c:pt idx="5" formatCode="0.0%">
                  <c:v>0.41499999999999998</c:v>
                </c:pt>
                <c:pt idx="6" formatCode="0.0%">
                  <c:v>0.49200000000000005</c:v>
                </c:pt>
                <c:pt idx="7" formatCode="0.0%">
                  <c:v>0.55400000000000005</c:v>
                </c:pt>
              </c:numCache>
            </c:numRef>
          </c:yVal>
          <c:smooth val="0"/>
          <c:extLst>
            <c:ext xmlns:c16="http://schemas.microsoft.com/office/drawing/2014/chart" uri="{C3380CC4-5D6E-409C-BE32-E72D297353CC}">
              <c16:uniqueId val="{0000000F-FFA3-48A5-AFB9-D2DAF62BED52}"/>
            </c:ext>
          </c:extLst>
        </c:ser>
        <c:ser>
          <c:idx val="15"/>
          <c:order val="14"/>
          <c:tx>
            <c:strRef>
              <c:f>WCV_0306!$A$16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WCV_0306!$B$16:$I$16</c:f>
              <c:numCache>
                <c:formatCode>0.0%</c:formatCode>
                <c:ptCount val="8"/>
                <c:pt idx="0">
                  <c:v>0.65900000000000003</c:v>
                </c:pt>
                <c:pt idx="1">
                  <c:v>0.67599999999999993</c:v>
                </c:pt>
                <c:pt idx="2">
                  <c:v>0.43200000000000005</c:v>
                </c:pt>
                <c:pt idx="3">
                  <c:v>0.51500000000000001</c:v>
                </c:pt>
                <c:pt idx="4">
                  <c:v>0.51900000000000002</c:v>
                </c:pt>
                <c:pt idx="5">
                  <c:v>0.51400000000000001</c:v>
                </c:pt>
                <c:pt idx="6">
                  <c:v>0.60299999999999998</c:v>
                </c:pt>
                <c:pt idx="7">
                  <c:v>0.59</c:v>
                </c:pt>
              </c:numCache>
            </c:numRef>
          </c:yVal>
          <c:smooth val="0"/>
          <c:extLst>
            <c:ext xmlns:c16="http://schemas.microsoft.com/office/drawing/2014/chart" uri="{C3380CC4-5D6E-409C-BE32-E72D297353CC}">
              <c16:uniqueId val="{00000010-FFA3-48A5-AFB9-D2DAF62BED52}"/>
            </c:ext>
          </c:extLst>
        </c:ser>
        <c:ser>
          <c:idx val="16"/>
          <c:order val="15"/>
          <c:tx>
            <c:strRef>
              <c:f>WCV_0306!$A$17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WCV_0306!$B$17:$I$17</c:f>
              <c:numCache>
                <c:formatCode>0.0%</c:formatCode>
                <c:ptCount val="8"/>
                <c:pt idx="0">
                  <c:v>0.61</c:v>
                </c:pt>
                <c:pt idx="1">
                  <c:v>0.67599999999999993</c:v>
                </c:pt>
                <c:pt idx="2">
                  <c:v>0.6409999999999999</c:v>
                </c:pt>
                <c:pt idx="3">
                  <c:v>0.65099999999999991</c:v>
                </c:pt>
                <c:pt idx="4">
                  <c:v>0.71</c:v>
                </c:pt>
                <c:pt idx="5">
                  <c:v>0.70699999999999996</c:v>
                </c:pt>
                <c:pt idx="6">
                  <c:v>0.754</c:v>
                </c:pt>
                <c:pt idx="7">
                  <c:v>0.76700000000000002</c:v>
                </c:pt>
              </c:numCache>
            </c:numRef>
          </c:yVal>
          <c:smooth val="0"/>
          <c:extLst>
            <c:ext xmlns:c16="http://schemas.microsoft.com/office/drawing/2014/chart" uri="{C3380CC4-5D6E-409C-BE32-E72D297353CC}">
              <c16:uniqueId val="{00000011-FFA3-48A5-AFB9-D2DAF62BED52}"/>
            </c:ext>
          </c:extLst>
        </c:ser>
        <c:ser>
          <c:idx val="17"/>
          <c:order val="17"/>
          <c:tx>
            <c:strRef>
              <c:f>WCV_0306!$A$20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WCV_0306!$B$20:$I$20</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12-FFA3-48A5-AFB9-D2DAF62BED52}"/>
            </c:ext>
          </c:extLst>
        </c:ser>
        <c:ser>
          <c:idx val="18"/>
          <c:order val="18"/>
          <c:tx>
            <c:strRef>
              <c:f>WCV_0306!$A$21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layout>
                <c:manualLayout>
                  <c:x val="-0.20658333333333334"/>
                  <c:y val="-4.6296296296296294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FFA3-48A5-AFB9-D2DAF62BED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WCV_0306!$B$1:$I$1</c:f>
              <c:strCache>
                <c:ptCount val="8"/>
                <c:pt idx="0">
                  <c:v>'18</c:v>
                </c:pt>
                <c:pt idx="1">
                  <c:v>'19</c:v>
                </c:pt>
                <c:pt idx="2">
                  <c:v>'20</c:v>
                </c:pt>
                <c:pt idx="3">
                  <c:v>'21</c:v>
                </c:pt>
                <c:pt idx="4">
                  <c:v>'22</c:v>
                </c:pt>
                <c:pt idx="5">
                  <c:v>'23</c:v>
                </c:pt>
                <c:pt idx="6">
                  <c:v>'24</c:v>
                </c:pt>
                <c:pt idx="7">
                  <c:v>'25</c:v>
                </c:pt>
              </c:strCache>
            </c:strRef>
          </c:xVal>
          <c:yVal>
            <c:numRef>
              <c:f>WCV_0306!$B$21:$I$21</c:f>
              <c:numCache>
                <c:formatCode>General</c:formatCode>
                <c:ptCount val="8"/>
                <c:pt idx="2" formatCode="0.0%">
                  <c:v>0.78500000000000003</c:v>
                </c:pt>
                <c:pt idx="3" formatCode="0.0%">
                  <c:v>0.54600000000000004</c:v>
                </c:pt>
                <c:pt idx="4" formatCode="0.0%">
                  <c:v>0.64100000000000001</c:v>
                </c:pt>
                <c:pt idx="5" formatCode="0.0%">
                  <c:v>0.68600000000000005</c:v>
                </c:pt>
                <c:pt idx="6" formatCode="0.0%">
                  <c:v>0.70200000000000007</c:v>
                </c:pt>
                <c:pt idx="7" formatCode="0.0%">
                  <c:v>0.72</c:v>
                </c:pt>
              </c:numCache>
            </c:numRef>
          </c:yVal>
          <c:smooth val="0"/>
          <c:extLst>
            <c:ext xmlns:c16="http://schemas.microsoft.com/office/drawing/2014/chart" uri="{C3380CC4-5D6E-409C-BE32-E72D297353CC}">
              <c16:uniqueId val="{00000014-FFA3-48A5-AFB9-D2DAF62BED52}"/>
            </c:ext>
          </c:extLst>
        </c:ser>
        <c:ser>
          <c:idx val="19"/>
          <c:order val="19"/>
          <c:tx>
            <c:strRef>
              <c:f>WCV_0306!$A$19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WCV_0306!$B$19:$I$19</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yVal>
          <c:smooth val="0"/>
          <c:extLst>
            <c:ext xmlns:c16="http://schemas.microsoft.com/office/drawing/2014/chart" uri="{C3380CC4-5D6E-409C-BE32-E72D297353CC}">
              <c16:uniqueId val="{00000015-FFA3-48A5-AFB9-D2DAF62BED52}"/>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7049000503724918"/>
        </c:manualLayout>
      </c:layout>
      <c:lineChart>
        <c:grouping val="standard"/>
        <c:varyColors val="0"/>
        <c:ser>
          <c:idx val="12"/>
          <c:order val="16"/>
          <c:tx>
            <c:strRef>
              <c:f>CIS_C3!$A$18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CIS_C3!$B$1:$F$1</c:f>
              <c:strCache>
                <c:ptCount val="5"/>
                <c:pt idx="0">
                  <c:v>'21</c:v>
                </c:pt>
                <c:pt idx="1">
                  <c:v>'22</c:v>
                </c:pt>
                <c:pt idx="2">
                  <c:v>'23</c:v>
                </c:pt>
                <c:pt idx="3">
                  <c:v>'24</c:v>
                </c:pt>
                <c:pt idx="4">
                  <c:v>'25</c:v>
                </c:pt>
              </c:strCache>
            </c:strRef>
          </c:cat>
          <c:val>
            <c:numRef>
              <c:f>CIS_C3!$B$18:$F$18</c:f>
              <c:numCache>
                <c:formatCode>0.0%</c:formatCode>
                <c:ptCount val="5"/>
                <c:pt idx="0">
                  <c:v>0.63200000000000001</c:v>
                </c:pt>
                <c:pt idx="1">
                  <c:v>0.61299999999999999</c:v>
                </c:pt>
                <c:pt idx="2">
                  <c:v>0.64700000000000002</c:v>
                </c:pt>
                <c:pt idx="3">
                  <c:v>0.624</c:v>
                </c:pt>
                <c:pt idx="4">
                  <c:v>0.63300000000000001</c:v>
                </c:pt>
              </c:numCache>
            </c:numRef>
          </c:val>
          <c:smooth val="0"/>
          <c:extLst>
            <c:ext xmlns:c16="http://schemas.microsoft.com/office/drawing/2014/chart" uri="{C3380CC4-5D6E-409C-BE32-E72D297353CC}">
              <c16:uniqueId val="{00000000-E8CF-4852-8C5B-AB4732BB2BCF}"/>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CIS_C3!$A$2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CIS_C3!$B$2:$F$2</c:f>
              <c:numCache>
                <c:formatCode>0.0%</c:formatCode>
                <c:ptCount val="5"/>
                <c:pt idx="0">
                  <c:v>0.623</c:v>
                </c:pt>
                <c:pt idx="1">
                  <c:v>0.63500000000000001</c:v>
                </c:pt>
                <c:pt idx="2">
                  <c:v>0.61599999999999999</c:v>
                </c:pt>
                <c:pt idx="3">
                  <c:v>0.624</c:v>
                </c:pt>
                <c:pt idx="4">
                  <c:v>0.63200000000000001</c:v>
                </c:pt>
              </c:numCache>
            </c:numRef>
          </c:yVal>
          <c:smooth val="0"/>
          <c:extLst>
            <c:ext xmlns:c16="http://schemas.microsoft.com/office/drawing/2014/chart" uri="{C3380CC4-5D6E-409C-BE32-E72D297353CC}">
              <c16:uniqueId val="{00000001-E8CF-4852-8C5B-AB4732BB2BCF}"/>
            </c:ext>
          </c:extLst>
        </c:ser>
        <c:ser>
          <c:idx val="1"/>
          <c:order val="1"/>
          <c:tx>
            <c:strRef>
              <c:f>CIS_C3!$A$3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CIS_C3!$B$3:$F$3</c:f>
              <c:numCache>
                <c:formatCode>0.0%</c:formatCode>
                <c:ptCount val="5"/>
                <c:pt idx="0">
                  <c:v>0.45799999999999996</c:v>
                </c:pt>
                <c:pt idx="1">
                  <c:v>0.46500000000000002</c:v>
                </c:pt>
                <c:pt idx="2">
                  <c:v>0.45400000000000001</c:v>
                </c:pt>
                <c:pt idx="3">
                  <c:v>0.43</c:v>
                </c:pt>
                <c:pt idx="4">
                  <c:v>0.437</c:v>
                </c:pt>
              </c:numCache>
            </c:numRef>
          </c:yVal>
          <c:smooth val="0"/>
          <c:extLst>
            <c:ext xmlns:c16="http://schemas.microsoft.com/office/drawing/2014/chart" uri="{C3380CC4-5D6E-409C-BE32-E72D297353CC}">
              <c16:uniqueId val="{00000002-E8CF-4852-8C5B-AB4732BB2BCF}"/>
            </c:ext>
          </c:extLst>
        </c:ser>
        <c:ser>
          <c:idx val="2"/>
          <c:order val="2"/>
          <c:tx>
            <c:strRef>
              <c:f>CIS_C3!$A$4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CIS_C3!$B$4:$F$4</c:f>
              <c:numCache>
                <c:formatCode>0.0%</c:formatCode>
                <c:ptCount val="5"/>
                <c:pt idx="0">
                  <c:v>0.66</c:v>
                </c:pt>
                <c:pt idx="1">
                  <c:v>0.68299999999999994</c:v>
                </c:pt>
                <c:pt idx="2">
                  <c:v>0.58499999999999996</c:v>
                </c:pt>
                <c:pt idx="3">
                  <c:v>0.61499999999999999</c:v>
                </c:pt>
                <c:pt idx="4">
                  <c:v>0.63300000000000001</c:v>
                </c:pt>
              </c:numCache>
            </c:numRef>
          </c:yVal>
          <c:smooth val="0"/>
          <c:extLst>
            <c:ext xmlns:c16="http://schemas.microsoft.com/office/drawing/2014/chart" uri="{C3380CC4-5D6E-409C-BE32-E72D297353CC}">
              <c16:uniqueId val="{00000003-E8CF-4852-8C5B-AB4732BB2BCF}"/>
            </c:ext>
          </c:extLst>
        </c:ser>
        <c:ser>
          <c:idx val="3"/>
          <c:order val="3"/>
          <c:tx>
            <c:strRef>
              <c:f>CIS_C3!$A$5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CIS_C3!$B$5:$F$5</c:f>
              <c:numCache>
                <c:formatCode>0.0%</c:formatCode>
                <c:ptCount val="5"/>
                <c:pt idx="0">
                  <c:v>0.504</c:v>
                </c:pt>
                <c:pt idx="1">
                  <c:v>0.50700000000000001</c:v>
                </c:pt>
                <c:pt idx="2">
                  <c:v>0.55300000000000005</c:v>
                </c:pt>
                <c:pt idx="3">
                  <c:v>0.49199999999999999</c:v>
                </c:pt>
                <c:pt idx="4">
                  <c:v>0.51200000000000001</c:v>
                </c:pt>
              </c:numCache>
            </c:numRef>
          </c:yVal>
          <c:smooth val="0"/>
          <c:extLst>
            <c:ext xmlns:c16="http://schemas.microsoft.com/office/drawing/2014/chart" uri="{C3380CC4-5D6E-409C-BE32-E72D297353CC}">
              <c16:uniqueId val="{00000004-E8CF-4852-8C5B-AB4732BB2BCF}"/>
            </c:ext>
          </c:extLst>
        </c:ser>
        <c:ser>
          <c:idx val="4"/>
          <c:order val="4"/>
          <c:tx>
            <c:strRef>
              <c:f>CIS_C3!$A$6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CIS_C3!$B$6:$F$6</c:f>
              <c:numCache>
                <c:formatCode>0.0%</c:formatCode>
                <c:ptCount val="5"/>
                <c:pt idx="0">
                  <c:v>0.65800000000000003</c:v>
                </c:pt>
                <c:pt idx="1">
                  <c:v>0.65500000000000003</c:v>
                </c:pt>
                <c:pt idx="2">
                  <c:v>0.64900000000000002</c:v>
                </c:pt>
                <c:pt idx="3">
                  <c:v>0.66500000000000004</c:v>
                </c:pt>
                <c:pt idx="4">
                  <c:v>0.63100000000000001</c:v>
                </c:pt>
              </c:numCache>
            </c:numRef>
          </c:yVal>
          <c:smooth val="0"/>
          <c:extLst>
            <c:ext xmlns:c16="http://schemas.microsoft.com/office/drawing/2014/chart" uri="{C3380CC4-5D6E-409C-BE32-E72D297353CC}">
              <c16:uniqueId val="{00000005-E8CF-4852-8C5B-AB4732BB2BCF}"/>
            </c:ext>
          </c:extLst>
        </c:ser>
        <c:ser>
          <c:idx val="5"/>
          <c:order val="5"/>
          <c:tx>
            <c:strRef>
              <c:f>CIS_C3!$A$7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CIS_C3!$B$7:$F$7</c:f>
              <c:numCache>
                <c:formatCode>0.0%</c:formatCode>
                <c:ptCount val="5"/>
                <c:pt idx="0">
                  <c:v>0.6070000000000001</c:v>
                </c:pt>
                <c:pt idx="1">
                  <c:v>0.59899999999999998</c:v>
                </c:pt>
                <c:pt idx="2">
                  <c:v>0.59499999999999997</c:v>
                </c:pt>
                <c:pt idx="3">
                  <c:v>0.61499999999999999</c:v>
                </c:pt>
                <c:pt idx="4">
                  <c:v>0.61899999999999999</c:v>
                </c:pt>
              </c:numCache>
            </c:numRef>
          </c:yVal>
          <c:smooth val="0"/>
          <c:extLst>
            <c:ext xmlns:c16="http://schemas.microsoft.com/office/drawing/2014/chart" uri="{C3380CC4-5D6E-409C-BE32-E72D297353CC}">
              <c16:uniqueId val="{00000006-E8CF-4852-8C5B-AB4732BB2BCF}"/>
            </c:ext>
          </c:extLst>
        </c:ser>
        <c:ser>
          <c:idx val="6"/>
          <c:order val="6"/>
          <c:tx>
            <c:strRef>
              <c:f>CIS_C3!$A$8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CIS_C3!$B$8:$F$8</c:f>
              <c:numCache>
                <c:formatCode>0.0%</c:formatCode>
                <c:ptCount val="5"/>
                <c:pt idx="0">
                  <c:v>0.60799999999999998</c:v>
                </c:pt>
                <c:pt idx="1">
                  <c:v>0.6</c:v>
                </c:pt>
                <c:pt idx="2">
                  <c:v>0.55600000000000005</c:v>
                </c:pt>
                <c:pt idx="3">
                  <c:v>0.61699999999999999</c:v>
                </c:pt>
                <c:pt idx="4">
                  <c:v>0.58099999999999996</c:v>
                </c:pt>
              </c:numCache>
            </c:numRef>
          </c:yVal>
          <c:smooth val="0"/>
          <c:extLst>
            <c:ext xmlns:c16="http://schemas.microsoft.com/office/drawing/2014/chart" uri="{C3380CC4-5D6E-409C-BE32-E72D297353CC}">
              <c16:uniqueId val="{00000007-E8CF-4852-8C5B-AB4732BB2BCF}"/>
            </c:ext>
          </c:extLst>
        </c:ser>
        <c:ser>
          <c:idx val="7"/>
          <c:order val="7"/>
          <c:tx>
            <c:strRef>
              <c:f>CIS_C3!$A$9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CIS_C3!$B$9:$F$9</c:f>
              <c:numCache>
                <c:formatCode>0.0%</c:formatCode>
                <c:ptCount val="5"/>
                <c:pt idx="0">
                  <c:v>0.53300000000000003</c:v>
                </c:pt>
                <c:pt idx="1">
                  <c:v>0.55100000000000005</c:v>
                </c:pt>
                <c:pt idx="2">
                  <c:v>0.55200000000000005</c:v>
                </c:pt>
                <c:pt idx="3">
                  <c:v>0.53500000000000003</c:v>
                </c:pt>
                <c:pt idx="4">
                  <c:v>0.56299999999999994</c:v>
                </c:pt>
              </c:numCache>
            </c:numRef>
          </c:yVal>
          <c:smooth val="0"/>
          <c:extLst>
            <c:ext xmlns:c16="http://schemas.microsoft.com/office/drawing/2014/chart" uri="{C3380CC4-5D6E-409C-BE32-E72D297353CC}">
              <c16:uniqueId val="{00000008-E8CF-4852-8C5B-AB4732BB2BCF}"/>
            </c:ext>
          </c:extLst>
        </c:ser>
        <c:ser>
          <c:idx val="8"/>
          <c:order val="8"/>
          <c:tx>
            <c:strRef>
              <c:f>CIS_C3!$A$10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CIS_C3!$B$10:$F$10</c:f>
              <c:numCache>
                <c:formatCode>0.0%</c:formatCode>
                <c:ptCount val="5"/>
                <c:pt idx="0">
                  <c:v>0.55600000000000005</c:v>
                </c:pt>
                <c:pt idx="1">
                  <c:v>0.57600000000000007</c:v>
                </c:pt>
                <c:pt idx="2">
                  <c:v>0.60199999999999998</c:v>
                </c:pt>
                <c:pt idx="3">
                  <c:v>0.60699999999999998</c:v>
                </c:pt>
                <c:pt idx="4">
                  <c:v>0.57799999999999996</c:v>
                </c:pt>
              </c:numCache>
            </c:numRef>
          </c:yVal>
          <c:smooth val="0"/>
          <c:extLst>
            <c:ext xmlns:c16="http://schemas.microsoft.com/office/drawing/2014/chart" uri="{C3380CC4-5D6E-409C-BE32-E72D297353CC}">
              <c16:uniqueId val="{00000009-E8CF-4852-8C5B-AB4732BB2BCF}"/>
            </c:ext>
          </c:extLst>
        </c:ser>
        <c:ser>
          <c:idx val="9"/>
          <c:order val="9"/>
          <c:tx>
            <c:strRef>
              <c:f>CIS_C3!$A$11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CIS_C3!$B$11:$F$11</c:f>
              <c:numCache>
                <c:formatCode>0.0%</c:formatCode>
                <c:ptCount val="5"/>
                <c:pt idx="0">
                  <c:v>0.67799999999999994</c:v>
                </c:pt>
                <c:pt idx="1">
                  <c:v>0.59399999999999997</c:v>
                </c:pt>
                <c:pt idx="2">
                  <c:v>0.626</c:v>
                </c:pt>
                <c:pt idx="3">
                  <c:v>0.61099999999999999</c:v>
                </c:pt>
                <c:pt idx="4">
                  <c:v>0.65600000000000003</c:v>
                </c:pt>
              </c:numCache>
            </c:numRef>
          </c:yVal>
          <c:smooth val="0"/>
          <c:extLst>
            <c:ext xmlns:c16="http://schemas.microsoft.com/office/drawing/2014/chart" uri="{C3380CC4-5D6E-409C-BE32-E72D297353CC}">
              <c16:uniqueId val="{0000000A-E8CF-4852-8C5B-AB4732BB2BCF}"/>
            </c:ext>
          </c:extLst>
        </c:ser>
        <c:ser>
          <c:idx val="10"/>
          <c:order val="10"/>
          <c:tx>
            <c:strRef>
              <c:f>CIS_C3!$A$12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CIS_C3!$B$12:$F$12</c:f>
              <c:numCache>
                <c:formatCode>0.0%</c:formatCode>
                <c:ptCount val="5"/>
                <c:pt idx="0">
                  <c:v>0.69200000000000006</c:v>
                </c:pt>
                <c:pt idx="1">
                  <c:v>0.67700000000000005</c:v>
                </c:pt>
                <c:pt idx="2">
                  <c:v>0.64100000000000001</c:v>
                </c:pt>
                <c:pt idx="3">
                  <c:v>0.64100000000000001</c:v>
                </c:pt>
                <c:pt idx="4">
                  <c:v>0.64400000000000002</c:v>
                </c:pt>
              </c:numCache>
            </c:numRef>
          </c:yVal>
          <c:smooth val="0"/>
          <c:extLst>
            <c:ext xmlns:c16="http://schemas.microsoft.com/office/drawing/2014/chart" uri="{C3380CC4-5D6E-409C-BE32-E72D297353CC}">
              <c16:uniqueId val="{0000000B-E8CF-4852-8C5B-AB4732BB2BCF}"/>
            </c:ext>
          </c:extLst>
        </c:ser>
        <c:ser>
          <c:idx val="11"/>
          <c:order val="11"/>
          <c:tx>
            <c:strRef>
              <c:f>CIS_C3!$A$13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CIS_C3!$B$13:$F$13</c:f>
              <c:numCache>
                <c:formatCode>0.0%</c:formatCode>
                <c:ptCount val="5"/>
                <c:pt idx="0">
                  <c:v>0.65599999999999992</c:v>
                </c:pt>
                <c:pt idx="1">
                  <c:v>0.63800000000000001</c:v>
                </c:pt>
                <c:pt idx="2">
                  <c:v>0.61299999999999999</c:v>
                </c:pt>
                <c:pt idx="3">
                  <c:v>0.629</c:v>
                </c:pt>
                <c:pt idx="4">
                  <c:v>0.63100000000000001</c:v>
                </c:pt>
              </c:numCache>
            </c:numRef>
          </c:yVal>
          <c:smooth val="0"/>
          <c:extLst>
            <c:ext xmlns:c16="http://schemas.microsoft.com/office/drawing/2014/chart" uri="{C3380CC4-5D6E-409C-BE32-E72D297353CC}">
              <c16:uniqueId val="{0000000C-E8CF-4852-8C5B-AB4732BB2BCF}"/>
            </c:ext>
          </c:extLst>
        </c:ser>
        <c:ser>
          <c:idx val="13"/>
          <c:order val="12"/>
          <c:tx>
            <c:strRef>
              <c:f>CIS_C3!$A$14</c:f>
              <c:strCache>
                <c:ptCount val="1"/>
                <c:pt idx="0">
                  <c:v>Statewide</c:v>
                </c:pt>
              </c:strCache>
            </c:strRef>
          </c:tx>
          <c:spPr>
            <a:ln w="28575" cap="rnd">
              <a:solidFill>
                <a:schemeClr val="accent1">
                  <a:lumMod val="75000"/>
                </a:schemeClr>
              </a:solidFill>
              <a:round/>
            </a:ln>
            <a:effectLst/>
          </c:spPr>
          <c:marker>
            <c:symbol val="none"/>
          </c:marker>
          <c:dPt>
            <c:idx val="0"/>
            <c:marker>
              <c:symbol val="none"/>
            </c:marker>
            <c:bubble3D val="0"/>
            <c:extLst>
              <c:ext xmlns:c16="http://schemas.microsoft.com/office/drawing/2014/chart" uri="{C3380CC4-5D6E-409C-BE32-E72D297353CC}">
                <c16:uniqueId val="{0000000D-E8CF-4852-8C5B-AB4732BB2BCF}"/>
              </c:ext>
            </c:extLst>
          </c:dPt>
          <c:xVal>
            <c:strRef>
              <c:f>CIS_C3!$B$1:$F$1</c:f>
              <c:strCache>
                <c:ptCount val="5"/>
                <c:pt idx="0">
                  <c:v>'21</c:v>
                </c:pt>
                <c:pt idx="1">
                  <c:v>'22</c:v>
                </c:pt>
                <c:pt idx="2">
                  <c:v>'23</c:v>
                </c:pt>
                <c:pt idx="3">
                  <c:v>'24</c:v>
                </c:pt>
                <c:pt idx="4">
                  <c:v>'25</c:v>
                </c:pt>
              </c:strCache>
            </c:strRef>
          </c:xVal>
          <c:yVal>
            <c:numRef>
              <c:f>CIS_C3!$B$14:$F$14</c:f>
              <c:numCache>
                <c:formatCode>0.0%</c:formatCode>
                <c:ptCount val="5"/>
                <c:pt idx="0">
                  <c:v>0.60799999999999998</c:v>
                </c:pt>
                <c:pt idx="1">
                  <c:v>0.60200000000000009</c:v>
                </c:pt>
                <c:pt idx="2">
                  <c:v>0.59</c:v>
                </c:pt>
                <c:pt idx="3">
                  <c:v>0.6</c:v>
                </c:pt>
                <c:pt idx="4">
                  <c:v>0.60099999999999998</c:v>
                </c:pt>
              </c:numCache>
            </c:numRef>
          </c:yVal>
          <c:smooth val="0"/>
          <c:extLst>
            <c:ext xmlns:c16="http://schemas.microsoft.com/office/drawing/2014/chart" uri="{C3380CC4-5D6E-409C-BE32-E72D297353CC}">
              <c16:uniqueId val="{0000000E-E8CF-4852-8C5B-AB4732BB2BCF}"/>
            </c:ext>
          </c:extLst>
        </c:ser>
        <c:ser>
          <c:idx val="14"/>
          <c:order val="13"/>
          <c:tx>
            <c:strRef>
              <c:f>CIS_C3!$A$15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CIS_C3!$B$15:$F$15</c:f>
              <c:numCache>
                <c:formatCode>0.0%</c:formatCode>
                <c:ptCount val="5"/>
                <c:pt idx="0">
                  <c:v>0.14300000000000002</c:v>
                </c:pt>
                <c:pt idx="1">
                  <c:v>0.443</c:v>
                </c:pt>
                <c:pt idx="2">
                  <c:v>0.442</c:v>
                </c:pt>
                <c:pt idx="3">
                  <c:v>0.434</c:v>
                </c:pt>
                <c:pt idx="4">
                  <c:v>0.48699999999999999</c:v>
                </c:pt>
              </c:numCache>
            </c:numRef>
          </c:yVal>
          <c:smooth val="0"/>
          <c:extLst>
            <c:ext xmlns:c16="http://schemas.microsoft.com/office/drawing/2014/chart" uri="{C3380CC4-5D6E-409C-BE32-E72D297353CC}">
              <c16:uniqueId val="{0000000F-E8CF-4852-8C5B-AB4732BB2BCF}"/>
            </c:ext>
          </c:extLst>
        </c:ser>
        <c:ser>
          <c:idx val="15"/>
          <c:order val="14"/>
          <c:tx>
            <c:strRef>
              <c:f>CIS_C3!$A$16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CIS_C3!$B$16:$F$16</c:f>
              <c:numCache>
                <c:formatCode>0.0%</c:formatCode>
                <c:ptCount val="5"/>
                <c:pt idx="0">
                  <c:v>0.51100000000000001</c:v>
                </c:pt>
                <c:pt idx="1">
                  <c:v>0.52900000000000003</c:v>
                </c:pt>
                <c:pt idx="2">
                  <c:v>0.47099999999999997</c:v>
                </c:pt>
                <c:pt idx="3">
                  <c:v>0.55400000000000005</c:v>
                </c:pt>
                <c:pt idx="4">
                  <c:v>0.56899999999999995</c:v>
                </c:pt>
              </c:numCache>
            </c:numRef>
          </c:yVal>
          <c:smooth val="0"/>
          <c:extLst>
            <c:ext xmlns:c16="http://schemas.microsoft.com/office/drawing/2014/chart" uri="{C3380CC4-5D6E-409C-BE32-E72D297353CC}">
              <c16:uniqueId val="{00000010-E8CF-4852-8C5B-AB4732BB2BCF}"/>
            </c:ext>
          </c:extLst>
        </c:ser>
        <c:ser>
          <c:idx val="16"/>
          <c:order val="15"/>
          <c:tx>
            <c:strRef>
              <c:f>CIS_C3!$A$17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CIS_C3!$B$1:$F$1</c:f>
              <c:strCache>
                <c:ptCount val="5"/>
                <c:pt idx="0">
                  <c:v>'21</c:v>
                </c:pt>
                <c:pt idx="1">
                  <c:v>'22</c:v>
                </c:pt>
                <c:pt idx="2">
                  <c:v>'23</c:v>
                </c:pt>
                <c:pt idx="3">
                  <c:v>'24</c:v>
                </c:pt>
                <c:pt idx="4">
                  <c:v>'25</c:v>
                </c:pt>
              </c:strCache>
            </c:strRef>
          </c:xVal>
          <c:yVal>
            <c:numRef>
              <c:f>CIS_C3!$B$17:$F$17</c:f>
              <c:numCache>
                <c:formatCode>0.0%</c:formatCode>
                <c:ptCount val="5"/>
                <c:pt idx="0">
                  <c:v>0.57799999999999996</c:v>
                </c:pt>
                <c:pt idx="1">
                  <c:v>0.59100000000000008</c:v>
                </c:pt>
                <c:pt idx="2">
                  <c:v>0.55400000000000005</c:v>
                </c:pt>
                <c:pt idx="3">
                  <c:v>0.51900000000000002</c:v>
                </c:pt>
                <c:pt idx="4">
                  <c:v>0.54</c:v>
                </c:pt>
              </c:numCache>
            </c:numRef>
          </c:yVal>
          <c:smooth val="0"/>
          <c:extLst>
            <c:ext xmlns:c16="http://schemas.microsoft.com/office/drawing/2014/chart" uri="{C3380CC4-5D6E-409C-BE32-E72D297353CC}">
              <c16:uniqueId val="{00000011-E8CF-4852-8C5B-AB4732BB2BCF}"/>
            </c:ext>
          </c:extLst>
        </c:ser>
        <c:ser>
          <c:idx val="17"/>
          <c:order val="17"/>
          <c:tx>
            <c:strRef>
              <c:f>CIS_C3!$A$20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CIS_C3!$B$1:$F$1</c:f>
              <c:strCache>
                <c:ptCount val="5"/>
                <c:pt idx="0">
                  <c:v>'21</c:v>
                </c:pt>
                <c:pt idx="1">
                  <c:v>'22</c:v>
                </c:pt>
                <c:pt idx="2">
                  <c:v>'23</c:v>
                </c:pt>
                <c:pt idx="3">
                  <c:v>'24</c:v>
                </c:pt>
                <c:pt idx="4">
                  <c:v>'25</c:v>
                </c:pt>
              </c:strCache>
            </c:strRef>
          </c:xVal>
          <c:yVal>
            <c:numRef>
              <c:f>CIS_C3!$B$20:$F$20</c:f>
              <c:numCache>
                <c:formatCode>0.0%</c:formatCode>
                <c:ptCount val="5"/>
                <c:pt idx="0">
                  <c:v>0.60799999999999998</c:v>
                </c:pt>
                <c:pt idx="1">
                  <c:v>0.60200000000000009</c:v>
                </c:pt>
                <c:pt idx="2">
                  <c:v>0.59</c:v>
                </c:pt>
                <c:pt idx="3">
                  <c:v>0.6</c:v>
                </c:pt>
                <c:pt idx="4">
                  <c:v>0.60099999999999998</c:v>
                </c:pt>
              </c:numCache>
            </c:numRef>
          </c:yVal>
          <c:smooth val="0"/>
          <c:extLst>
            <c:ext xmlns:c16="http://schemas.microsoft.com/office/drawing/2014/chart" uri="{C3380CC4-5D6E-409C-BE32-E72D297353CC}">
              <c16:uniqueId val="{00000012-E8CF-4852-8C5B-AB4732BB2BCF}"/>
            </c:ext>
          </c:extLst>
        </c:ser>
        <c:ser>
          <c:idx val="18"/>
          <c:order val="18"/>
          <c:tx>
            <c:strRef>
              <c:f>CIS_C3!$A$21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2113888888888888"/>
                  <c:y val="-5.5555555555555552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E8CF-4852-8C5B-AB4732BB2B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CIS_C3!$B$1:$F$1</c:f>
              <c:strCache>
                <c:ptCount val="5"/>
                <c:pt idx="0">
                  <c:v>'21</c:v>
                </c:pt>
                <c:pt idx="1">
                  <c:v>'22</c:v>
                </c:pt>
                <c:pt idx="2">
                  <c:v>'23</c:v>
                </c:pt>
                <c:pt idx="3">
                  <c:v>'24</c:v>
                </c:pt>
                <c:pt idx="4">
                  <c:v>'25</c:v>
                </c:pt>
              </c:strCache>
            </c:strRef>
          </c:xVal>
          <c:yVal>
            <c:numRef>
              <c:f>CIS_C3!$B$21:$F$21</c:f>
              <c:numCache>
                <c:formatCode>0.0%</c:formatCode>
                <c:ptCount val="5"/>
                <c:pt idx="1">
                  <c:v>0.71099999999999997</c:v>
                </c:pt>
                <c:pt idx="2">
                  <c:v>0.67900000000000005</c:v>
                </c:pt>
                <c:pt idx="3">
                  <c:v>0.67900000000000005</c:v>
                </c:pt>
                <c:pt idx="4">
                  <c:v>0.69</c:v>
                </c:pt>
              </c:numCache>
            </c:numRef>
          </c:yVal>
          <c:smooth val="0"/>
          <c:extLst>
            <c:ext xmlns:c16="http://schemas.microsoft.com/office/drawing/2014/chart" uri="{C3380CC4-5D6E-409C-BE32-E72D297353CC}">
              <c16:uniqueId val="{00000014-E8CF-4852-8C5B-AB4732BB2BCF}"/>
            </c:ext>
          </c:extLst>
        </c:ser>
        <c:ser>
          <c:idx val="19"/>
          <c:order val="19"/>
          <c:tx>
            <c:strRef>
              <c:f>CIS_C3!$A$19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CIS_C3!$B$1:$G$1</c:f>
              <c:strCache>
                <c:ptCount val="5"/>
                <c:pt idx="0">
                  <c:v>'21</c:v>
                </c:pt>
                <c:pt idx="1">
                  <c:v>'22</c:v>
                </c:pt>
                <c:pt idx="2">
                  <c:v>'23</c:v>
                </c:pt>
                <c:pt idx="3">
                  <c:v>'24</c:v>
                </c:pt>
                <c:pt idx="4">
                  <c:v>'25</c:v>
                </c:pt>
              </c:strCache>
            </c:strRef>
          </c:xVal>
          <c:yVal>
            <c:numRef>
              <c:f>CIS_C3!$B$19:$G$19</c:f>
              <c:numCache>
                <c:formatCode>0.0%</c:formatCode>
                <c:ptCount val="6"/>
                <c:pt idx="0">
                  <c:v>0.63200000000000001</c:v>
                </c:pt>
                <c:pt idx="1">
                  <c:v>0.61299999999999999</c:v>
                </c:pt>
                <c:pt idx="2">
                  <c:v>0.64700000000000002</c:v>
                </c:pt>
                <c:pt idx="3">
                  <c:v>0.624</c:v>
                </c:pt>
                <c:pt idx="4">
                  <c:v>0.63300000000000001</c:v>
                </c:pt>
                <c:pt idx="5">
                  <c:v>1.4423076923076936E-2</c:v>
                </c:pt>
              </c:numCache>
            </c:numRef>
          </c:yVal>
          <c:smooth val="0"/>
          <c:extLst>
            <c:ext xmlns:c16="http://schemas.microsoft.com/office/drawing/2014/chart" uri="{C3380CC4-5D6E-409C-BE32-E72D297353CC}">
              <c16:uniqueId val="{00000015-E8CF-4852-8C5B-AB4732BB2BCF}"/>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6628125082849496"/>
        </c:manualLayout>
      </c:layout>
      <c:lineChart>
        <c:grouping val="standard"/>
        <c:varyColors val="0"/>
        <c:ser>
          <c:idx val="12"/>
          <c:order val="16"/>
          <c:tx>
            <c:strRef>
              <c:f>IMA_C2!$A$18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IMA_C2!$B$1:$J$1</c:f>
              <c:strCache>
                <c:ptCount val="9"/>
                <c:pt idx="0">
                  <c:v>'17</c:v>
                </c:pt>
                <c:pt idx="1">
                  <c:v>'18</c:v>
                </c:pt>
                <c:pt idx="2">
                  <c:v>'19</c:v>
                </c:pt>
                <c:pt idx="3">
                  <c:v>'20</c:v>
                </c:pt>
                <c:pt idx="4">
                  <c:v>'21</c:v>
                </c:pt>
                <c:pt idx="5">
                  <c:v>'22</c:v>
                </c:pt>
                <c:pt idx="6">
                  <c:v>'23</c:v>
                </c:pt>
                <c:pt idx="7">
                  <c:v>'24</c:v>
                </c:pt>
                <c:pt idx="8">
                  <c:v>'25</c:v>
                </c:pt>
              </c:strCache>
            </c:strRef>
          </c:cat>
          <c:val>
            <c:numRef>
              <c:f>IMA_C2!$B$18:$J$18</c:f>
              <c:numCache>
                <c:formatCode>0.0%</c:formatCode>
                <c:ptCount val="9"/>
                <c:pt idx="0">
                  <c:v>0.37</c:v>
                </c:pt>
                <c:pt idx="1">
                  <c:v>0.34799999999999998</c:v>
                </c:pt>
                <c:pt idx="2">
                  <c:v>0.38</c:v>
                </c:pt>
                <c:pt idx="3">
                  <c:v>0.43</c:v>
                </c:pt>
                <c:pt idx="4">
                  <c:v>0.35700000000000004</c:v>
                </c:pt>
                <c:pt idx="5">
                  <c:v>0.32500000000000001</c:v>
                </c:pt>
                <c:pt idx="6">
                  <c:v>0.371</c:v>
                </c:pt>
                <c:pt idx="7">
                  <c:v>0.39800000000000002</c:v>
                </c:pt>
                <c:pt idx="8">
                  <c:v>0.41199999999999998</c:v>
                </c:pt>
              </c:numCache>
            </c:numRef>
          </c:val>
          <c:smooth val="0"/>
          <c:extLst>
            <c:ext xmlns:c16="http://schemas.microsoft.com/office/drawing/2014/chart" uri="{C3380CC4-5D6E-409C-BE32-E72D297353CC}">
              <c16:uniqueId val="{00000000-994A-4C1A-B6D9-C75EE74C059A}"/>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IMA_C2!$A$2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IMA_C2!$B$2:$J$2</c:f>
              <c:numCache>
                <c:formatCode>0.0%</c:formatCode>
                <c:ptCount val="9"/>
                <c:pt idx="0">
                  <c:v>0.16899999999999998</c:v>
                </c:pt>
                <c:pt idx="1">
                  <c:v>0.23899999999999999</c:v>
                </c:pt>
                <c:pt idx="2">
                  <c:v>0.33299999999999996</c:v>
                </c:pt>
                <c:pt idx="3">
                  <c:v>0.36299999999999999</c:v>
                </c:pt>
                <c:pt idx="4">
                  <c:v>0.25600000000000001</c:v>
                </c:pt>
                <c:pt idx="5">
                  <c:v>0.23399999999999999</c:v>
                </c:pt>
                <c:pt idx="6">
                  <c:v>0.27300000000000002</c:v>
                </c:pt>
                <c:pt idx="7">
                  <c:v>0.27800000000000002</c:v>
                </c:pt>
                <c:pt idx="8">
                  <c:v>0.29899999999999999</c:v>
                </c:pt>
              </c:numCache>
            </c:numRef>
          </c:yVal>
          <c:smooth val="0"/>
          <c:extLst>
            <c:ext xmlns:c16="http://schemas.microsoft.com/office/drawing/2014/chart" uri="{C3380CC4-5D6E-409C-BE32-E72D297353CC}">
              <c16:uniqueId val="{00000001-994A-4C1A-B6D9-C75EE74C059A}"/>
            </c:ext>
          </c:extLst>
        </c:ser>
        <c:ser>
          <c:idx val="1"/>
          <c:order val="1"/>
          <c:tx>
            <c:strRef>
              <c:f>IMA_C2!$A$3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IMA_C2!$B$3:$J$3</c:f>
              <c:numCache>
                <c:formatCode>0.0%</c:formatCode>
                <c:ptCount val="9"/>
                <c:pt idx="0">
                  <c:v>0.16899999999999998</c:v>
                </c:pt>
                <c:pt idx="1">
                  <c:v>0.20699999999999999</c:v>
                </c:pt>
                <c:pt idx="2">
                  <c:v>0.222</c:v>
                </c:pt>
                <c:pt idx="3">
                  <c:v>0.19800000000000001</c:v>
                </c:pt>
                <c:pt idx="4">
                  <c:v>0.17600000000000002</c:v>
                </c:pt>
                <c:pt idx="5">
                  <c:v>0.14199999999999999</c:v>
                </c:pt>
                <c:pt idx="6">
                  <c:v>0.16</c:v>
                </c:pt>
                <c:pt idx="7">
                  <c:v>0.16699999999999998</c:v>
                </c:pt>
                <c:pt idx="8">
                  <c:v>0.155</c:v>
                </c:pt>
              </c:numCache>
            </c:numRef>
          </c:yVal>
          <c:smooth val="0"/>
          <c:extLst>
            <c:ext xmlns:c16="http://schemas.microsoft.com/office/drawing/2014/chart" uri="{C3380CC4-5D6E-409C-BE32-E72D297353CC}">
              <c16:uniqueId val="{00000002-994A-4C1A-B6D9-C75EE74C059A}"/>
            </c:ext>
          </c:extLst>
        </c:ser>
        <c:ser>
          <c:idx val="2"/>
          <c:order val="2"/>
          <c:tx>
            <c:strRef>
              <c:f>IMA_C2!$A$4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IMA_C2!$B$4:$J$4</c:f>
              <c:numCache>
                <c:formatCode>0.0%</c:formatCode>
                <c:ptCount val="9"/>
                <c:pt idx="0">
                  <c:v>0.34799999999999998</c:v>
                </c:pt>
                <c:pt idx="1">
                  <c:v>0.438</c:v>
                </c:pt>
                <c:pt idx="2">
                  <c:v>0.47000000000000003</c:v>
                </c:pt>
                <c:pt idx="3">
                  <c:v>0.499</c:v>
                </c:pt>
                <c:pt idx="4">
                  <c:v>0.40600000000000003</c:v>
                </c:pt>
                <c:pt idx="5">
                  <c:v>0.38600000000000001</c:v>
                </c:pt>
                <c:pt idx="6">
                  <c:v>0.36799999999999999</c:v>
                </c:pt>
                <c:pt idx="7">
                  <c:v>0.39600000000000002</c:v>
                </c:pt>
                <c:pt idx="8">
                  <c:v>0.40899999999999997</c:v>
                </c:pt>
              </c:numCache>
            </c:numRef>
          </c:yVal>
          <c:smooth val="0"/>
          <c:extLst>
            <c:ext xmlns:c16="http://schemas.microsoft.com/office/drawing/2014/chart" uri="{C3380CC4-5D6E-409C-BE32-E72D297353CC}">
              <c16:uniqueId val="{00000003-994A-4C1A-B6D9-C75EE74C059A}"/>
            </c:ext>
          </c:extLst>
        </c:ser>
        <c:ser>
          <c:idx val="3"/>
          <c:order val="3"/>
          <c:tx>
            <c:strRef>
              <c:f>IMA_C2!$A$5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IMA_C2!$B$5:$J$5</c:f>
              <c:numCache>
                <c:formatCode>0.0%</c:formatCode>
                <c:ptCount val="9"/>
                <c:pt idx="0">
                  <c:v>0.24300000000000002</c:v>
                </c:pt>
                <c:pt idx="1">
                  <c:v>0.25900000000000001</c:v>
                </c:pt>
                <c:pt idx="2">
                  <c:v>0.32</c:v>
                </c:pt>
                <c:pt idx="3">
                  <c:v>0.34399999999999997</c:v>
                </c:pt>
                <c:pt idx="4">
                  <c:v>0.29100000000000004</c:v>
                </c:pt>
                <c:pt idx="5">
                  <c:v>0.252</c:v>
                </c:pt>
                <c:pt idx="6">
                  <c:v>0.28899999999999998</c:v>
                </c:pt>
                <c:pt idx="7">
                  <c:v>0.22699999999999998</c:v>
                </c:pt>
                <c:pt idx="8">
                  <c:v>0.27900000000000003</c:v>
                </c:pt>
              </c:numCache>
            </c:numRef>
          </c:yVal>
          <c:smooth val="0"/>
          <c:extLst>
            <c:ext xmlns:c16="http://schemas.microsoft.com/office/drawing/2014/chart" uri="{C3380CC4-5D6E-409C-BE32-E72D297353CC}">
              <c16:uniqueId val="{00000004-994A-4C1A-B6D9-C75EE74C059A}"/>
            </c:ext>
          </c:extLst>
        </c:ser>
        <c:ser>
          <c:idx val="4"/>
          <c:order val="4"/>
          <c:tx>
            <c:strRef>
              <c:f>IMA_C2!$A$6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IMA_C2!$B$6:$J$6</c:f>
              <c:numCache>
                <c:formatCode>0.0%</c:formatCode>
                <c:ptCount val="9"/>
                <c:pt idx="0">
                  <c:v>0.317</c:v>
                </c:pt>
                <c:pt idx="1">
                  <c:v>0.33899999999999997</c:v>
                </c:pt>
                <c:pt idx="2">
                  <c:v>0.36</c:v>
                </c:pt>
                <c:pt idx="3">
                  <c:v>0.35200000000000004</c:v>
                </c:pt>
                <c:pt idx="4">
                  <c:v>0.39700000000000002</c:v>
                </c:pt>
                <c:pt idx="5">
                  <c:v>0.36499999999999999</c:v>
                </c:pt>
                <c:pt idx="6">
                  <c:v>0.36499999999999999</c:v>
                </c:pt>
                <c:pt idx="7">
                  <c:v>0.373</c:v>
                </c:pt>
                <c:pt idx="8">
                  <c:v>0.38800000000000001</c:v>
                </c:pt>
              </c:numCache>
            </c:numRef>
          </c:yVal>
          <c:smooth val="0"/>
          <c:extLst>
            <c:ext xmlns:c16="http://schemas.microsoft.com/office/drawing/2014/chart" uri="{C3380CC4-5D6E-409C-BE32-E72D297353CC}">
              <c16:uniqueId val="{00000005-994A-4C1A-B6D9-C75EE74C059A}"/>
            </c:ext>
          </c:extLst>
        </c:ser>
        <c:ser>
          <c:idx val="5"/>
          <c:order val="5"/>
          <c:tx>
            <c:strRef>
              <c:f>IMA_C2!$A$7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IMA_C2!$B$7:$J$7</c:f>
              <c:numCache>
                <c:formatCode>0.0%</c:formatCode>
                <c:ptCount val="9"/>
                <c:pt idx="0">
                  <c:v>0.40899999999999997</c:v>
                </c:pt>
                <c:pt idx="1">
                  <c:v>0.42700000000000005</c:v>
                </c:pt>
                <c:pt idx="2">
                  <c:v>0.435</c:v>
                </c:pt>
                <c:pt idx="3">
                  <c:v>0.41899999999999998</c:v>
                </c:pt>
                <c:pt idx="4">
                  <c:v>0.36799999999999999</c:v>
                </c:pt>
                <c:pt idx="5">
                  <c:v>0.36100000000000004</c:v>
                </c:pt>
                <c:pt idx="6">
                  <c:v>0.38400000000000001</c:v>
                </c:pt>
                <c:pt idx="7">
                  <c:v>0.39200000000000002</c:v>
                </c:pt>
                <c:pt idx="8">
                  <c:v>0.42299999999999999</c:v>
                </c:pt>
              </c:numCache>
            </c:numRef>
          </c:yVal>
          <c:smooth val="0"/>
          <c:extLst>
            <c:ext xmlns:c16="http://schemas.microsoft.com/office/drawing/2014/chart" uri="{C3380CC4-5D6E-409C-BE32-E72D297353CC}">
              <c16:uniqueId val="{00000006-994A-4C1A-B6D9-C75EE74C059A}"/>
            </c:ext>
          </c:extLst>
        </c:ser>
        <c:ser>
          <c:idx val="6"/>
          <c:order val="6"/>
          <c:tx>
            <c:strRef>
              <c:f>IMA_C2!$A$8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IMA_C2!$B$8:$J$8</c:f>
              <c:numCache>
                <c:formatCode>0.0%</c:formatCode>
                <c:ptCount val="9"/>
                <c:pt idx="0">
                  <c:v>0.22100000000000003</c:v>
                </c:pt>
                <c:pt idx="1">
                  <c:v>0.214</c:v>
                </c:pt>
                <c:pt idx="2">
                  <c:v>0.24300000000000002</c:v>
                </c:pt>
                <c:pt idx="3">
                  <c:v>0.26100000000000001</c:v>
                </c:pt>
                <c:pt idx="4">
                  <c:v>0.23399999999999999</c:v>
                </c:pt>
                <c:pt idx="5">
                  <c:v>0.24100000000000002</c:v>
                </c:pt>
                <c:pt idx="6">
                  <c:v>0.224</c:v>
                </c:pt>
                <c:pt idx="7">
                  <c:v>0.23100000000000001</c:v>
                </c:pt>
                <c:pt idx="8">
                  <c:v>0.26600000000000001</c:v>
                </c:pt>
              </c:numCache>
            </c:numRef>
          </c:yVal>
          <c:smooth val="0"/>
          <c:extLst>
            <c:ext xmlns:c16="http://schemas.microsoft.com/office/drawing/2014/chart" uri="{C3380CC4-5D6E-409C-BE32-E72D297353CC}">
              <c16:uniqueId val="{00000007-994A-4C1A-B6D9-C75EE74C059A}"/>
            </c:ext>
          </c:extLst>
        </c:ser>
        <c:ser>
          <c:idx val="7"/>
          <c:order val="7"/>
          <c:tx>
            <c:strRef>
              <c:f>IMA_C2!$A$9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IMA_C2!$B$9:$J$9</c:f>
              <c:numCache>
                <c:formatCode>0.0%</c:formatCode>
                <c:ptCount val="9"/>
                <c:pt idx="0">
                  <c:v>0.249</c:v>
                </c:pt>
                <c:pt idx="1">
                  <c:v>0.24600000000000002</c:v>
                </c:pt>
                <c:pt idx="2">
                  <c:v>0.24399999999999999</c:v>
                </c:pt>
                <c:pt idx="3">
                  <c:v>0.25900000000000001</c:v>
                </c:pt>
                <c:pt idx="4">
                  <c:v>0.25</c:v>
                </c:pt>
                <c:pt idx="5">
                  <c:v>0.23399999999999999</c:v>
                </c:pt>
                <c:pt idx="6">
                  <c:v>0.26400000000000001</c:v>
                </c:pt>
                <c:pt idx="7">
                  <c:v>0.29399999999999998</c:v>
                </c:pt>
                <c:pt idx="8">
                  <c:v>0.29899999999999999</c:v>
                </c:pt>
              </c:numCache>
            </c:numRef>
          </c:yVal>
          <c:smooth val="0"/>
          <c:extLst>
            <c:ext xmlns:c16="http://schemas.microsoft.com/office/drawing/2014/chart" uri="{C3380CC4-5D6E-409C-BE32-E72D297353CC}">
              <c16:uniqueId val="{00000008-994A-4C1A-B6D9-C75EE74C059A}"/>
            </c:ext>
          </c:extLst>
        </c:ser>
        <c:ser>
          <c:idx val="8"/>
          <c:order val="8"/>
          <c:tx>
            <c:strRef>
              <c:f>IMA_C2!$A$10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IMA_C2!$B$10:$J$10</c:f>
              <c:numCache>
                <c:formatCode>0.0%</c:formatCode>
                <c:ptCount val="9"/>
                <c:pt idx="0">
                  <c:v>0.314</c:v>
                </c:pt>
                <c:pt idx="1">
                  <c:v>0.32200000000000001</c:v>
                </c:pt>
                <c:pt idx="2">
                  <c:v>0.36799999999999999</c:v>
                </c:pt>
                <c:pt idx="3">
                  <c:v>0.32299999999999995</c:v>
                </c:pt>
                <c:pt idx="4">
                  <c:v>0.35100000000000003</c:v>
                </c:pt>
                <c:pt idx="5">
                  <c:v>0.314</c:v>
                </c:pt>
                <c:pt idx="6">
                  <c:v>0.34499999999999997</c:v>
                </c:pt>
                <c:pt idx="7">
                  <c:v>0.36700000000000005</c:v>
                </c:pt>
                <c:pt idx="8">
                  <c:v>0.38100000000000001</c:v>
                </c:pt>
              </c:numCache>
            </c:numRef>
          </c:yVal>
          <c:smooth val="0"/>
          <c:extLst>
            <c:ext xmlns:c16="http://schemas.microsoft.com/office/drawing/2014/chart" uri="{C3380CC4-5D6E-409C-BE32-E72D297353CC}">
              <c16:uniqueId val="{00000009-994A-4C1A-B6D9-C75EE74C059A}"/>
            </c:ext>
          </c:extLst>
        </c:ser>
        <c:ser>
          <c:idx val="9"/>
          <c:order val="9"/>
          <c:tx>
            <c:strRef>
              <c:f>IMA_C2!$A$11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IMA_C2!$B$11:$J$11</c:f>
              <c:numCache>
                <c:formatCode>0.0%</c:formatCode>
                <c:ptCount val="9"/>
                <c:pt idx="0">
                  <c:v>0.32600000000000001</c:v>
                </c:pt>
                <c:pt idx="1">
                  <c:v>0.34299999999999997</c:v>
                </c:pt>
                <c:pt idx="2">
                  <c:v>0.40100000000000002</c:v>
                </c:pt>
                <c:pt idx="3">
                  <c:v>0.42600000000000005</c:v>
                </c:pt>
                <c:pt idx="4">
                  <c:v>0.41100000000000003</c:v>
                </c:pt>
                <c:pt idx="5">
                  <c:v>0.40899999999999997</c:v>
                </c:pt>
                <c:pt idx="6">
                  <c:v>0.42099999999999999</c:v>
                </c:pt>
                <c:pt idx="7">
                  <c:v>0.495</c:v>
                </c:pt>
                <c:pt idx="8">
                  <c:v>0.47</c:v>
                </c:pt>
              </c:numCache>
            </c:numRef>
          </c:yVal>
          <c:smooth val="0"/>
          <c:extLst>
            <c:ext xmlns:c16="http://schemas.microsoft.com/office/drawing/2014/chart" uri="{C3380CC4-5D6E-409C-BE32-E72D297353CC}">
              <c16:uniqueId val="{0000000A-994A-4C1A-B6D9-C75EE74C059A}"/>
            </c:ext>
          </c:extLst>
        </c:ser>
        <c:ser>
          <c:idx val="10"/>
          <c:order val="10"/>
          <c:tx>
            <c:strRef>
              <c:f>IMA_C2!$A$12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IMA_C2!$B$12:$J$12</c:f>
              <c:numCache>
                <c:formatCode>General</c:formatCode>
                <c:ptCount val="9"/>
                <c:pt idx="3" formatCode="0.0%">
                  <c:v>0.35499999999999998</c:v>
                </c:pt>
                <c:pt idx="4" formatCode="0.0%">
                  <c:v>0.36200000000000004</c:v>
                </c:pt>
                <c:pt idx="5" formatCode="0.0%">
                  <c:v>0.32400000000000001</c:v>
                </c:pt>
                <c:pt idx="6" formatCode="0.0%">
                  <c:v>0.29399999999999998</c:v>
                </c:pt>
                <c:pt idx="7" formatCode="0.0%">
                  <c:v>0.27900000000000003</c:v>
                </c:pt>
                <c:pt idx="8" formatCode="0.0%">
                  <c:v>0.30499999999999999</c:v>
                </c:pt>
              </c:numCache>
            </c:numRef>
          </c:yVal>
          <c:smooth val="0"/>
          <c:extLst>
            <c:ext xmlns:c16="http://schemas.microsoft.com/office/drawing/2014/chart" uri="{C3380CC4-5D6E-409C-BE32-E72D297353CC}">
              <c16:uniqueId val="{0000000B-994A-4C1A-B6D9-C75EE74C059A}"/>
            </c:ext>
          </c:extLst>
        </c:ser>
        <c:ser>
          <c:idx val="11"/>
          <c:order val="11"/>
          <c:tx>
            <c:strRef>
              <c:f>IMA_C2!$A$13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IMA_C2!$B$13:$J$13</c:f>
              <c:numCache>
                <c:formatCode>General</c:formatCode>
                <c:ptCount val="9"/>
                <c:pt idx="3" formatCode="0.0%">
                  <c:v>0.36499999999999999</c:v>
                </c:pt>
                <c:pt idx="4" formatCode="0.0%">
                  <c:v>0.34100000000000003</c:v>
                </c:pt>
                <c:pt idx="5" formatCode="0.0%">
                  <c:v>0.34399999999999997</c:v>
                </c:pt>
                <c:pt idx="6" formatCode="0.0%">
                  <c:v>0.32900000000000001</c:v>
                </c:pt>
                <c:pt idx="7" formatCode="0.0%">
                  <c:v>0.371</c:v>
                </c:pt>
                <c:pt idx="8" formatCode="0.0%">
                  <c:v>0.40799999999999997</c:v>
                </c:pt>
              </c:numCache>
            </c:numRef>
          </c:yVal>
          <c:smooth val="0"/>
          <c:extLst>
            <c:ext xmlns:c16="http://schemas.microsoft.com/office/drawing/2014/chart" uri="{C3380CC4-5D6E-409C-BE32-E72D297353CC}">
              <c16:uniqueId val="{0000000C-994A-4C1A-B6D9-C75EE74C059A}"/>
            </c:ext>
          </c:extLst>
        </c:ser>
        <c:ser>
          <c:idx val="13"/>
          <c:order val="12"/>
          <c:tx>
            <c:strRef>
              <c:f>IMA_C2!$A$14</c:f>
              <c:strCache>
                <c:ptCount val="1"/>
                <c:pt idx="0">
                  <c:v>Statewide</c:v>
                </c:pt>
              </c:strCache>
            </c:strRef>
          </c:tx>
          <c:spPr>
            <a:ln w="25400" cap="rnd">
              <a:solidFill>
                <a:schemeClr val="accent1">
                  <a:lumMod val="75000"/>
                </a:schemeClr>
              </a:solidFill>
              <a:round/>
            </a:ln>
            <a:effectLst/>
          </c:spPr>
          <c:marker>
            <c:symbol val="none"/>
          </c:marker>
          <c:dPt>
            <c:idx val="4"/>
            <c:marker>
              <c:symbol val="none"/>
            </c:marker>
            <c:bubble3D val="0"/>
            <c:extLst>
              <c:ext xmlns:c16="http://schemas.microsoft.com/office/drawing/2014/chart" uri="{C3380CC4-5D6E-409C-BE32-E72D297353CC}">
                <c16:uniqueId val="{0000000D-994A-4C1A-B6D9-C75EE74C059A}"/>
              </c:ext>
            </c:extLst>
          </c:dPt>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IMA_C2!$B$14:$J$14</c:f>
              <c:numCache>
                <c:formatCode>0.0%</c:formatCode>
                <c:ptCount val="9"/>
                <c:pt idx="0">
                  <c:v>0.313</c:v>
                </c:pt>
                <c:pt idx="1">
                  <c:v>0.33299999999999996</c:v>
                </c:pt>
                <c:pt idx="2">
                  <c:v>0.36</c:v>
                </c:pt>
                <c:pt idx="3">
                  <c:v>0.36299999999999999</c:v>
                </c:pt>
                <c:pt idx="4">
                  <c:v>0.33500000000000002</c:v>
                </c:pt>
                <c:pt idx="5">
                  <c:v>0.318</c:v>
                </c:pt>
                <c:pt idx="6">
                  <c:v>0.32700000000000001</c:v>
                </c:pt>
                <c:pt idx="7">
                  <c:v>0.33900000000000008</c:v>
                </c:pt>
                <c:pt idx="8">
                  <c:v>0.36299999999999999</c:v>
                </c:pt>
              </c:numCache>
            </c:numRef>
          </c:yVal>
          <c:smooth val="0"/>
          <c:extLst>
            <c:ext xmlns:c16="http://schemas.microsoft.com/office/drawing/2014/chart" uri="{C3380CC4-5D6E-409C-BE32-E72D297353CC}">
              <c16:uniqueId val="{0000000E-994A-4C1A-B6D9-C75EE74C059A}"/>
            </c:ext>
          </c:extLst>
        </c:ser>
        <c:ser>
          <c:idx val="14"/>
          <c:order val="13"/>
          <c:tx>
            <c:strRef>
              <c:f>IMA_C2!$A$15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IMA_C2!$B$15:$J$15</c:f>
              <c:numCache>
                <c:formatCode>General</c:formatCode>
                <c:ptCount val="9"/>
                <c:pt idx="4" formatCode="0.0%">
                  <c:v>0.16700000000000001</c:v>
                </c:pt>
                <c:pt idx="5" formatCode="0.0%">
                  <c:v>0.17</c:v>
                </c:pt>
                <c:pt idx="6" formatCode="0.0%">
                  <c:v>0.16500000000000001</c:v>
                </c:pt>
                <c:pt idx="7" formatCode="0.0%">
                  <c:v>0.17899999999999999</c:v>
                </c:pt>
                <c:pt idx="8" formatCode="0.0%">
                  <c:v>0.23100000000000001</c:v>
                </c:pt>
              </c:numCache>
            </c:numRef>
          </c:yVal>
          <c:smooth val="0"/>
          <c:extLst>
            <c:ext xmlns:c16="http://schemas.microsoft.com/office/drawing/2014/chart" uri="{C3380CC4-5D6E-409C-BE32-E72D297353CC}">
              <c16:uniqueId val="{0000000F-994A-4C1A-B6D9-C75EE74C059A}"/>
            </c:ext>
          </c:extLst>
        </c:ser>
        <c:ser>
          <c:idx val="15"/>
          <c:order val="14"/>
          <c:tx>
            <c:strRef>
              <c:f>IMA_C2!$A$16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IMA_C2!$B$16:$J$16</c:f>
              <c:numCache>
                <c:formatCode>0.0%</c:formatCode>
                <c:ptCount val="9"/>
                <c:pt idx="0">
                  <c:v>0.245</c:v>
                </c:pt>
                <c:pt idx="1">
                  <c:v>0.32200000000000001</c:v>
                </c:pt>
                <c:pt idx="2">
                  <c:v>0.34200000000000003</c:v>
                </c:pt>
                <c:pt idx="3">
                  <c:v>0.219</c:v>
                </c:pt>
                <c:pt idx="4">
                  <c:v>0.26</c:v>
                </c:pt>
                <c:pt idx="5">
                  <c:v>0.24300000000000002</c:v>
                </c:pt>
                <c:pt idx="6">
                  <c:v>0.222</c:v>
                </c:pt>
                <c:pt idx="7">
                  <c:v>0.26</c:v>
                </c:pt>
                <c:pt idx="8">
                  <c:v>0.25800000000000001</c:v>
                </c:pt>
              </c:numCache>
            </c:numRef>
          </c:yVal>
          <c:smooth val="0"/>
          <c:extLst>
            <c:ext xmlns:c16="http://schemas.microsoft.com/office/drawing/2014/chart" uri="{C3380CC4-5D6E-409C-BE32-E72D297353CC}">
              <c16:uniqueId val="{00000010-994A-4C1A-B6D9-C75EE74C059A}"/>
            </c:ext>
          </c:extLst>
        </c:ser>
        <c:ser>
          <c:idx val="16"/>
          <c:order val="15"/>
          <c:tx>
            <c:strRef>
              <c:f>IMA_C2!$A$17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IMA_C2!$B$17:$J$17</c:f>
              <c:numCache>
                <c:formatCode>0.0%</c:formatCode>
                <c:ptCount val="9"/>
                <c:pt idx="0">
                  <c:v>0.154</c:v>
                </c:pt>
                <c:pt idx="1">
                  <c:v>0.23500000000000001</c:v>
                </c:pt>
                <c:pt idx="2">
                  <c:v>0.26500000000000001</c:v>
                </c:pt>
                <c:pt idx="3">
                  <c:v>0.27100000000000002</c:v>
                </c:pt>
                <c:pt idx="4">
                  <c:v>0.28399999999999997</c:v>
                </c:pt>
                <c:pt idx="5">
                  <c:v>0.20600000000000002</c:v>
                </c:pt>
                <c:pt idx="6">
                  <c:v>0.26</c:v>
                </c:pt>
                <c:pt idx="7">
                  <c:v>0.25900000000000001</c:v>
                </c:pt>
                <c:pt idx="8">
                  <c:v>0.30599999999999999</c:v>
                </c:pt>
              </c:numCache>
            </c:numRef>
          </c:yVal>
          <c:smooth val="0"/>
          <c:extLst>
            <c:ext xmlns:c16="http://schemas.microsoft.com/office/drawing/2014/chart" uri="{C3380CC4-5D6E-409C-BE32-E72D297353CC}">
              <c16:uniqueId val="{00000011-994A-4C1A-B6D9-C75EE74C059A}"/>
            </c:ext>
          </c:extLst>
        </c:ser>
        <c:ser>
          <c:idx val="17"/>
          <c:order val="17"/>
          <c:tx>
            <c:strRef>
              <c:f>IMA_C2!$A$20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IMA_C2!$B$20:$J$20</c:f>
              <c:numCache>
                <c:formatCode>0.0%</c:formatCode>
                <c:ptCount val="9"/>
                <c:pt idx="0">
                  <c:v>0.313</c:v>
                </c:pt>
                <c:pt idx="1">
                  <c:v>0.33299999999999996</c:v>
                </c:pt>
                <c:pt idx="2">
                  <c:v>0.36</c:v>
                </c:pt>
                <c:pt idx="3">
                  <c:v>0.36299999999999999</c:v>
                </c:pt>
                <c:pt idx="4">
                  <c:v>0.33500000000000002</c:v>
                </c:pt>
                <c:pt idx="5">
                  <c:v>0.318</c:v>
                </c:pt>
                <c:pt idx="6">
                  <c:v>0.32700000000000001</c:v>
                </c:pt>
                <c:pt idx="7">
                  <c:v>0.33900000000000008</c:v>
                </c:pt>
                <c:pt idx="8">
                  <c:v>0.36299999999999999</c:v>
                </c:pt>
              </c:numCache>
            </c:numRef>
          </c:yVal>
          <c:smooth val="0"/>
          <c:extLst>
            <c:ext xmlns:c16="http://schemas.microsoft.com/office/drawing/2014/chart" uri="{C3380CC4-5D6E-409C-BE32-E72D297353CC}">
              <c16:uniqueId val="{00000012-994A-4C1A-B6D9-C75EE74C059A}"/>
            </c:ext>
          </c:extLst>
        </c:ser>
        <c:ser>
          <c:idx val="19"/>
          <c:order val="18"/>
          <c:tx>
            <c:strRef>
              <c:f>IMA_C2!$A$19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IMA_C2!$B$19:$J$19</c:f>
              <c:numCache>
                <c:formatCode>0.0%</c:formatCode>
                <c:ptCount val="9"/>
                <c:pt idx="0">
                  <c:v>0.37</c:v>
                </c:pt>
                <c:pt idx="1">
                  <c:v>0.34799999999999998</c:v>
                </c:pt>
                <c:pt idx="2">
                  <c:v>0.38</c:v>
                </c:pt>
                <c:pt idx="3">
                  <c:v>0.43</c:v>
                </c:pt>
                <c:pt idx="4">
                  <c:v>0.35700000000000004</c:v>
                </c:pt>
                <c:pt idx="5">
                  <c:v>0.32500000000000001</c:v>
                </c:pt>
                <c:pt idx="6">
                  <c:v>0.371</c:v>
                </c:pt>
                <c:pt idx="7">
                  <c:v>0.39800000000000002</c:v>
                </c:pt>
                <c:pt idx="8">
                  <c:v>0.41199999999999998</c:v>
                </c:pt>
              </c:numCache>
            </c:numRef>
          </c:yVal>
          <c:smooth val="0"/>
          <c:extLst>
            <c:ext xmlns:c16="http://schemas.microsoft.com/office/drawing/2014/chart" uri="{C3380CC4-5D6E-409C-BE32-E72D297353CC}">
              <c16:uniqueId val="{00000013-994A-4C1A-B6D9-C75EE74C059A}"/>
            </c:ext>
          </c:extLst>
        </c:ser>
        <c:ser>
          <c:idx val="18"/>
          <c:order val="19"/>
          <c:tx>
            <c:strRef>
              <c:f>IMA_C2!$A$21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3"/>
              <c:layout>
                <c:manualLayout>
                  <c:x val="-0.19629155730533687"/>
                  <c:y val="-0.15319865319865325"/>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mn-lt"/>
                        <a:ea typeface="+mn-ea"/>
                        <a:cs typeface="+mn-cs"/>
                      </a:defRPr>
                    </a:pPr>
                    <a:r>
                      <a:rPr lang="en-US" sz="1100">
                        <a:solidFill>
                          <a:schemeClr val="accent2">
                            <a:lumMod val="50000"/>
                          </a:schemeClr>
                        </a:solidFill>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994A-4C1A-B6D9-C75EE74C05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IMA_C2!$B$1:$J$1</c:f>
              <c:strCache>
                <c:ptCount val="9"/>
                <c:pt idx="0">
                  <c:v>'17</c:v>
                </c:pt>
                <c:pt idx="1">
                  <c:v>'18</c:v>
                </c:pt>
                <c:pt idx="2">
                  <c:v>'19</c:v>
                </c:pt>
                <c:pt idx="3">
                  <c:v>'20</c:v>
                </c:pt>
                <c:pt idx="4">
                  <c:v>'21</c:v>
                </c:pt>
                <c:pt idx="5">
                  <c:v>'22</c:v>
                </c:pt>
                <c:pt idx="6">
                  <c:v>'23</c:v>
                </c:pt>
                <c:pt idx="7">
                  <c:v>'24</c:v>
                </c:pt>
                <c:pt idx="8">
                  <c:v>'25</c:v>
                </c:pt>
              </c:strCache>
            </c:strRef>
          </c:xVal>
          <c:yVal>
            <c:numRef>
              <c:f>IMA_C2!$B$21:$J$21</c:f>
              <c:numCache>
                <c:formatCode>General</c:formatCode>
                <c:ptCount val="9"/>
                <c:pt idx="3" formatCode="0.0%">
                  <c:v>0.40400000000000003</c:v>
                </c:pt>
                <c:pt idx="4" formatCode="0.0%">
                  <c:v>0.28999999999999998</c:v>
                </c:pt>
                <c:pt idx="5" formatCode="0.0%">
                  <c:v>0.36899999999999999</c:v>
                </c:pt>
                <c:pt idx="6" formatCode="0.0%">
                  <c:v>0.36899999999999999</c:v>
                </c:pt>
                <c:pt idx="7" formatCode="0.0%">
                  <c:v>0.36899999999999999</c:v>
                </c:pt>
                <c:pt idx="8" formatCode="0.0%">
                  <c:v>0.40899999999999997</c:v>
                </c:pt>
              </c:numCache>
            </c:numRef>
          </c:yVal>
          <c:smooth val="0"/>
          <c:extLst>
            <c:ext xmlns:c16="http://schemas.microsoft.com/office/drawing/2014/chart" uri="{C3380CC4-5D6E-409C-BE32-E72D297353CC}">
              <c16:uniqueId val="{00000015-994A-4C1A-B6D9-C75EE74C059A}"/>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4102872557596977"/>
        </c:manualLayout>
      </c:layout>
      <c:lineChart>
        <c:grouping val="standard"/>
        <c:varyColors val="0"/>
        <c:ser>
          <c:idx val="12"/>
          <c:order val="16"/>
          <c:tx>
            <c:strRef>
              <c:f>PPCPst!$A$18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cat>
          <c:val>
            <c:numRef>
              <c:f>PPCPst!$B$18:$O$18</c:f>
              <c:numCache>
                <c:formatCode>General</c:formatCode>
                <c:ptCount val="14"/>
                <c:pt idx="2" formatCode="0.0%">
                  <c:v>0.46100000000000002</c:v>
                </c:pt>
                <c:pt idx="3" formatCode="0.0%">
                  <c:v>0.55799999999999994</c:v>
                </c:pt>
                <c:pt idx="4" formatCode="0.0%">
                  <c:v>0.54300000000000004</c:v>
                </c:pt>
                <c:pt idx="5" formatCode="0.0%">
                  <c:v>0.30499999999999999</c:v>
                </c:pt>
                <c:pt idx="6" formatCode="0.0%">
                  <c:v>0.57799999999999996</c:v>
                </c:pt>
                <c:pt idx="7" formatCode="0.0%">
                  <c:v>0.63900000000000001</c:v>
                </c:pt>
                <c:pt idx="8" formatCode="0.0%">
                  <c:v>0.41100000000000003</c:v>
                </c:pt>
                <c:pt idx="9" formatCode="0.0%">
                  <c:v>0.62</c:v>
                </c:pt>
                <c:pt idx="10" formatCode="0.0%">
                  <c:v>0.79200000000000004</c:v>
                </c:pt>
                <c:pt idx="11" formatCode="0.0%">
                  <c:v>0.84499999999999997</c:v>
                </c:pt>
                <c:pt idx="12" formatCode="0.0%">
                  <c:v>0.86099999999999999</c:v>
                </c:pt>
                <c:pt idx="13" formatCode="0.0%">
                  <c:v>0.89</c:v>
                </c:pt>
              </c:numCache>
            </c:numRef>
          </c:val>
          <c:smooth val="0"/>
          <c:extLst>
            <c:ext xmlns:c16="http://schemas.microsoft.com/office/drawing/2014/chart" uri="{C3380CC4-5D6E-409C-BE32-E72D297353CC}">
              <c16:uniqueId val="{00000000-624D-4FF2-967C-603D04B04D3C}"/>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PPCPst!$A$2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PPCPst!$B$2:$O$2</c:f>
              <c:numCache>
                <c:formatCode>General</c:formatCode>
                <c:ptCount val="14"/>
                <c:pt idx="2" formatCode="0.0%">
                  <c:v>0.22700000000000001</c:v>
                </c:pt>
                <c:pt idx="3" formatCode="0.0%">
                  <c:v>0.55900000000000005</c:v>
                </c:pt>
                <c:pt idx="4" formatCode="0.0%">
                  <c:v>0.58799999999999997</c:v>
                </c:pt>
                <c:pt idx="5" formatCode="0.0%">
                  <c:v>0.64500000000000002</c:v>
                </c:pt>
                <c:pt idx="6" formatCode="0.0%">
                  <c:v>0.61599999999999999</c:v>
                </c:pt>
                <c:pt idx="7" formatCode="0.0%">
                  <c:v>0.69599999999999995</c:v>
                </c:pt>
                <c:pt idx="8" formatCode="0.0%">
                  <c:v>0.84200000000000008</c:v>
                </c:pt>
                <c:pt idx="9" formatCode="0.0%">
                  <c:v>0.76100000000000001</c:v>
                </c:pt>
                <c:pt idx="10" formatCode="0.0%">
                  <c:v>0.82299999999999995</c:v>
                </c:pt>
                <c:pt idx="11" formatCode="0.0%">
                  <c:v>0.91400000000000003</c:v>
                </c:pt>
                <c:pt idx="12" formatCode="0.0%">
                  <c:v>0.85399999999999998</c:v>
                </c:pt>
                <c:pt idx="13" formatCode="0.0%">
                  <c:v>0.90700000000000003</c:v>
                </c:pt>
              </c:numCache>
            </c:numRef>
          </c:yVal>
          <c:smooth val="0"/>
          <c:extLst>
            <c:ext xmlns:c16="http://schemas.microsoft.com/office/drawing/2014/chart" uri="{C3380CC4-5D6E-409C-BE32-E72D297353CC}">
              <c16:uniqueId val="{00000001-624D-4FF2-967C-603D04B04D3C}"/>
            </c:ext>
          </c:extLst>
        </c:ser>
        <c:ser>
          <c:idx val="1"/>
          <c:order val="1"/>
          <c:tx>
            <c:strRef>
              <c:f>PPCPst!$A$3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PPCPst!$B$3:$O$3</c:f>
              <c:numCache>
                <c:formatCode>General</c:formatCode>
                <c:ptCount val="14"/>
                <c:pt idx="2" formatCode="0.0%">
                  <c:v>0.56100000000000005</c:v>
                </c:pt>
                <c:pt idx="3" formatCode="0.0%">
                  <c:v>0.41399999999999998</c:v>
                </c:pt>
                <c:pt idx="4" formatCode="0.0%">
                  <c:v>0.47799999999999998</c:v>
                </c:pt>
                <c:pt idx="5" formatCode="0.0%">
                  <c:v>0.48700000000000004</c:v>
                </c:pt>
                <c:pt idx="6" formatCode="0.0%">
                  <c:v>0.48700000000000004</c:v>
                </c:pt>
                <c:pt idx="7" formatCode="0.0%">
                  <c:v>0.63700000000000001</c:v>
                </c:pt>
                <c:pt idx="8" formatCode="0.0%">
                  <c:v>0.71499999999999997</c:v>
                </c:pt>
                <c:pt idx="9" formatCode="0.0%">
                  <c:v>0.71799999999999997</c:v>
                </c:pt>
                <c:pt idx="10" formatCode="0.0%">
                  <c:v>0.76900000000000013</c:v>
                </c:pt>
                <c:pt idx="11" formatCode="0.0%">
                  <c:v>0.81499999999999995</c:v>
                </c:pt>
                <c:pt idx="12" formatCode="0.0%">
                  <c:v>0.85899999999999999</c:v>
                </c:pt>
                <c:pt idx="13" formatCode="0.0%">
                  <c:v>0.88600000000000001</c:v>
                </c:pt>
              </c:numCache>
            </c:numRef>
          </c:yVal>
          <c:smooth val="0"/>
          <c:extLst>
            <c:ext xmlns:c16="http://schemas.microsoft.com/office/drawing/2014/chart" uri="{C3380CC4-5D6E-409C-BE32-E72D297353CC}">
              <c16:uniqueId val="{00000002-624D-4FF2-967C-603D04B04D3C}"/>
            </c:ext>
          </c:extLst>
        </c:ser>
        <c:ser>
          <c:idx val="2"/>
          <c:order val="2"/>
          <c:tx>
            <c:strRef>
              <c:f>PPCPst!$A$4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PPCPst!$B$4:$O$4</c:f>
              <c:numCache>
                <c:formatCode>General</c:formatCode>
                <c:ptCount val="14"/>
                <c:pt idx="2" formatCode="0.0%">
                  <c:v>0.53300000000000003</c:v>
                </c:pt>
                <c:pt idx="3" formatCode="0.0%">
                  <c:v>0.71</c:v>
                </c:pt>
                <c:pt idx="4" formatCode="0.0%">
                  <c:v>0.53100000000000003</c:v>
                </c:pt>
                <c:pt idx="5" formatCode="0.0%">
                  <c:v>0.60200000000000009</c:v>
                </c:pt>
                <c:pt idx="6" formatCode="0.0%">
                  <c:v>0.73</c:v>
                </c:pt>
                <c:pt idx="7" formatCode="0.0%">
                  <c:v>0.86299999999999999</c:v>
                </c:pt>
                <c:pt idx="8" formatCode="0.0%">
                  <c:v>0.91700000000000004</c:v>
                </c:pt>
                <c:pt idx="9" formatCode="0.0%">
                  <c:v>0.876</c:v>
                </c:pt>
                <c:pt idx="10" formatCode="0.0%">
                  <c:v>0.84299999999999997</c:v>
                </c:pt>
                <c:pt idx="11" formatCode="0.0%">
                  <c:v>0.86299999999999999</c:v>
                </c:pt>
                <c:pt idx="12" formatCode="0.0%">
                  <c:v>0.89800000000000002</c:v>
                </c:pt>
                <c:pt idx="13" formatCode="0.0%">
                  <c:v>0.87</c:v>
                </c:pt>
              </c:numCache>
            </c:numRef>
          </c:yVal>
          <c:smooth val="0"/>
          <c:extLst>
            <c:ext xmlns:c16="http://schemas.microsoft.com/office/drawing/2014/chart" uri="{C3380CC4-5D6E-409C-BE32-E72D297353CC}">
              <c16:uniqueId val="{00000003-624D-4FF2-967C-603D04B04D3C}"/>
            </c:ext>
          </c:extLst>
        </c:ser>
        <c:ser>
          <c:idx val="3"/>
          <c:order val="3"/>
          <c:tx>
            <c:strRef>
              <c:f>PPCPst!$A$5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PPCPst!$B$5:$O$5</c:f>
              <c:numCache>
                <c:formatCode>General</c:formatCode>
                <c:ptCount val="14"/>
                <c:pt idx="2" formatCode="0.0%">
                  <c:v>0.40700000000000003</c:v>
                </c:pt>
                <c:pt idx="3" formatCode="0.0%">
                  <c:v>0.504</c:v>
                </c:pt>
                <c:pt idx="4" formatCode="0.0%">
                  <c:v>0.57899999999999996</c:v>
                </c:pt>
                <c:pt idx="5" formatCode="0.0%">
                  <c:v>0.40500000000000003</c:v>
                </c:pt>
                <c:pt idx="6" formatCode="0.0%">
                  <c:v>0.54200000000000004</c:v>
                </c:pt>
                <c:pt idx="7" formatCode="0.0%">
                  <c:v>0.66300000000000003</c:v>
                </c:pt>
                <c:pt idx="8" formatCode="0.0%">
                  <c:v>0.88400000000000012</c:v>
                </c:pt>
                <c:pt idx="9" formatCode="0.0%">
                  <c:v>0.81</c:v>
                </c:pt>
                <c:pt idx="10" formatCode="0.0%">
                  <c:v>0.84599999999999997</c:v>
                </c:pt>
                <c:pt idx="11" formatCode="0.0%">
                  <c:v>0.86899999999999999</c:v>
                </c:pt>
                <c:pt idx="12" formatCode="0.0%">
                  <c:v>0.86399999999999999</c:v>
                </c:pt>
                <c:pt idx="13" formatCode="0.0%">
                  <c:v>0.88600000000000001</c:v>
                </c:pt>
              </c:numCache>
            </c:numRef>
          </c:yVal>
          <c:smooth val="0"/>
          <c:extLst>
            <c:ext xmlns:c16="http://schemas.microsoft.com/office/drawing/2014/chart" uri="{C3380CC4-5D6E-409C-BE32-E72D297353CC}">
              <c16:uniqueId val="{00000004-624D-4FF2-967C-603D04B04D3C}"/>
            </c:ext>
          </c:extLst>
        </c:ser>
        <c:ser>
          <c:idx val="4"/>
          <c:order val="4"/>
          <c:tx>
            <c:strRef>
              <c:f>PPCPst!$A$6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PPCPst!$B$6:$O$6</c:f>
              <c:numCache>
                <c:formatCode>General</c:formatCode>
                <c:ptCount val="14"/>
                <c:pt idx="2" formatCode="0.0%">
                  <c:v>0.375</c:v>
                </c:pt>
                <c:pt idx="3" formatCode="0.0%">
                  <c:v>0.35200000000000004</c:v>
                </c:pt>
                <c:pt idx="4" formatCode="0.0%">
                  <c:v>0.42799999999999999</c:v>
                </c:pt>
                <c:pt idx="5" formatCode="0.0%">
                  <c:v>0.55799999999999994</c:v>
                </c:pt>
                <c:pt idx="6" formatCode="0.0%">
                  <c:v>0.58399999999999996</c:v>
                </c:pt>
                <c:pt idx="7" formatCode="0.0%">
                  <c:v>0.65500000000000003</c:v>
                </c:pt>
                <c:pt idx="8" formatCode="0.0%">
                  <c:v>0.76400000000000012</c:v>
                </c:pt>
                <c:pt idx="9" formatCode="0.0%">
                  <c:v>0.70400000000000007</c:v>
                </c:pt>
                <c:pt idx="10" formatCode="0.0%">
                  <c:v>0.72400000000000009</c:v>
                </c:pt>
                <c:pt idx="11" formatCode="0.0%">
                  <c:v>0.75700000000000001</c:v>
                </c:pt>
                <c:pt idx="12" formatCode="0.0%">
                  <c:v>0.79600000000000004</c:v>
                </c:pt>
                <c:pt idx="13" formatCode="0.0%">
                  <c:v>0.83</c:v>
                </c:pt>
              </c:numCache>
            </c:numRef>
          </c:yVal>
          <c:smooth val="0"/>
          <c:extLst>
            <c:ext xmlns:c16="http://schemas.microsoft.com/office/drawing/2014/chart" uri="{C3380CC4-5D6E-409C-BE32-E72D297353CC}">
              <c16:uniqueId val="{00000005-624D-4FF2-967C-603D04B04D3C}"/>
            </c:ext>
          </c:extLst>
        </c:ser>
        <c:ser>
          <c:idx val="5"/>
          <c:order val="5"/>
          <c:tx>
            <c:strRef>
              <c:f>PPCPst!$A$7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PPCPst!$B$7:$O$7</c:f>
              <c:numCache>
                <c:formatCode>General</c:formatCode>
                <c:ptCount val="14"/>
                <c:pt idx="2" formatCode="0.0%">
                  <c:v>0.45500000000000002</c:v>
                </c:pt>
                <c:pt idx="3" formatCode="0.0%">
                  <c:v>0.57700000000000007</c:v>
                </c:pt>
                <c:pt idx="4" formatCode="0.0%">
                  <c:v>0.61099999999999999</c:v>
                </c:pt>
                <c:pt idx="5" formatCode="0.0%">
                  <c:v>0.35499999999999998</c:v>
                </c:pt>
                <c:pt idx="6" formatCode="0.0%">
                  <c:v>0.67200000000000004</c:v>
                </c:pt>
                <c:pt idx="7" formatCode="0.0%">
                  <c:v>0.625</c:v>
                </c:pt>
                <c:pt idx="8" formatCode="0.0%">
                  <c:v>0.80400000000000005</c:v>
                </c:pt>
                <c:pt idx="9" formatCode="0.0%">
                  <c:v>0.82200000000000006</c:v>
                </c:pt>
                <c:pt idx="10" formatCode="0.0%">
                  <c:v>0.81599999999999995</c:v>
                </c:pt>
                <c:pt idx="11" formatCode="0.0%">
                  <c:v>0.86199999999999999</c:v>
                </c:pt>
                <c:pt idx="12" formatCode="0.0%">
                  <c:v>0.88100000000000001</c:v>
                </c:pt>
                <c:pt idx="13" formatCode="0.0%">
                  <c:v>0.87</c:v>
                </c:pt>
              </c:numCache>
            </c:numRef>
          </c:yVal>
          <c:smooth val="0"/>
          <c:extLst>
            <c:ext xmlns:c16="http://schemas.microsoft.com/office/drawing/2014/chart" uri="{C3380CC4-5D6E-409C-BE32-E72D297353CC}">
              <c16:uniqueId val="{00000006-624D-4FF2-967C-603D04B04D3C}"/>
            </c:ext>
          </c:extLst>
        </c:ser>
        <c:ser>
          <c:idx val="6"/>
          <c:order val="6"/>
          <c:tx>
            <c:strRef>
              <c:f>PPCPst!$A$8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PPCPst!$B$8:$O$8</c:f>
              <c:numCache>
                <c:formatCode>General</c:formatCode>
                <c:ptCount val="14"/>
                <c:pt idx="2" formatCode="0.0%">
                  <c:v>0.56899999999999995</c:v>
                </c:pt>
                <c:pt idx="3" formatCode="0.0%">
                  <c:v>0.59599999999999997</c:v>
                </c:pt>
                <c:pt idx="4" formatCode="0.0%">
                  <c:v>0.68700000000000006</c:v>
                </c:pt>
                <c:pt idx="5" formatCode="0.0%">
                  <c:v>0.629</c:v>
                </c:pt>
                <c:pt idx="6" formatCode="0.0%">
                  <c:v>0.63200000000000001</c:v>
                </c:pt>
                <c:pt idx="7" formatCode="0.0%">
                  <c:v>0.62</c:v>
                </c:pt>
                <c:pt idx="8" formatCode="0.0%">
                  <c:v>0.753</c:v>
                </c:pt>
                <c:pt idx="9" formatCode="0.0%">
                  <c:v>0.82700000000000007</c:v>
                </c:pt>
                <c:pt idx="10" formatCode="0.0%">
                  <c:v>0.8590000000000001</c:v>
                </c:pt>
                <c:pt idx="11" formatCode="0.0%">
                  <c:v>0.85099999999999998</c:v>
                </c:pt>
                <c:pt idx="12" formatCode="0.0%">
                  <c:v>0.86499999999999999</c:v>
                </c:pt>
                <c:pt idx="13" formatCode="0.0%">
                  <c:v>0.877</c:v>
                </c:pt>
              </c:numCache>
            </c:numRef>
          </c:yVal>
          <c:smooth val="0"/>
          <c:extLst>
            <c:ext xmlns:c16="http://schemas.microsoft.com/office/drawing/2014/chart" uri="{C3380CC4-5D6E-409C-BE32-E72D297353CC}">
              <c16:uniqueId val="{00000007-624D-4FF2-967C-603D04B04D3C}"/>
            </c:ext>
          </c:extLst>
        </c:ser>
        <c:ser>
          <c:idx val="7"/>
          <c:order val="7"/>
          <c:tx>
            <c:strRef>
              <c:f>PPCPst!$A$9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PPCPst!$B$9:$O$9</c:f>
              <c:numCache>
                <c:formatCode>General</c:formatCode>
                <c:ptCount val="14"/>
                <c:pt idx="2" formatCode="0.0%">
                  <c:v>0.435</c:v>
                </c:pt>
                <c:pt idx="3" formatCode="0.0%">
                  <c:v>0.52100000000000002</c:v>
                </c:pt>
                <c:pt idx="4" formatCode="0.0%">
                  <c:v>0.6</c:v>
                </c:pt>
                <c:pt idx="5" formatCode="0.0%">
                  <c:v>0.44500000000000001</c:v>
                </c:pt>
                <c:pt idx="6" formatCode="0.0%">
                  <c:v>0.56399999999999995</c:v>
                </c:pt>
                <c:pt idx="7" formatCode="0.0%">
                  <c:v>0.59899999999999998</c:v>
                </c:pt>
                <c:pt idx="8" formatCode="0.0%">
                  <c:v>0.78900000000000003</c:v>
                </c:pt>
                <c:pt idx="9" formatCode="0.0%">
                  <c:v>0.81400000000000006</c:v>
                </c:pt>
                <c:pt idx="10" formatCode="0.0%">
                  <c:v>0.85799999999999998</c:v>
                </c:pt>
                <c:pt idx="11" formatCode="0.0%">
                  <c:v>0.83699999999999997</c:v>
                </c:pt>
                <c:pt idx="12" formatCode="0.0%">
                  <c:v>0.876</c:v>
                </c:pt>
                <c:pt idx="13" formatCode="0.0%">
                  <c:v>0.89100000000000001</c:v>
                </c:pt>
              </c:numCache>
            </c:numRef>
          </c:yVal>
          <c:smooth val="0"/>
          <c:extLst>
            <c:ext xmlns:c16="http://schemas.microsoft.com/office/drawing/2014/chart" uri="{C3380CC4-5D6E-409C-BE32-E72D297353CC}">
              <c16:uniqueId val="{00000008-624D-4FF2-967C-603D04B04D3C}"/>
            </c:ext>
          </c:extLst>
        </c:ser>
        <c:ser>
          <c:idx val="8"/>
          <c:order val="8"/>
          <c:tx>
            <c:strRef>
              <c:f>PPCPst!$A$10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PPCPst!$B$10:$O$10</c:f>
              <c:numCache>
                <c:formatCode>General</c:formatCode>
                <c:ptCount val="14"/>
                <c:pt idx="2" formatCode="0.0%">
                  <c:v>0.748</c:v>
                </c:pt>
                <c:pt idx="3" formatCode="0.0%">
                  <c:v>0.748</c:v>
                </c:pt>
                <c:pt idx="4" formatCode="0.0%">
                  <c:v>0.77599999999999991</c:v>
                </c:pt>
                <c:pt idx="5" formatCode="0.0%">
                  <c:v>0.74400000000000011</c:v>
                </c:pt>
                <c:pt idx="6" formatCode="0.0%">
                  <c:v>0.79300000000000004</c:v>
                </c:pt>
                <c:pt idx="7" formatCode="0.0%">
                  <c:v>0.73699999999999999</c:v>
                </c:pt>
                <c:pt idx="8" formatCode="0.0%">
                  <c:v>0.74099999999999999</c:v>
                </c:pt>
                <c:pt idx="9" formatCode="0.0%">
                  <c:v>0.85400000000000009</c:v>
                </c:pt>
                <c:pt idx="10" formatCode="0.0%">
                  <c:v>0.86099999999999999</c:v>
                </c:pt>
                <c:pt idx="11" formatCode="0.0%">
                  <c:v>0.85699999999999998</c:v>
                </c:pt>
                <c:pt idx="12" formatCode="0.0%">
                  <c:v>0.871</c:v>
                </c:pt>
                <c:pt idx="13" formatCode="0.0%">
                  <c:v>0.88300000000000001</c:v>
                </c:pt>
              </c:numCache>
            </c:numRef>
          </c:yVal>
          <c:smooth val="0"/>
          <c:extLst>
            <c:ext xmlns:c16="http://schemas.microsoft.com/office/drawing/2014/chart" uri="{C3380CC4-5D6E-409C-BE32-E72D297353CC}">
              <c16:uniqueId val="{00000009-624D-4FF2-967C-603D04B04D3C}"/>
            </c:ext>
          </c:extLst>
        </c:ser>
        <c:ser>
          <c:idx val="9"/>
          <c:order val="9"/>
          <c:tx>
            <c:strRef>
              <c:f>PPCPst!$A$11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PPCPst!$B$11:$O$11</c:f>
              <c:numCache>
                <c:formatCode>General</c:formatCode>
                <c:ptCount val="14"/>
                <c:pt idx="2" formatCode="0.0%">
                  <c:v>0.71</c:v>
                </c:pt>
                <c:pt idx="3" formatCode="0.0%">
                  <c:v>0.66200000000000003</c:v>
                </c:pt>
                <c:pt idx="4" formatCode="0.0%">
                  <c:v>0.68500000000000005</c:v>
                </c:pt>
                <c:pt idx="5" formatCode="0.0%">
                  <c:v>0.627</c:v>
                </c:pt>
                <c:pt idx="6" formatCode="0.0%">
                  <c:v>0.79800000000000004</c:v>
                </c:pt>
                <c:pt idx="7" formatCode="0.0%">
                  <c:v>0.75</c:v>
                </c:pt>
                <c:pt idx="8" formatCode="0.0%">
                  <c:v>0.71099999999999997</c:v>
                </c:pt>
                <c:pt idx="9" formatCode="0.0%">
                  <c:v>0.91099999999999992</c:v>
                </c:pt>
                <c:pt idx="10" formatCode="0.0%">
                  <c:v>0.84</c:v>
                </c:pt>
                <c:pt idx="11" formatCode="0.0%">
                  <c:v>0.87</c:v>
                </c:pt>
                <c:pt idx="12" formatCode="0.0%">
                  <c:v>0.877</c:v>
                </c:pt>
                <c:pt idx="13" formatCode="0.0%">
                  <c:v>0.88600000000000001</c:v>
                </c:pt>
              </c:numCache>
            </c:numRef>
          </c:yVal>
          <c:smooth val="0"/>
          <c:extLst>
            <c:ext xmlns:c16="http://schemas.microsoft.com/office/drawing/2014/chart" uri="{C3380CC4-5D6E-409C-BE32-E72D297353CC}">
              <c16:uniqueId val="{0000000A-624D-4FF2-967C-603D04B04D3C}"/>
            </c:ext>
          </c:extLst>
        </c:ser>
        <c:ser>
          <c:idx val="10"/>
          <c:order val="10"/>
          <c:tx>
            <c:strRef>
              <c:f>PPCPst!$A$12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PPCPst!$B$12:$O$12</c:f>
              <c:numCache>
                <c:formatCode>General</c:formatCode>
                <c:ptCount val="14"/>
                <c:pt idx="8" formatCode="0.0%">
                  <c:v>0.66800000000000004</c:v>
                </c:pt>
                <c:pt idx="9" formatCode="0.0%">
                  <c:v>0.85400000000000009</c:v>
                </c:pt>
                <c:pt idx="10" formatCode="0.0%">
                  <c:v>0.81500000000000006</c:v>
                </c:pt>
                <c:pt idx="11" formatCode="0.0%">
                  <c:v>0.82199999999999995</c:v>
                </c:pt>
                <c:pt idx="12" formatCode="0.0%">
                  <c:v>0.876</c:v>
                </c:pt>
                <c:pt idx="13" formatCode="0.0%">
                  <c:v>0.88</c:v>
                </c:pt>
              </c:numCache>
            </c:numRef>
          </c:yVal>
          <c:smooth val="0"/>
          <c:extLst>
            <c:ext xmlns:c16="http://schemas.microsoft.com/office/drawing/2014/chart" uri="{C3380CC4-5D6E-409C-BE32-E72D297353CC}">
              <c16:uniqueId val="{0000000B-624D-4FF2-967C-603D04B04D3C}"/>
            </c:ext>
          </c:extLst>
        </c:ser>
        <c:ser>
          <c:idx val="11"/>
          <c:order val="11"/>
          <c:tx>
            <c:strRef>
              <c:f>PPCPst!$A$13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PPCPst!$B$13:$O$13</c:f>
              <c:numCache>
                <c:formatCode>General</c:formatCode>
                <c:ptCount val="14"/>
                <c:pt idx="8" formatCode="0.0%">
                  <c:v>0.68099999999999994</c:v>
                </c:pt>
                <c:pt idx="9" formatCode="0.0%">
                  <c:v>0.71099999999999997</c:v>
                </c:pt>
                <c:pt idx="10" formatCode="0.0%">
                  <c:v>0.76</c:v>
                </c:pt>
                <c:pt idx="11" formatCode="0.0%">
                  <c:v>0.82599999999999996</c:v>
                </c:pt>
                <c:pt idx="12" formatCode="0.0%">
                  <c:v>0.86099999999999999</c:v>
                </c:pt>
                <c:pt idx="13" formatCode="0.0%">
                  <c:v>0.877</c:v>
                </c:pt>
              </c:numCache>
            </c:numRef>
          </c:yVal>
          <c:smooth val="0"/>
          <c:extLst>
            <c:ext xmlns:c16="http://schemas.microsoft.com/office/drawing/2014/chart" uri="{C3380CC4-5D6E-409C-BE32-E72D297353CC}">
              <c16:uniqueId val="{0000000C-624D-4FF2-967C-603D04B04D3C}"/>
            </c:ext>
          </c:extLst>
        </c:ser>
        <c:ser>
          <c:idx val="13"/>
          <c:order val="12"/>
          <c:tx>
            <c:strRef>
              <c:f>PPCPst!$A$14</c:f>
              <c:strCache>
                <c:ptCount val="1"/>
                <c:pt idx="0">
                  <c:v>Statewide</c:v>
                </c:pt>
              </c:strCache>
            </c:strRef>
          </c:tx>
          <c:spPr>
            <a:ln w="28575" cap="rnd">
              <a:solidFill>
                <a:schemeClr val="accent1">
                  <a:lumMod val="75000"/>
                </a:schemeClr>
              </a:solidFill>
              <a:round/>
            </a:ln>
            <a:effectLst/>
          </c:spPr>
          <c:marker>
            <c:symbol val="none"/>
          </c:marker>
          <c:dPt>
            <c:idx val="9"/>
            <c:marker>
              <c:symbol val="none"/>
            </c:marker>
            <c:bubble3D val="0"/>
            <c:extLst>
              <c:ext xmlns:c16="http://schemas.microsoft.com/office/drawing/2014/chart" uri="{C3380CC4-5D6E-409C-BE32-E72D297353CC}">
                <c16:uniqueId val="{0000000D-624D-4FF2-967C-603D04B04D3C}"/>
              </c:ext>
            </c:extLst>
          </c:dPt>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PPCPst!$B$14:$O$14</c:f>
              <c:numCache>
                <c:formatCode>0.0%</c:formatCode>
                <c:ptCount val="14"/>
                <c:pt idx="0">
                  <c:v>0.33400000000000002</c:v>
                </c:pt>
                <c:pt idx="1">
                  <c:v>0.33400000000000002</c:v>
                </c:pt>
                <c:pt idx="2">
                  <c:v>0.44700000000000006</c:v>
                </c:pt>
                <c:pt idx="3">
                  <c:v>0.51</c:v>
                </c:pt>
                <c:pt idx="4">
                  <c:v>0.57700000000000007</c:v>
                </c:pt>
                <c:pt idx="5">
                  <c:v>0.499</c:v>
                </c:pt>
                <c:pt idx="6">
                  <c:v>0.61299999999999999</c:v>
                </c:pt>
                <c:pt idx="7">
                  <c:v>0.68200000000000005</c:v>
                </c:pt>
                <c:pt idx="8">
                  <c:v>0.73699999999999999</c:v>
                </c:pt>
                <c:pt idx="9">
                  <c:v>0.77800000000000002</c:v>
                </c:pt>
                <c:pt idx="10">
                  <c:v>0.80799999999999994</c:v>
                </c:pt>
                <c:pt idx="11">
                  <c:v>0.83599999999999997</c:v>
                </c:pt>
                <c:pt idx="12">
                  <c:v>0.85899999999999999</c:v>
                </c:pt>
                <c:pt idx="13">
                  <c:v>0.878</c:v>
                </c:pt>
              </c:numCache>
            </c:numRef>
          </c:yVal>
          <c:smooth val="0"/>
          <c:extLst>
            <c:ext xmlns:c16="http://schemas.microsoft.com/office/drawing/2014/chart" uri="{C3380CC4-5D6E-409C-BE32-E72D297353CC}">
              <c16:uniqueId val="{0000000E-624D-4FF2-967C-603D04B04D3C}"/>
            </c:ext>
          </c:extLst>
        </c:ser>
        <c:ser>
          <c:idx val="14"/>
          <c:order val="13"/>
          <c:tx>
            <c:strRef>
              <c:f>PPCPst!$A$15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PPCPst!$B$15:$O$15</c:f>
              <c:numCache>
                <c:formatCode>General</c:formatCode>
                <c:ptCount val="14"/>
                <c:pt idx="9" formatCode="0.0%">
                  <c:v>0.63900000000000001</c:v>
                </c:pt>
                <c:pt idx="10" formatCode="0.0%">
                  <c:v>0.69299999999999995</c:v>
                </c:pt>
                <c:pt idx="11" formatCode="0.0%">
                  <c:v>0.73499999999999999</c:v>
                </c:pt>
                <c:pt idx="12" formatCode="0.0%">
                  <c:v>0.76900000000000002</c:v>
                </c:pt>
                <c:pt idx="13" formatCode="0.0%">
                  <c:v>0.85</c:v>
                </c:pt>
              </c:numCache>
            </c:numRef>
          </c:yVal>
          <c:smooth val="0"/>
          <c:extLst>
            <c:ext xmlns:c16="http://schemas.microsoft.com/office/drawing/2014/chart" uri="{C3380CC4-5D6E-409C-BE32-E72D297353CC}">
              <c16:uniqueId val="{0000000F-624D-4FF2-967C-603D04B04D3C}"/>
            </c:ext>
          </c:extLst>
        </c:ser>
        <c:ser>
          <c:idx val="15"/>
          <c:order val="14"/>
          <c:tx>
            <c:strRef>
              <c:f>PPCPst!$A$16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PPCPst!$B$16:$O$16</c:f>
              <c:numCache>
                <c:formatCode>General</c:formatCode>
                <c:ptCount val="14"/>
                <c:pt idx="2" formatCode="0.0%">
                  <c:v>0.55000000000000004</c:v>
                </c:pt>
                <c:pt idx="3" formatCode="0.0%">
                  <c:v>0.53800000000000003</c:v>
                </c:pt>
                <c:pt idx="4" formatCode="0.0%">
                  <c:v>0.53500000000000003</c:v>
                </c:pt>
                <c:pt idx="5" formatCode="0.0%">
                  <c:v>0.28699999999999998</c:v>
                </c:pt>
                <c:pt idx="6" formatCode="0.0%">
                  <c:v>0.625</c:v>
                </c:pt>
                <c:pt idx="7" formatCode="0.0%">
                  <c:v>0.69799999999999995</c:v>
                </c:pt>
                <c:pt idx="8" formatCode="0.0%">
                  <c:v>0.76100000000000001</c:v>
                </c:pt>
                <c:pt idx="9" formatCode="0.0%">
                  <c:v>0.7320000000000001</c:v>
                </c:pt>
                <c:pt idx="10" formatCode="0.0%">
                  <c:v>0.79599999999999993</c:v>
                </c:pt>
                <c:pt idx="11" formatCode="0.0%">
                  <c:v>0.82899999999999996</c:v>
                </c:pt>
                <c:pt idx="12" formatCode="0.0%">
                  <c:v>0.87</c:v>
                </c:pt>
                <c:pt idx="13" formatCode="0.0%">
                  <c:v>0.88</c:v>
                </c:pt>
              </c:numCache>
            </c:numRef>
          </c:yVal>
          <c:smooth val="0"/>
          <c:extLst>
            <c:ext xmlns:c16="http://schemas.microsoft.com/office/drawing/2014/chart" uri="{C3380CC4-5D6E-409C-BE32-E72D297353CC}">
              <c16:uniqueId val="{00000010-624D-4FF2-967C-603D04B04D3C}"/>
            </c:ext>
          </c:extLst>
        </c:ser>
        <c:ser>
          <c:idx val="16"/>
          <c:order val="15"/>
          <c:tx>
            <c:strRef>
              <c:f>PPCPst!$A$17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PPCPst!$B$17:$O$17</c:f>
              <c:numCache>
                <c:formatCode>General</c:formatCode>
                <c:ptCount val="14"/>
                <c:pt idx="2" formatCode="0.0%">
                  <c:v>0.24</c:v>
                </c:pt>
                <c:pt idx="3" formatCode="0.0%">
                  <c:v>0.41700000000000004</c:v>
                </c:pt>
                <c:pt idx="4" formatCode="0.0%">
                  <c:v>0.55600000000000005</c:v>
                </c:pt>
                <c:pt idx="5" formatCode="0.0%">
                  <c:v>0.49100000000000005</c:v>
                </c:pt>
                <c:pt idx="6" formatCode="0.0%">
                  <c:v>0.6409999999999999</c:v>
                </c:pt>
                <c:pt idx="7" formatCode="0.0%">
                  <c:v>0.747</c:v>
                </c:pt>
                <c:pt idx="8" formatCode="0.0%">
                  <c:v>0.65800000000000003</c:v>
                </c:pt>
                <c:pt idx="9" formatCode="0.0%">
                  <c:v>0.73699999999999999</c:v>
                </c:pt>
                <c:pt idx="10" formatCode="0.0%">
                  <c:v>0.79099999999999993</c:v>
                </c:pt>
                <c:pt idx="11" formatCode="0.0%">
                  <c:v>0.82899999999999996</c:v>
                </c:pt>
                <c:pt idx="12" formatCode="0.0%">
                  <c:v>0.878</c:v>
                </c:pt>
                <c:pt idx="13" formatCode="0.0%">
                  <c:v>0.9</c:v>
                </c:pt>
              </c:numCache>
            </c:numRef>
          </c:yVal>
          <c:smooth val="0"/>
          <c:extLst>
            <c:ext xmlns:c16="http://schemas.microsoft.com/office/drawing/2014/chart" uri="{C3380CC4-5D6E-409C-BE32-E72D297353CC}">
              <c16:uniqueId val="{00000011-624D-4FF2-967C-603D04B04D3C}"/>
            </c:ext>
          </c:extLst>
        </c:ser>
        <c:ser>
          <c:idx val="17"/>
          <c:order val="17"/>
          <c:tx>
            <c:strRef>
              <c:f>PPCPst!$A$20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PPCPst!$B$20:$O$20</c:f>
              <c:numCache>
                <c:formatCode>0.0%</c:formatCode>
                <c:ptCount val="14"/>
                <c:pt idx="0">
                  <c:v>0.33400000000000002</c:v>
                </c:pt>
                <c:pt idx="1">
                  <c:v>0.33400000000000002</c:v>
                </c:pt>
                <c:pt idx="2">
                  <c:v>0.44700000000000006</c:v>
                </c:pt>
                <c:pt idx="3">
                  <c:v>0.51</c:v>
                </c:pt>
                <c:pt idx="4">
                  <c:v>0.57700000000000007</c:v>
                </c:pt>
                <c:pt idx="5">
                  <c:v>0.499</c:v>
                </c:pt>
                <c:pt idx="6">
                  <c:v>0.61299999999999999</c:v>
                </c:pt>
                <c:pt idx="7">
                  <c:v>0.68200000000000005</c:v>
                </c:pt>
                <c:pt idx="8">
                  <c:v>0.73699999999999999</c:v>
                </c:pt>
                <c:pt idx="9">
                  <c:v>0.77800000000000002</c:v>
                </c:pt>
                <c:pt idx="10">
                  <c:v>0.80799999999999994</c:v>
                </c:pt>
                <c:pt idx="11">
                  <c:v>0.83599999999999997</c:v>
                </c:pt>
                <c:pt idx="12">
                  <c:v>0.85899999999999999</c:v>
                </c:pt>
                <c:pt idx="13">
                  <c:v>0.878</c:v>
                </c:pt>
              </c:numCache>
            </c:numRef>
          </c:yVal>
          <c:smooth val="0"/>
          <c:extLst>
            <c:ext xmlns:c16="http://schemas.microsoft.com/office/drawing/2014/chart" uri="{C3380CC4-5D6E-409C-BE32-E72D297353CC}">
              <c16:uniqueId val="{00000012-624D-4FF2-967C-603D04B04D3C}"/>
            </c:ext>
          </c:extLst>
        </c:ser>
        <c:ser>
          <c:idx val="20"/>
          <c:order val="18"/>
          <c:tx>
            <c:strRef>
              <c:f>PPCPst!$A$19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PPCPst!$B$19:$O$19</c:f>
              <c:numCache>
                <c:formatCode>General</c:formatCode>
                <c:ptCount val="14"/>
                <c:pt idx="2" formatCode="0.0%">
                  <c:v>0.46100000000000002</c:v>
                </c:pt>
                <c:pt idx="3" formatCode="0.0%">
                  <c:v>0.55799999999999994</c:v>
                </c:pt>
                <c:pt idx="4" formatCode="0.0%">
                  <c:v>0.54300000000000004</c:v>
                </c:pt>
                <c:pt idx="5" formatCode="0.0%">
                  <c:v>0.30499999999999999</c:v>
                </c:pt>
                <c:pt idx="6" formatCode="0.0%">
                  <c:v>0.57799999999999996</c:v>
                </c:pt>
                <c:pt idx="7" formatCode="0.0%">
                  <c:v>0.63900000000000001</c:v>
                </c:pt>
                <c:pt idx="8" formatCode="0.0%">
                  <c:v>0.41100000000000003</c:v>
                </c:pt>
                <c:pt idx="9" formatCode="0.0%">
                  <c:v>0.62</c:v>
                </c:pt>
                <c:pt idx="10" formatCode="0.0%">
                  <c:v>0.79200000000000004</c:v>
                </c:pt>
                <c:pt idx="11" formatCode="0.0%">
                  <c:v>0.84499999999999997</c:v>
                </c:pt>
                <c:pt idx="12" formatCode="0.0%">
                  <c:v>0.86099999999999999</c:v>
                </c:pt>
                <c:pt idx="13" formatCode="0.0%">
                  <c:v>0.89</c:v>
                </c:pt>
              </c:numCache>
            </c:numRef>
          </c:yVal>
          <c:smooth val="0"/>
          <c:extLst>
            <c:ext xmlns:c16="http://schemas.microsoft.com/office/drawing/2014/chart" uri="{C3380CC4-5D6E-409C-BE32-E72D297353CC}">
              <c16:uniqueId val="{00000013-624D-4FF2-967C-603D04B04D3C}"/>
            </c:ext>
          </c:extLst>
        </c:ser>
        <c:ser>
          <c:idx val="18"/>
          <c:order val="19"/>
          <c:tx>
            <c:strRef>
              <c:f>PPCPst!$A$21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7"/>
              <c:layout>
                <c:manualLayout>
                  <c:x val="-0.22947222222222227"/>
                  <c:y val="-0.16203703703703706"/>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624D-4FF2-967C-603D04B04D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PPCPst!$B$1:$O$1</c:f>
              <c:strCache>
                <c:ptCount val="14"/>
                <c:pt idx="0">
                  <c:v>'11</c:v>
                </c:pt>
                <c:pt idx="1">
                  <c:v>'13</c:v>
                </c:pt>
                <c:pt idx="2">
                  <c:v>'14</c:v>
                </c:pt>
                <c:pt idx="3">
                  <c:v>'15</c:v>
                </c:pt>
                <c:pt idx="4">
                  <c:v>'16</c:v>
                </c:pt>
                <c:pt idx="5">
                  <c:v>'17</c:v>
                </c:pt>
                <c:pt idx="6">
                  <c:v>'18</c:v>
                </c:pt>
                <c:pt idx="7">
                  <c:v>'19</c:v>
                </c:pt>
                <c:pt idx="8">
                  <c:v>'20</c:v>
                </c:pt>
                <c:pt idx="9">
                  <c:v>'21</c:v>
                </c:pt>
                <c:pt idx="10">
                  <c:v>'22</c:v>
                </c:pt>
                <c:pt idx="11">
                  <c:v>'23</c:v>
                </c:pt>
                <c:pt idx="12">
                  <c:v>'24</c:v>
                </c:pt>
                <c:pt idx="13">
                  <c:v>'25</c:v>
                </c:pt>
              </c:strCache>
            </c:strRef>
          </c:xVal>
          <c:yVal>
            <c:numRef>
              <c:f>PPCPst!$B$21:$O$21</c:f>
              <c:numCache>
                <c:formatCode>General</c:formatCode>
                <c:ptCount val="14"/>
                <c:pt idx="7" formatCode="0.0%">
                  <c:v>0.69299999999999995</c:v>
                </c:pt>
                <c:pt idx="8" formatCode="0.0%">
                  <c:v>0.61299999999999999</c:v>
                </c:pt>
                <c:pt idx="9" formatCode="0.0%">
                  <c:v>0.61299999999999999</c:v>
                </c:pt>
                <c:pt idx="10" formatCode="0.0%">
                  <c:v>0.80900000000000005</c:v>
                </c:pt>
                <c:pt idx="11" formatCode="0.0%">
                  <c:v>0.84199999999999997</c:v>
                </c:pt>
                <c:pt idx="12" formatCode="0.0%">
                  <c:v>0.8590000000000001</c:v>
                </c:pt>
                <c:pt idx="13" formatCode="0.0%">
                  <c:v>0.87</c:v>
                </c:pt>
              </c:numCache>
            </c:numRef>
          </c:yVal>
          <c:smooth val="0"/>
          <c:extLst>
            <c:ext xmlns:c16="http://schemas.microsoft.com/office/drawing/2014/chart" uri="{C3380CC4-5D6E-409C-BE32-E72D297353CC}">
              <c16:uniqueId val="{00000015-624D-4FF2-967C-603D04B04D3C}"/>
            </c:ext>
          </c:extLst>
        </c:ser>
        <c:ser>
          <c:idx val="19"/>
          <c:order val="20"/>
          <c:tx>
            <c:strRef>
              <c:f>PPCPst!$Q$1</c:f>
              <c:strCache>
                <c:ptCount val="1"/>
                <c:pt idx="0">
                  <c:v>Spec change year:</c:v>
                </c:pt>
              </c:strCache>
            </c:strRef>
          </c:tx>
          <c:spPr>
            <a:ln w="19050" cap="rnd">
              <a:solidFill>
                <a:schemeClr val="tx1">
                  <a:lumMod val="60000"/>
                  <a:lumOff val="40000"/>
                </a:schemeClr>
              </a:solidFill>
              <a:prstDash val="dash"/>
              <a:round/>
            </a:ln>
            <a:effectLst/>
          </c:spPr>
          <c:marker>
            <c:symbol val="none"/>
          </c:marker>
          <c:xVal>
            <c:numRef>
              <c:f>PPCPst!$Q$3:$Q$4</c:f>
              <c:numCache>
                <c:formatCode>General</c:formatCode>
                <c:ptCount val="2"/>
                <c:pt idx="0">
                  <c:v>3</c:v>
                </c:pt>
                <c:pt idx="1">
                  <c:v>3</c:v>
                </c:pt>
              </c:numCache>
            </c:numRef>
          </c:xVal>
          <c:yVal>
            <c:numRef>
              <c:f>PPCPst!$R$3:$R$4</c:f>
              <c:numCache>
                <c:formatCode>General</c:formatCode>
                <c:ptCount val="2"/>
                <c:pt idx="0">
                  <c:v>0</c:v>
                </c:pt>
                <c:pt idx="1">
                  <c:v>1</c:v>
                </c:pt>
              </c:numCache>
            </c:numRef>
          </c:yVal>
          <c:smooth val="0"/>
          <c:extLst>
            <c:ext xmlns:c16="http://schemas.microsoft.com/office/drawing/2014/chart" uri="{C3380CC4-5D6E-409C-BE32-E72D297353CC}">
              <c16:uniqueId val="{00000016-624D-4FF2-967C-603D04B04D3C}"/>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kern="1200" spc="0" baseline="0">
                <a:solidFill>
                  <a:schemeClr val="accent1">
                    <a:lumMod val="75000"/>
                  </a:schemeClr>
                </a:solidFill>
                <a:cs typeface="Arial" panose="020B0604020202020204" pitchFamily="34" charset="0"/>
              </a:rPr>
              <a:t>Un valor más bajo es mejor ↓</a:t>
            </a:r>
          </a:p>
        </c:rich>
      </c:tx>
      <c:layout>
        <c:manualLayout>
          <c:xMode val="edge"/>
          <c:yMode val="edge"/>
          <c:x val="0.40208333333333329"/>
          <c:y val="5.05050505050505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048162729658793"/>
          <c:y val="2.8640406691587798E-2"/>
          <c:w val="0.84896281714785649"/>
          <c:h val="0.75203213234709299"/>
        </c:manualLayout>
      </c:layout>
      <c:lineChart>
        <c:grouping val="standard"/>
        <c:varyColors val="0"/>
        <c:ser>
          <c:idx val="0"/>
          <c:order val="0"/>
          <c:tx>
            <c:strRef>
              <c:f>HPC!$A$2</c:f>
              <c:strCache>
                <c:ptCount val="1"/>
                <c:pt idx="0">
                  <c:v>Advanced Health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HPC!$B$2:$M$2</c:f>
              <c:numCache>
                <c:formatCode>0.0%</c:formatCode>
                <c:ptCount val="12"/>
                <c:pt idx="0">
                  <c:v>0.27899999999999997</c:v>
                </c:pt>
                <c:pt idx="1">
                  <c:v>0.29199999999999998</c:v>
                </c:pt>
                <c:pt idx="2">
                  <c:v>0.25800000000000001</c:v>
                </c:pt>
                <c:pt idx="3">
                  <c:v>0.25800000000000001</c:v>
                </c:pt>
                <c:pt idx="4">
                  <c:v>0.24800000000000003</c:v>
                </c:pt>
                <c:pt idx="5">
                  <c:v>0.25600000000000001</c:v>
                </c:pt>
                <c:pt idx="6">
                  <c:v>0.39700000000000002</c:v>
                </c:pt>
                <c:pt idx="7">
                  <c:v>0.40799999999999997</c:v>
                </c:pt>
                <c:pt idx="8">
                  <c:v>0.31</c:v>
                </c:pt>
                <c:pt idx="9">
                  <c:v>0.26400000000000001</c:v>
                </c:pt>
                <c:pt idx="10">
                  <c:v>0.28100000000000003</c:v>
                </c:pt>
                <c:pt idx="11">
                  <c:v>0.314</c:v>
                </c:pt>
              </c:numCache>
            </c:numRef>
          </c:val>
          <c:smooth val="0"/>
          <c:extLst>
            <c:ext xmlns:c16="http://schemas.microsoft.com/office/drawing/2014/chart" uri="{C3380CC4-5D6E-409C-BE32-E72D297353CC}">
              <c16:uniqueId val="{00000000-A88A-4BE0-A623-CCF3545F1F64}"/>
            </c:ext>
          </c:extLst>
        </c:ser>
        <c:ser>
          <c:idx val="1"/>
          <c:order val="1"/>
          <c:tx>
            <c:strRef>
              <c:f>HPC!$A$3</c:f>
              <c:strCache>
                <c:ptCount val="1"/>
                <c:pt idx="0">
                  <c:v>AllCare CCO</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HPC!$B$3:$M$3</c:f>
              <c:numCache>
                <c:formatCode>0.0%</c:formatCode>
                <c:ptCount val="12"/>
                <c:pt idx="0">
                  <c:v>0.115</c:v>
                </c:pt>
                <c:pt idx="1">
                  <c:v>0.29399999999999998</c:v>
                </c:pt>
                <c:pt idx="2">
                  <c:v>0.28600000000000003</c:v>
                </c:pt>
                <c:pt idx="3">
                  <c:v>0.29899999999999999</c:v>
                </c:pt>
                <c:pt idx="4">
                  <c:v>0.27600000000000002</c:v>
                </c:pt>
                <c:pt idx="5">
                  <c:v>0.255</c:v>
                </c:pt>
                <c:pt idx="6">
                  <c:v>0.27</c:v>
                </c:pt>
                <c:pt idx="7">
                  <c:v>0.26100000000000001</c:v>
                </c:pt>
                <c:pt idx="8">
                  <c:v>0.249</c:v>
                </c:pt>
                <c:pt idx="9">
                  <c:v>0.24099999999999999</c:v>
                </c:pt>
                <c:pt idx="10">
                  <c:v>0.20699999999999999</c:v>
                </c:pt>
                <c:pt idx="11">
                  <c:v>0.183</c:v>
                </c:pt>
              </c:numCache>
            </c:numRef>
          </c:val>
          <c:smooth val="0"/>
          <c:extLst>
            <c:ext xmlns:c16="http://schemas.microsoft.com/office/drawing/2014/chart" uri="{C3380CC4-5D6E-409C-BE32-E72D297353CC}">
              <c16:uniqueId val="{00000001-A88A-4BE0-A623-CCF3545F1F64}"/>
            </c:ext>
          </c:extLst>
        </c:ser>
        <c:ser>
          <c:idx val="2"/>
          <c:order val="2"/>
          <c:tx>
            <c:strRef>
              <c:f>HPC!$A$4</c:f>
              <c:strCache>
                <c:ptCount val="1"/>
                <c:pt idx="0">
                  <c:v>Cascade Health Alliance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HPC!$B$4:$M$4</c:f>
              <c:numCache>
                <c:formatCode>0.0%</c:formatCode>
                <c:ptCount val="12"/>
                <c:pt idx="0">
                  <c:v>0.32500000000000001</c:v>
                </c:pt>
                <c:pt idx="1">
                  <c:v>0.114</c:v>
                </c:pt>
                <c:pt idx="2">
                  <c:v>0.223</c:v>
                </c:pt>
                <c:pt idx="3">
                  <c:v>0.25</c:v>
                </c:pt>
                <c:pt idx="4">
                  <c:v>0.27399999999999997</c:v>
                </c:pt>
                <c:pt idx="5">
                  <c:v>0.28199999999999997</c:v>
                </c:pt>
                <c:pt idx="6">
                  <c:v>0.28699999999999998</c:v>
                </c:pt>
                <c:pt idx="7">
                  <c:v>0.29100000000000004</c:v>
                </c:pt>
                <c:pt idx="8">
                  <c:v>0.27500000000000002</c:v>
                </c:pt>
                <c:pt idx="9">
                  <c:v>0.27</c:v>
                </c:pt>
                <c:pt idx="10">
                  <c:v>0.23</c:v>
                </c:pt>
                <c:pt idx="11">
                  <c:v>0.17699999999999999</c:v>
                </c:pt>
              </c:numCache>
            </c:numRef>
          </c:val>
          <c:smooth val="0"/>
          <c:extLst>
            <c:ext xmlns:c16="http://schemas.microsoft.com/office/drawing/2014/chart" uri="{C3380CC4-5D6E-409C-BE32-E72D297353CC}">
              <c16:uniqueId val="{00000002-A88A-4BE0-A623-CCF3545F1F64}"/>
            </c:ext>
          </c:extLst>
        </c:ser>
        <c:ser>
          <c:idx val="3"/>
          <c:order val="3"/>
          <c:tx>
            <c:strRef>
              <c:f>HPC!$A$5</c:f>
              <c:strCache>
                <c:ptCount val="1"/>
                <c:pt idx="0">
                  <c:v>Columbia Pacific</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HPC!$B$5:$M$5</c:f>
              <c:numCache>
                <c:formatCode>0.0%</c:formatCode>
                <c:ptCount val="12"/>
                <c:pt idx="0">
                  <c:v>0.21600000000000003</c:v>
                </c:pt>
                <c:pt idx="1">
                  <c:v>0.33500000000000002</c:v>
                </c:pt>
                <c:pt idx="2">
                  <c:v>0.253</c:v>
                </c:pt>
                <c:pt idx="3">
                  <c:v>0.214</c:v>
                </c:pt>
                <c:pt idx="4">
                  <c:v>0.223</c:v>
                </c:pt>
                <c:pt idx="5">
                  <c:v>0.22899999999999998</c:v>
                </c:pt>
                <c:pt idx="6">
                  <c:v>0.27300000000000002</c:v>
                </c:pt>
                <c:pt idx="7">
                  <c:v>0.27899999999999997</c:v>
                </c:pt>
                <c:pt idx="8">
                  <c:v>0.25700000000000001</c:v>
                </c:pt>
                <c:pt idx="9">
                  <c:v>0.22900000000000001</c:v>
                </c:pt>
                <c:pt idx="10">
                  <c:v>0.218</c:v>
                </c:pt>
                <c:pt idx="11">
                  <c:v>0.217</c:v>
                </c:pt>
              </c:numCache>
            </c:numRef>
          </c:val>
          <c:smooth val="0"/>
          <c:extLst>
            <c:ext xmlns:c16="http://schemas.microsoft.com/office/drawing/2014/chart" uri="{C3380CC4-5D6E-409C-BE32-E72D297353CC}">
              <c16:uniqueId val="{00000003-A88A-4BE0-A623-CCF3545F1F64}"/>
            </c:ext>
          </c:extLst>
        </c:ser>
        <c:ser>
          <c:idx val="4"/>
          <c:order val="4"/>
          <c:tx>
            <c:strRef>
              <c:f>HPC!$A$6</c:f>
              <c:strCache>
                <c:ptCount val="1"/>
                <c:pt idx="0">
                  <c:v>Eastern Oregon CCO</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HPC!$B$6:$M$6</c:f>
              <c:numCache>
                <c:formatCode>0.0%</c:formatCode>
                <c:ptCount val="12"/>
                <c:pt idx="0">
                  <c:v>0.311</c:v>
                </c:pt>
                <c:pt idx="1">
                  <c:v>0.26400000000000001</c:v>
                </c:pt>
                <c:pt idx="2">
                  <c:v>0.26500000000000001</c:v>
                </c:pt>
                <c:pt idx="3">
                  <c:v>0.3</c:v>
                </c:pt>
                <c:pt idx="4">
                  <c:v>0.27</c:v>
                </c:pt>
                <c:pt idx="5">
                  <c:v>0.22</c:v>
                </c:pt>
                <c:pt idx="6">
                  <c:v>0.26400000000000001</c:v>
                </c:pt>
                <c:pt idx="7">
                  <c:v>0.31900000000000001</c:v>
                </c:pt>
                <c:pt idx="8">
                  <c:v>0.21300000000000002</c:v>
                </c:pt>
                <c:pt idx="9">
                  <c:v>0.2</c:v>
                </c:pt>
                <c:pt idx="10">
                  <c:v>0.20799999999999999</c:v>
                </c:pt>
                <c:pt idx="11">
                  <c:v>0.183</c:v>
                </c:pt>
              </c:numCache>
            </c:numRef>
          </c:val>
          <c:smooth val="0"/>
          <c:extLst>
            <c:ext xmlns:c16="http://schemas.microsoft.com/office/drawing/2014/chart" uri="{C3380CC4-5D6E-409C-BE32-E72D297353CC}">
              <c16:uniqueId val="{00000004-A88A-4BE0-A623-CCF3545F1F64}"/>
            </c:ext>
          </c:extLst>
        </c:ser>
        <c:ser>
          <c:idx val="5"/>
          <c:order val="5"/>
          <c:tx>
            <c:strRef>
              <c:f>HPC!$A$7</c:f>
              <c:strCache>
                <c:ptCount val="1"/>
                <c:pt idx="0">
                  <c:v>Health Share of Oregon</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HPC!$B$7:$M$7</c:f>
              <c:numCache>
                <c:formatCode>0.0%</c:formatCode>
                <c:ptCount val="12"/>
                <c:pt idx="0">
                  <c:v>0.189</c:v>
                </c:pt>
                <c:pt idx="1">
                  <c:v>0.252</c:v>
                </c:pt>
                <c:pt idx="2">
                  <c:v>0.26300000000000001</c:v>
                </c:pt>
                <c:pt idx="3">
                  <c:v>0.23600000000000002</c:v>
                </c:pt>
                <c:pt idx="4">
                  <c:v>0.247</c:v>
                </c:pt>
                <c:pt idx="5">
                  <c:v>0.23699999999999999</c:v>
                </c:pt>
                <c:pt idx="6">
                  <c:v>0.30299999999999999</c:v>
                </c:pt>
                <c:pt idx="7">
                  <c:v>0.29300000000000004</c:v>
                </c:pt>
                <c:pt idx="8">
                  <c:v>0.28300000000000003</c:v>
                </c:pt>
                <c:pt idx="9">
                  <c:v>0.26400000000000001</c:v>
                </c:pt>
                <c:pt idx="10">
                  <c:v>0.23799999999999999</c:v>
                </c:pt>
                <c:pt idx="11">
                  <c:v>0.223</c:v>
                </c:pt>
              </c:numCache>
            </c:numRef>
          </c:val>
          <c:smooth val="0"/>
          <c:extLst>
            <c:ext xmlns:c16="http://schemas.microsoft.com/office/drawing/2014/chart" uri="{C3380CC4-5D6E-409C-BE32-E72D297353CC}">
              <c16:uniqueId val="{00000005-A88A-4BE0-A623-CCF3545F1F64}"/>
            </c:ext>
          </c:extLst>
        </c:ser>
        <c:ser>
          <c:idx val="6"/>
          <c:order val="6"/>
          <c:tx>
            <c:strRef>
              <c:f>HPC!$A$8</c:f>
              <c:strCache>
                <c:ptCount val="1"/>
                <c:pt idx="0">
                  <c:v>InterCommunity Health Network</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HPC!$B$8:$M$8</c:f>
              <c:numCache>
                <c:formatCode>0.0%</c:formatCode>
                <c:ptCount val="12"/>
                <c:pt idx="0">
                  <c:v>0.32900000000000001</c:v>
                </c:pt>
                <c:pt idx="1">
                  <c:v>0.25900000000000001</c:v>
                </c:pt>
                <c:pt idx="2">
                  <c:v>0.24</c:v>
                </c:pt>
                <c:pt idx="3">
                  <c:v>0.25800000000000001</c:v>
                </c:pt>
                <c:pt idx="4">
                  <c:v>0.27399999999999997</c:v>
                </c:pt>
                <c:pt idx="5">
                  <c:v>0.25900000000000001</c:v>
                </c:pt>
                <c:pt idx="6">
                  <c:v>0.29899999999999999</c:v>
                </c:pt>
                <c:pt idx="7">
                  <c:v>0.27899999999999997</c:v>
                </c:pt>
                <c:pt idx="8">
                  <c:v>0.318</c:v>
                </c:pt>
                <c:pt idx="9">
                  <c:v>0.30199999999999999</c:v>
                </c:pt>
                <c:pt idx="10">
                  <c:v>0.28199999999999997</c:v>
                </c:pt>
                <c:pt idx="11">
                  <c:v>0.254</c:v>
                </c:pt>
              </c:numCache>
            </c:numRef>
          </c:val>
          <c:smooth val="0"/>
          <c:extLst>
            <c:ext xmlns:c16="http://schemas.microsoft.com/office/drawing/2014/chart" uri="{C3380CC4-5D6E-409C-BE32-E72D297353CC}">
              <c16:uniqueId val="{00000006-A88A-4BE0-A623-CCF3545F1F64}"/>
            </c:ext>
          </c:extLst>
        </c:ser>
        <c:ser>
          <c:idx val="7"/>
          <c:order val="7"/>
          <c:tx>
            <c:strRef>
              <c:f>HPC!$A$9</c:f>
              <c:strCache>
                <c:ptCount val="1"/>
                <c:pt idx="0">
                  <c:v>Jackson Care Connect</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HPC!$B$9:$M$9</c:f>
              <c:numCache>
                <c:formatCode>0.0%</c:formatCode>
                <c:ptCount val="12"/>
                <c:pt idx="0">
                  <c:v>0.14699999999999999</c:v>
                </c:pt>
                <c:pt idx="1">
                  <c:v>0.33899999999999997</c:v>
                </c:pt>
                <c:pt idx="2">
                  <c:v>0.29799999999999999</c:v>
                </c:pt>
                <c:pt idx="3">
                  <c:v>0.318</c:v>
                </c:pt>
                <c:pt idx="4">
                  <c:v>0.28000000000000003</c:v>
                </c:pt>
                <c:pt idx="5">
                  <c:v>0.25800000000000001</c:v>
                </c:pt>
                <c:pt idx="6">
                  <c:v>0.35600000000000004</c:v>
                </c:pt>
                <c:pt idx="7">
                  <c:v>0.307</c:v>
                </c:pt>
                <c:pt idx="8">
                  <c:v>0.27100000000000002</c:v>
                </c:pt>
                <c:pt idx="9">
                  <c:v>0.24199999999999999</c:v>
                </c:pt>
                <c:pt idx="10">
                  <c:v>0.22</c:v>
                </c:pt>
                <c:pt idx="11">
                  <c:v>0.20699999999999999</c:v>
                </c:pt>
              </c:numCache>
            </c:numRef>
          </c:val>
          <c:smooth val="0"/>
          <c:extLst>
            <c:ext xmlns:c16="http://schemas.microsoft.com/office/drawing/2014/chart" uri="{C3380CC4-5D6E-409C-BE32-E72D297353CC}">
              <c16:uniqueId val="{00000007-A88A-4BE0-A623-CCF3545F1F64}"/>
            </c:ext>
          </c:extLst>
        </c:ser>
        <c:ser>
          <c:idx val="8"/>
          <c:order val="8"/>
          <c:tx>
            <c:strRef>
              <c:f>HPC!$A$10</c:f>
              <c:strCache>
                <c:ptCount val="1"/>
                <c:pt idx="0">
                  <c:v>PacificSource Central</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HPC!$B$10:$M$10</c:f>
              <c:numCache>
                <c:formatCode>0.0%</c:formatCode>
                <c:ptCount val="12"/>
                <c:pt idx="0">
                  <c:v>0.18</c:v>
                </c:pt>
                <c:pt idx="1">
                  <c:v>0.184</c:v>
                </c:pt>
                <c:pt idx="2">
                  <c:v>0.26400000000000001</c:v>
                </c:pt>
                <c:pt idx="3">
                  <c:v>0.217</c:v>
                </c:pt>
                <c:pt idx="4">
                  <c:v>0.252</c:v>
                </c:pt>
                <c:pt idx="5">
                  <c:v>0.23</c:v>
                </c:pt>
                <c:pt idx="6">
                  <c:v>0.29100000000000004</c:v>
                </c:pt>
                <c:pt idx="7">
                  <c:v>0.26400000000000001</c:v>
                </c:pt>
                <c:pt idx="8">
                  <c:v>0.21</c:v>
                </c:pt>
                <c:pt idx="9">
                  <c:v>0.22700000000000001</c:v>
                </c:pt>
                <c:pt idx="10">
                  <c:v>0.20599999999999999</c:v>
                </c:pt>
                <c:pt idx="11">
                  <c:v>0.18099999999999999</c:v>
                </c:pt>
              </c:numCache>
            </c:numRef>
          </c:val>
          <c:smooth val="0"/>
          <c:extLst>
            <c:ext xmlns:c16="http://schemas.microsoft.com/office/drawing/2014/chart" uri="{C3380CC4-5D6E-409C-BE32-E72D297353CC}">
              <c16:uniqueId val="{00000008-A88A-4BE0-A623-CCF3545F1F64}"/>
            </c:ext>
          </c:extLst>
        </c:ser>
        <c:ser>
          <c:idx val="9"/>
          <c:order val="9"/>
          <c:tx>
            <c:strRef>
              <c:f>HPC!$A$11</c:f>
              <c:strCache>
                <c:ptCount val="1"/>
                <c:pt idx="0">
                  <c:v>PacificSource Gorge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HPC!$B$11:$M$11</c:f>
              <c:numCache>
                <c:formatCode>0.0%</c:formatCode>
                <c:ptCount val="12"/>
                <c:pt idx="0">
                  <c:v>0.26400000000000001</c:v>
                </c:pt>
                <c:pt idx="1">
                  <c:v>0.27600000000000002</c:v>
                </c:pt>
                <c:pt idx="2">
                  <c:v>0.26100000000000001</c:v>
                </c:pt>
                <c:pt idx="3">
                  <c:v>0.21</c:v>
                </c:pt>
                <c:pt idx="4">
                  <c:v>0.21199999999999999</c:v>
                </c:pt>
                <c:pt idx="5">
                  <c:v>0.222</c:v>
                </c:pt>
                <c:pt idx="6">
                  <c:v>0.26400000000000001</c:v>
                </c:pt>
                <c:pt idx="7">
                  <c:v>0.254</c:v>
                </c:pt>
                <c:pt idx="8">
                  <c:v>0.21100000000000002</c:v>
                </c:pt>
                <c:pt idx="9">
                  <c:v>0.246</c:v>
                </c:pt>
                <c:pt idx="10">
                  <c:v>0.19600000000000001</c:v>
                </c:pt>
                <c:pt idx="11">
                  <c:v>0.19500000000000001</c:v>
                </c:pt>
              </c:numCache>
            </c:numRef>
          </c:val>
          <c:smooth val="0"/>
          <c:extLst>
            <c:ext xmlns:c16="http://schemas.microsoft.com/office/drawing/2014/chart" uri="{C3380CC4-5D6E-409C-BE32-E72D297353CC}">
              <c16:uniqueId val="{00000009-A88A-4BE0-A623-CCF3545F1F64}"/>
            </c:ext>
          </c:extLst>
        </c:ser>
        <c:ser>
          <c:idx val="10"/>
          <c:order val="10"/>
          <c:tx>
            <c:strRef>
              <c:f>HPC!$A$12</c:f>
              <c:strCache>
                <c:ptCount val="1"/>
                <c:pt idx="0">
                  <c:v>PacificSource Lane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HPC!$B$12:$M$12</c:f>
              <c:numCache>
                <c:formatCode>General</c:formatCode>
                <c:ptCount val="12"/>
                <c:pt idx="6" formatCode="0.0%">
                  <c:v>0.23699999999999999</c:v>
                </c:pt>
                <c:pt idx="7" formatCode="0.0%">
                  <c:v>0.158</c:v>
                </c:pt>
                <c:pt idx="8" formatCode="0.0%">
                  <c:v>0.20300000000000001</c:v>
                </c:pt>
                <c:pt idx="9" formatCode="0.0%">
                  <c:v>0.20799999999999999</c:v>
                </c:pt>
                <c:pt idx="10" formatCode="0.0%">
                  <c:v>0.20200000000000001</c:v>
                </c:pt>
                <c:pt idx="11" formatCode="0.0%">
                  <c:v>0.17699999999999999</c:v>
                </c:pt>
              </c:numCache>
            </c:numRef>
          </c:val>
          <c:smooth val="0"/>
          <c:extLst>
            <c:ext xmlns:c16="http://schemas.microsoft.com/office/drawing/2014/chart" uri="{C3380CC4-5D6E-409C-BE32-E72D297353CC}">
              <c16:uniqueId val="{0000000A-A88A-4BE0-A623-CCF3545F1F64}"/>
            </c:ext>
          </c:extLst>
        </c:ser>
        <c:ser>
          <c:idx val="11"/>
          <c:order val="11"/>
          <c:tx>
            <c:strRef>
              <c:f>HPC!$A$13</c:f>
              <c:strCache>
                <c:ptCount val="1"/>
                <c:pt idx="0">
                  <c:v>PacificSource Marion Polk</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HPC!$B$13:$M$13</c:f>
              <c:numCache>
                <c:formatCode>General</c:formatCode>
                <c:ptCount val="12"/>
                <c:pt idx="6" formatCode="0.0%">
                  <c:v>0.27300000000000002</c:v>
                </c:pt>
                <c:pt idx="7" formatCode="0.0%">
                  <c:v>0.27200000000000002</c:v>
                </c:pt>
                <c:pt idx="8" formatCode="0.0%">
                  <c:v>0.26500000000000001</c:v>
                </c:pt>
                <c:pt idx="9" formatCode="0.0%">
                  <c:v>0.253</c:v>
                </c:pt>
                <c:pt idx="10" formatCode="0.0%">
                  <c:v>0.249</c:v>
                </c:pt>
                <c:pt idx="11" formatCode="0.0%">
                  <c:v>0.251</c:v>
                </c:pt>
              </c:numCache>
            </c:numRef>
          </c:val>
          <c:smooth val="0"/>
          <c:extLst>
            <c:ext xmlns:c16="http://schemas.microsoft.com/office/drawing/2014/chart" uri="{C3380CC4-5D6E-409C-BE32-E72D297353CC}">
              <c16:uniqueId val="{0000000B-A88A-4BE0-A623-CCF3545F1F64}"/>
            </c:ext>
          </c:extLst>
        </c:ser>
        <c:ser>
          <c:idx val="12"/>
          <c:order val="12"/>
          <c:tx>
            <c:strRef>
              <c:f>HPC!$A$14</c:f>
              <c:strCache>
                <c:ptCount val="1"/>
                <c:pt idx="0">
                  <c:v>Statewide</c:v>
                </c:pt>
              </c:strCache>
            </c:strRef>
          </c:tx>
          <c:spPr>
            <a:ln w="28575" cap="rnd">
              <a:solidFill>
                <a:schemeClr val="accent1">
                  <a:lumMod val="75000"/>
                </a:schemeClr>
              </a:solid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HPC!$B$14:$M$14</c:f>
              <c:numCache>
                <c:formatCode>0.0%</c:formatCode>
                <c:ptCount val="12"/>
                <c:pt idx="0">
                  <c:v>0.26300000000000001</c:v>
                </c:pt>
                <c:pt idx="1">
                  <c:v>0.26700000000000002</c:v>
                </c:pt>
                <c:pt idx="2">
                  <c:v>0.254</c:v>
                </c:pt>
                <c:pt idx="3">
                  <c:v>0.23600000000000002</c:v>
                </c:pt>
                <c:pt idx="4">
                  <c:v>0.23399999999999999</c:v>
                </c:pt>
                <c:pt idx="5">
                  <c:v>0.215</c:v>
                </c:pt>
                <c:pt idx="6">
                  <c:v>0.28999999999999998</c:v>
                </c:pt>
                <c:pt idx="7">
                  <c:v>0.27</c:v>
                </c:pt>
                <c:pt idx="8">
                  <c:v>0.25900000000000001</c:v>
                </c:pt>
                <c:pt idx="9">
                  <c:v>0.246</c:v>
                </c:pt>
                <c:pt idx="10">
                  <c:v>0.22900000000000001</c:v>
                </c:pt>
                <c:pt idx="11">
                  <c:v>0.21</c:v>
                </c:pt>
              </c:numCache>
            </c:numRef>
          </c:val>
          <c:smooth val="0"/>
          <c:extLst>
            <c:ext xmlns:c16="http://schemas.microsoft.com/office/drawing/2014/chart" uri="{C3380CC4-5D6E-409C-BE32-E72D297353CC}">
              <c16:uniqueId val="{0000000C-A88A-4BE0-A623-CCF3545F1F64}"/>
            </c:ext>
          </c:extLst>
        </c:ser>
        <c:ser>
          <c:idx val="13"/>
          <c:order val="13"/>
          <c:tx>
            <c:strRef>
              <c:f>HPC!$A$15</c:f>
              <c:strCache>
                <c:ptCount val="1"/>
                <c:pt idx="0">
                  <c:v>Trillium North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HPC!$B$15:$M$15</c:f>
              <c:numCache>
                <c:formatCode>General</c:formatCode>
                <c:ptCount val="12"/>
                <c:pt idx="7" formatCode="0.0%">
                  <c:v>0.35200000000000004</c:v>
                </c:pt>
                <c:pt idx="8" formatCode="0.0%">
                  <c:v>0.24100000000000002</c:v>
                </c:pt>
                <c:pt idx="9" formatCode="0.0%">
                  <c:v>0.20399999999999999</c:v>
                </c:pt>
                <c:pt idx="10" formatCode="0.0%">
                  <c:v>0.218</c:v>
                </c:pt>
                <c:pt idx="11" formatCode="0.0%">
                  <c:v>0.161</c:v>
                </c:pt>
              </c:numCache>
            </c:numRef>
          </c:val>
          <c:smooth val="0"/>
          <c:extLst>
            <c:ext xmlns:c16="http://schemas.microsoft.com/office/drawing/2014/chart" uri="{C3380CC4-5D6E-409C-BE32-E72D297353CC}">
              <c16:uniqueId val="{0000000D-A88A-4BE0-A623-CCF3545F1F64}"/>
            </c:ext>
          </c:extLst>
        </c:ser>
        <c:ser>
          <c:idx val="14"/>
          <c:order val="14"/>
          <c:tx>
            <c:strRef>
              <c:f>HPC!$A$16</c:f>
              <c:strCache>
                <c:ptCount val="1"/>
                <c:pt idx="0">
                  <c:v>Trillium South</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HPC!$B$16:$M$16</c:f>
              <c:numCache>
                <c:formatCode>0.0%</c:formatCode>
                <c:ptCount val="12"/>
                <c:pt idx="0">
                  <c:v>0.26300000000000001</c:v>
                </c:pt>
                <c:pt idx="1">
                  <c:v>0.22899999999999998</c:v>
                </c:pt>
                <c:pt idx="2">
                  <c:v>0.222</c:v>
                </c:pt>
                <c:pt idx="3">
                  <c:v>0.187</c:v>
                </c:pt>
                <c:pt idx="4">
                  <c:v>0.19700000000000001</c:v>
                </c:pt>
                <c:pt idx="5">
                  <c:v>0.16399999999999998</c:v>
                </c:pt>
                <c:pt idx="6">
                  <c:v>0.30199999999999999</c:v>
                </c:pt>
                <c:pt idx="7">
                  <c:v>0.30299999999999999</c:v>
                </c:pt>
                <c:pt idx="8">
                  <c:v>0.217</c:v>
                </c:pt>
                <c:pt idx="9">
                  <c:v>0.245</c:v>
                </c:pt>
                <c:pt idx="10">
                  <c:v>0.184</c:v>
                </c:pt>
                <c:pt idx="11">
                  <c:v>0.20200000000000001</c:v>
                </c:pt>
              </c:numCache>
            </c:numRef>
          </c:val>
          <c:smooth val="0"/>
          <c:extLst>
            <c:ext xmlns:c16="http://schemas.microsoft.com/office/drawing/2014/chart" uri="{C3380CC4-5D6E-409C-BE32-E72D297353CC}">
              <c16:uniqueId val="{0000000E-A88A-4BE0-A623-CCF3545F1F64}"/>
            </c:ext>
          </c:extLst>
        </c:ser>
        <c:ser>
          <c:idx val="15"/>
          <c:order val="15"/>
          <c:tx>
            <c:strRef>
              <c:f>HPC!$A$17</c:f>
              <c:strCache>
                <c:ptCount val="1"/>
                <c:pt idx="0">
                  <c:v>Umpqua Health Alliance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HPC!$B$17:$M$17</c:f>
              <c:numCache>
                <c:formatCode>0.0%</c:formatCode>
                <c:ptCount val="12"/>
                <c:pt idx="0">
                  <c:v>0.28399999999999997</c:v>
                </c:pt>
                <c:pt idx="1">
                  <c:v>0.27100000000000002</c:v>
                </c:pt>
                <c:pt idx="2">
                  <c:v>0.22899999999999998</c:v>
                </c:pt>
                <c:pt idx="3">
                  <c:v>0.21</c:v>
                </c:pt>
                <c:pt idx="4">
                  <c:v>0.23699999999999999</c:v>
                </c:pt>
                <c:pt idx="5">
                  <c:v>0.26</c:v>
                </c:pt>
                <c:pt idx="6">
                  <c:v>0.33200000000000002</c:v>
                </c:pt>
                <c:pt idx="7">
                  <c:v>0.42600000000000005</c:v>
                </c:pt>
                <c:pt idx="8">
                  <c:v>0.38700000000000001</c:v>
                </c:pt>
                <c:pt idx="9">
                  <c:v>0.31</c:v>
                </c:pt>
                <c:pt idx="10">
                  <c:v>0.23499999999999999</c:v>
                </c:pt>
                <c:pt idx="11">
                  <c:v>0.21299999999999999</c:v>
                </c:pt>
              </c:numCache>
            </c:numRef>
          </c:val>
          <c:smooth val="0"/>
          <c:extLst>
            <c:ext xmlns:c16="http://schemas.microsoft.com/office/drawing/2014/chart" uri="{C3380CC4-5D6E-409C-BE32-E72D297353CC}">
              <c16:uniqueId val="{0000000F-A88A-4BE0-A623-CCF3545F1F64}"/>
            </c:ext>
          </c:extLst>
        </c:ser>
        <c:ser>
          <c:idx val="16"/>
          <c:order val="16"/>
          <c:tx>
            <c:strRef>
              <c:f>HPC!$A$18</c:f>
              <c:strCache>
                <c:ptCount val="1"/>
                <c:pt idx="0">
                  <c:v>Yamhill Community Care</c:v>
                </c:pt>
              </c:strCache>
            </c:strRef>
          </c:tx>
          <c:spPr>
            <a:ln w="28575" cap="rnd">
              <a:noFill/>
              <a:round/>
            </a:ln>
            <a:effectLst/>
          </c:spPr>
          <c:marker>
            <c:symbol val="circle"/>
            <c:size val="6"/>
            <c:spPr>
              <a:noFill/>
              <a:ln w="9525">
                <a:solidFill>
                  <a:srgbClr val="606060"/>
                </a:solidFill>
              </a:ln>
              <a:effectLst/>
            </c:spPr>
          </c:marker>
          <c:cat>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HPC!$B$18:$M$18</c:f>
              <c:numCache>
                <c:formatCode>0.0%</c:formatCode>
                <c:ptCount val="12"/>
                <c:pt idx="0">
                  <c:v>0.23699999999999999</c:v>
                </c:pt>
                <c:pt idx="1">
                  <c:v>0.22600000000000001</c:v>
                </c:pt>
                <c:pt idx="2">
                  <c:v>0.25600000000000001</c:v>
                </c:pt>
                <c:pt idx="3">
                  <c:v>0.253</c:v>
                </c:pt>
                <c:pt idx="4">
                  <c:v>0.28000000000000003</c:v>
                </c:pt>
                <c:pt idx="5">
                  <c:v>0.25900000000000001</c:v>
                </c:pt>
                <c:pt idx="6">
                  <c:v>0.3</c:v>
                </c:pt>
                <c:pt idx="7">
                  <c:v>0.26800000000000002</c:v>
                </c:pt>
                <c:pt idx="8">
                  <c:v>0.25600000000000001</c:v>
                </c:pt>
                <c:pt idx="9">
                  <c:v>0.24299999999999999</c:v>
                </c:pt>
                <c:pt idx="10">
                  <c:v>0.19400000000000001</c:v>
                </c:pt>
                <c:pt idx="11">
                  <c:v>0.222</c:v>
                </c:pt>
              </c:numCache>
            </c:numRef>
          </c:val>
          <c:smooth val="0"/>
          <c:extLst>
            <c:ext xmlns:c16="http://schemas.microsoft.com/office/drawing/2014/chart" uri="{C3380CC4-5D6E-409C-BE32-E72D297353CC}">
              <c16:uniqueId val="{00000010-A88A-4BE0-A623-CCF3545F1F64}"/>
            </c:ext>
          </c:extLst>
        </c:ser>
        <c:dLbls>
          <c:showLegendKey val="0"/>
          <c:showVal val="0"/>
          <c:showCatName val="0"/>
          <c:showSerName val="0"/>
          <c:showPercent val="0"/>
          <c:showBubbleSize val="0"/>
        </c:dLbls>
        <c:marker val="1"/>
        <c:smooth val="0"/>
        <c:axId val="818639439"/>
        <c:axId val="818644719"/>
      </c:lineChart>
      <c:scatterChart>
        <c:scatterStyle val="lineMarker"/>
        <c:varyColors val="0"/>
        <c:ser>
          <c:idx val="18"/>
          <c:order val="17"/>
          <c:tx>
            <c:strRef>
              <c:f>HPC!$A$20</c:f>
              <c:strCache>
                <c:ptCount val="1"/>
                <c:pt idx="0">
                  <c:v>CCO statewide</c:v>
                </c:pt>
              </c:strCache>
            </c:strRef>
          </c:tx>
          <c:spPr>
            <a:ln w="25400" cap="rnd">
              <a:noFill/>
              <a:round/>
            </a:ln>
            <a:effectLst/>
          </c:spPr>
          <c:marker>
            <c:symbol val="circle"/>
            <c:size val="6"/>
            <c:spPr>
              <a:solidFill>
                <a:schemeClr val="accent1">
                  <a:lumMod val="75000"/>
                </a:schemeClr>
              </a:solidFill>
              <a:ln w="9525">
                <a:solidFill>
                  <a:schemeClr val="accent1">
                    <a:lumMod val="75000"/>
                  </a:schemeClr>
                </a:solidFill>
              </a:ln>
              <a:effectLst/>
            </c:spPr>
          </c:marker>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HPC!$B$20:$M$20</c:f>
              <c:numCache>
                <c:formatCode>0.0%</c:formatCode>
                <c:ptCount val="12"/>
                <c:pt idx="0">
                  <c:v>0.26300000000000001</c:v>
                </c:pt>
                <c:pt idx="1">
                  <c:v>0.26700000000000002</c:v>
                </c:pt>
                <c:pt idx="2">
                  <c:v>0.254</c:v>
                </c:pt>
                <c:pt idx="3">
                  <c:v>0.23600000000000002</c:v>
                </c:pt>
                <c:pt idx="4">
                  <c:v>0.23399999999999999</c:v>
                </c:pt>
                <c:pt idx="5">
                  <c:v>0.215</c:v>
                </c:pt>
                <c:pt idx="6">
                  <c:v>0.28999999999999998</c:v>
                </c:pt>
                <c:pt idx="7">
                  <c:v>0.27</c:v>
                </c:pt>
                <c:pt idx="8">
                  <c:v>0.25900000000000001</c:v>
                </c:pt>
                <c:pt idx="9">
                  <c:v>0.246</c:v>
                </c:pt>
                <c:pt idx="10">
                  <c:v>0.22900000000000001</c:v>
                </c:pt>
                <c:pt idx="11">
                  <c:v>0.21</c:v>
                </c:pt>
              </c:numCache>
            </c:numRef>
          </c:yVal>
          <c:smooth val="0"/>
          <c:extLst>
            <c:ext xmlns:c16="http://schemas.microsoft.com/office/drawing/2014/chart" uri="{C3380CC4-5D6E-409C-BE32-E72D297353CC}">
              <c16:uniqueId val="{00000011-A88A-4BE0-A623-CCF3545F1F64}"/>
            </c:ext>
          </c:extLst>
        </c:ser>
        <c:ser>
          <c:idx val="17"/>
          <c:order val="18"/>
          <c:tx>
            <c:strRef>
              <c:f>HPC!$A$19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HPC!$B$19:$M$19</c:f>
              <c:numCache>
                <c:formatCode>0.0%</c:formatCode>
                <c:ptCount val="12"/>
                <c:pt idx="0">
                  <c:v>0.23699999999999999</c:v>
                </c:pt>
                <c:pt idx="1">
                  <c:v>0.22600000000000001</c:v>
                </c:pt>
                <c:pt idx="2">
                  <c:v>0.25600000000000001</c:v>
                </c:pt>
                <c:pt idx="3">
                  <c:v>0.253</c:v>
                </c:pt>
                <c:pt idx="4">
                  <c:v>0.28000000000000003</c:v>
                </c:pt>
                <c:pt idx="5">
                  <c:v>0.25900000000000001</c:v>
                </c:pt>
                <c:pt idx="6">
                  <c:v>0.3</c:v>
                </c:pt>
                <c:pt idx="7">
                  <c:v>0.26800000000000002</c:v>
                </c:pt>
                <c:pt idx="8">
                  <c:v>0.25600000000000001</c:v>
                </c:pt>
                <c:pt idx="9">
                  <c:v>0.24299999999999999</c:v>
                </c:pt>
                <c:pt idx="10">
                  <c:v>0.19400000000000001</c:v>
                </c:pt>
                <c:pt idx="11">
                  <c:v>0.222</c:v>
                </c:pt>
              </c:numCache>
            </c:numRef>
          </c:yVal>
          <c:smooth val="0"/>
          <c:extLst>
            <c:ext xmlns:c16="http://schemas.microsoft.com/office/drawing/2014/chart" uri="{C3380CC4-5D6E-409C-BE32-E72D297353CC}">
              <c16:uniqueId val="{00000012-A88A-4BE0-A623-CCF3545F1F64}"/>
            </c:ext>
          </c:extLst>
        </c:ser>
        <c:ser>
          <c:idx val="19"/>
          <c:order val="19"/>
          <c:tx>
            <c:strRef>
              <c:f>HPC!$A$21</c:f>
              <c:strCache>
                <c:ptCount val="1"/>
                <c:pt idx="0">
                  <c:v>Benchmark</c:v>
                </c:pt>
              </c:strCache>
            </c:strRef>
          </c:tx>
          <c:spPr>
            <a:ln w="25400" cap="rnd">
              <a:noFill/>
              <a:round/>
            </a:ln>
            <a:effectLst/>
          </c:spPr>
          <c:marker>
            <c:symbol val="dash"/>
            <c:size val="14"/>
            <c:spPr>
              <a:solidFill>
                <a:schemeClr val="accent2">
                  <a:lumMod val="75000"/>
                </a:schemeClr>
              </a:solidFill>
              <a:ln w="9525">
                <a:solidFill>
                  <a:schemeClr val="bg1"/>
                </a:solidFill>
              </a:ln>
              <a:effectLst/>
            </c:spPr>
          </c:marker>
          <c:dLbls>
            <c:dLbl>
              <c:idx val="0"/>
              <c:tx>
                <c:rich>
                  <a:bodyPr/>
                  <a:lstStyle/>
                  <a:p>
                    <a:r>
                      <a:rPr lang="en-US" sz="1100">
                        <a:solidFill>
                          <a:schemeClr val="accent2">
                            <a:lumMod val="50000"/>
                          </a:schemeClr>
                        </a:solidFill>
                      </a:rPr>
                      <a:t>Punto de referencia</a:t>
                    </a:r>
                    <a:endParaRPr lang="en-US">
                      <a:solidFill>
                        <a:schemeClr val="accent2">
                          <a:lumMod val="50000"/>
                        </a:schemeClr>
                      </a:solidFill>
                    </a:endParaRP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A88A-4BE0-A623-CCF3545F1F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HPC!$B$1:$M$1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HPC!$B$21:$M$21</c:f>
              <c:numCache>
                <c:formatCode>0.0%</c:formatCode>
                <c:ptCount val="12"/>
                <c:pt idx="0">
                  <c:v>0.34</c:v>
                </c:pt>
                <c:pt idx="1">
                  <c:v>0.34</c:v>
                </c:pt>
                <c:pt idx="2">
                  <c:v>0.19</c:v>
                </c:pt>
                <c:pt idx="3">
                  <c:v>0.19</c:v>
                </c:pt>
                <c:pt idx="4">
                  <c:v>0.22600000000000001</c:v>
                </c:pt>
                <c:pt idx="5">
                  <c:v>0.217</c:v>
                </c:pt>
                <c:pt idx="6">
                  <c:v>0.23400000000000001</c:v>
                </c:pt>
                <c:pt idx="7">
                  <c:v>0.33300000000000002</c:v>
                </c:pt>
                <c:pt idx="8">
                  <c:v>0.27500000000000002</c:v>
                </c:pt>
                <c:pt idx="9">
                  <c:v>0.248</c:v>
                </c:pt>
                <c:pt idx="10">
                  <c:v>0.21100000000000002</c:v>
                </c:pt>
                <c:pt idx="11">
                  <c:v>0.2</c:v>
                </c:pt>
              </c:numCache>
            </c:numRef>
          </c:yVal>
          <c:smooth val="0"/>
          <c:extLst>
            <c:ext xmlns:c16="http://schemas.microsoft.com/office/drawing/2014/chart" uri="{C3380CC4-5D6E-409C-BE32-E72D297353CC}">
              <c16:uniqueId val="{00000014-A88A-4BE0-A623-CCF3545F1F64}"/>
            </c:ext>
          </c:extLst>
        </c:ser>
        <c:dLbls>
          <c:showLegendKey val="0"/>
          <c:showVal val="0"/>
          <c:showCatName val="0"/>
          <c:showSerName val="0"/>
          <c:showPercent val="0"/>
          <c:showBubbleSize val="0"/>
        </c:dLbls>
        <c:axId val="818639439"/>
        <c:axId val="818644719"/>
      </c:scatterChart>
      <c:catAx>
        <c:axId val="818639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818644719"/>
        <c:crosses val="autoZero"/>
        <c:auto val="1"/>
        <c:lblAlgn val="ctr"/>
        <c:lblOffset val="100"/>
        <c:noMultiLvlLbl val="0"/>
      </c:catAx>
      <c:valAx>
        <c:axId val="818644719"/>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818639439"/>
        <c:crosses val="autoZero"/>
        <c:crossBetween val="between"/>
        <c:majorUnit val="0.5"/>
        <c:min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Inicio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048162729658793"/>
          <c:y val="0.1403371453568304"/>
          <c:w val="0.84896281714785649"/>
          <c:h val="0.6699143857017873"/>
        </c:manualLayout>
      </c:layout>
      <c:lineChart>
        <c:grouping val="standard"/>
        <c:varyColors val="0"/>
        <c:ser>
          <c:idx val="12"/>
          <c:order val="16"/>
          <c:tx>
            <c:strRef>
              <c:f>IET_INI_18!$A$18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IET_INI_18!$B$1:$H$1</c:f>
              <c:strCache>
                <c:ptCount val="7"/>
                <c:pt idx="0">
                  <c:v>'19</c:v>
                </c:pt>
                <c:pt idx="1">
                  <c:v>'20</c:v>
                </c:pt>
                <c:pt idx="2">
                  <c:v>'21</c:v>
                </c:pt>
                <c:pt idx="3">
                  <c:v>'22</c:v>
                </c:pt>
                <c:pt idx="4">
                  <c:v>'23</c:v>
                </c:pt>
                <c:pt idx="5">
                  <c:v>'24</c:v>
                </c:pt>
                <c:pt idx="6">
                  <c:v>'25</c:v>
                </c:pt>
              </c:strCache>
            </c:strRef>
          </c:cat>
          <c:val>
            <c:numRef>
              <c:f>IET_INI_18!$B$18:$H$18</c:f>
              <c:numCache>
                <c:formatCode>0.0%</c:formatCode>
                <c:ptCount val="7"/>
                <c:pt idx="0">
                  <c:v>0.37</c:v>
                </c:pt>
                <c:pt idx="1">
                  <c:v>0.42499999999999999</c:v>
                </c:pt>
                <c:pt idx="2">
                  <c:v>0.42200000000000004</c:v>
                </c:pt>
                <c:pt idx="3">
                  <c:v>0.40799999999999997</c:v>
                </c:pt>
                <c:pt idx="4">
                  <c:v>0.41699999999999998</c:v>
                </c:pt>
                <c:pt idx="5">
                  <c:v>0.36700000000000005</c:v>
                </c:pt>
                <c:pt idx="6">
                  <c:v>0.39600000000000002</c:v>
                </c:pt>
              </c:numCache>
            </c:numRef>
          </c:val>
          <c:smooth val="0"/>
          <c:extLst>
            <c:ext xmlns:c16="http://schemas.microsoft.com/office/drawing/2014/chart" uri="{C3380CC4-5D6E-409C-BE32-E72D297353CC}">
              <c16:uniqueId val="{00000000-583D-4CE2-9F8F-DD89CA0FBF4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IET_INI_18!$A$2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IET_INI_18!$B$2:$H$2</c:f>
              <c:numCache>
                <c:formatCode>0.0%</c:formatCode>
                <c:ptCount val="7"/>
                <c:pt idx="0">
                  <c:v>0.30100000000000005</c:v>
                </c:pt>
                <c:pt idx="1">
                  <c:v>0.378</c:v>
                </c:pt>
                <c:pt idx="2">
                  <c:v>0.316</c:v>
                </c:pt>
                <c:pt idx="3">
                  <c:v>0.34500000000000003</c:v>
                </c:pt>
                <c:pt idx="4">
                  <c:v>0.378</c:v>
                </c:pt>
                <c:pt idx="5">
                  <c:v>0.42699999999999994</c:v>
                </c:pt>
                <c:pt idx="6">
                  <c:v>0.44500000000000001</c:v>
                </c:pt>
              </c:numCache>
            </c:numRef>
          </c:yVal>
          <c:smooth val="0"/>
          <c:extLst>
            <c:ext xmlns:c16="http://schemas.microsoft.com/office/drawing/2014/chart" uri="{C3380CC4-5D6E-409C-BE32-E72D297353CC}">
              <c16:uniqueId val="{00000001-583D-4CE2-9F8F-DD89CA0FBF4E}"/>
            </c:ext>
          </c:extLst>
        </c:ser>
        <c:ser>
          <c:idx val="1"/>
          <c:order val="1"/>
          <c:tx>
            <c:strRef>
              <c:f>IET_INI_18!$A$3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IET_INI_18!$B$3:$H$3</c:f>
              <c:numCache>
                <c:formatCode>0.0%</c:formatCode>
                <c:ptCount val="7"/>
                <c:pt idx="0">
                  <c:v>0.36100000000000004</c:v>
                </c:pt>
                <c:pt idx="1">
                  <c:v>0.36499999999999999</c:v>
                </c:pt>
                <c:pt idx="2">
                  <c:v>0.36700000000000005</c:v>
                </c:pt>
                <c:pt idx="3">
                  <c:v>0.34500000000000003</c:v>
                </c:pt>
                <c:pt idx="4">
                  <c:v>0.376</c:v>
                </c:pt>
                <c:pt idx="5">
                  <c:v>0.38299999999999995</c:v>
                </c:pt>
                <c:pt idx="6">
                  <c:v>0.41499999999999998</c:v>
                </c:pt>
              </c:numCache>
            </c:numRef>
          </c:yVal>
          <c:smooth val="0"/>
          <c:extLst>
            <c:ext xmlns:c16="http://schemas.microsoft.com/office/drawing/2014/chart" uri="{C3380CC4-5D6E-409C-BE32-E72D297353CC}">
              <c16:uniqueId val="{00000002-583D-4CE2-9F8F-DD89CA0FBF4E}"/>
            </c:ext>
          </c:extLst>
        </c:ser>
        <c:ser>
          <c:idx val="2"/>
          <c:order val="2"/>
          <c:tx>
            <c:strRef>
              <c:f>IET_INI_18!$A$4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IET_INI_18!$B$4:$H$4</c:f>
              <c:numCache>
                <c:formatCode>0.0%</c:formatCode>
                <c:ptCount val="7"/>
                <c:pt idx="0">
                  <c:v>0.41299999999999998</c:v>
                </c:pt>
                <c:pt idx="1">
                  <c:v>0.44500000000000001</c:v>
                </c:pt>
                <c:pt idx="2">
                  <c:v>0.45299999999999996</c:v>
                </c:pt>
                <c:pt idx="3">
                  <c:v>0.45200000000000001</c:v>
                </c:pt>
                <c:pt idx="4">
                  <c:v>0.46899999999999997</c:v>
                </c:pt>
                <c:pt idx="5">
                  <c:v>0.43700000000000006</c:v>
                </c:pt>
                <c:pt idx="6">
                  <c:v>0.47499999999999998</c:v>
                </c:pt>
              </c:numCache>
            </c:numRef>
          </c:yVal>
          <c:smooth val="0"/>
          <c:extLst>
            <c:ext xmlns:c16="http://schemas.microsoft.com/office/drawing/2014/chart" uri="{C3380CC4-5D6E-409C-BE32-E72D297353CC}">
              <c16:uniqueId val="{00000003-583D-4CE2-9F8F-DD89CA0FBF4E}"/>
            </c:ext>
          </c:extLst>
        </c:ser>
        <c:ser>
          <c:idx val="3"/>
          <c:order val="3"/>
          <c:tx>
            <c:strRef>
              <c:f>IET_INI_18!$A$5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IET_INI_18!$B$5:$H$5</c:f>
              <c:numCache>
                <c:formatCode>0.0%</c:formatCode>
                <c:ptCount val="7"/>
                <c:pt idx="0">
                  <c:v>0.38400000000000001</c:v>
                </c:pt>
                <c:pt idx="1">
                  <c:v>0.41200000000000003</c:v>
                </c:pt>
                <c:pt idx="2">
                  <c:v>0.38400000000000001</c:v>
                </c:pt>
                <c:pt idx="3">
                  <c:v>0.39200000000000002</c:v>
                </c:pt>
                <c:pt idx="4">
                  <c:v>0.372</c:v>
                </c:pt>
                <c:pt idx="5">
                  <c:v>0.36700000000000005</c:v>
                </c:pt>
                <c:pt idx="6">
                  <c:v>0.36299999999999999</c:v>
                </c:pt>
              </c:numCache>
            </c:numRef>
          </c:yVal>
          <c:smooth val="0"/>
          <c:extLst>
            <c:ext xmlns:c16="http://schemas.microsoft.com/office/drawing/2014/chart" uri="{C3380CC4-5D6E-409C-BE32-E72D297353CC}">
              <c16:uniqueId val="{00000004-583D-4CE2-9F8F-DD89CA0FBF4E}"/>
            </c:ext>
          </c:extLst>
        </c:ser>
        <c:ser>
          <c:idx val="4"/>
          <c:order val="4"/>
          <c:tx>
            <c:strRef>
              <c:f>IET_INI_18!$A$6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IET_INI_18!$B$6:$H$6</c:f>
              <c:numCache>
                <c:formatCode>0.0%</c:formatCode>
                <c:ptCount val="7"/>
                <c:pt idx="0">
                  <c:v>0.371</c:v>
                </c:pt>
                <c:pt idx="1">
                  <c:v>0.35799999999999998</c:v>
                </c:pt>
                <c:pt idx="2">
                  <c:v>0.373</c:v>
                </c:pt>
                <c:pt idx="3">
                  <c:v>0.38500000000000001</c:v>
                </c:pt>
                <c:pt idx="4">
                  <c:v>0.37</c:v>
                </c:pt>
                <c:pt idx="5">
                  <c:v>0.36799999999999999</c:v>
                </c:pt>
                <c:pt idx="6">
                  <c:v>0.36299999999999999</c:v>
                </c:pt>
              </c:numCache>
            </c:numRef>
          </c:yVal>
          <c:smooth val="0"/>
          <c:extLst>
            <c:ext xmlns:c16="http://schemas.microsoft.com/office/drawing/2014/chart" uri="{C3380CC4-5D6E-409C-BE32-E72D297353CC}">
              <c16:uniqueId val="{00000005-583D-4CE2-9F8F-DD89CA0FBF4E}"/>
            </c:ext>
          </c:extLst>
        </c:ser>
        <c:ser>
          <c:idx val="5"/>
          <c:order val="5"/>
          <c:tx>
            <c:strRef>
              <c:f>IET_INI_18!$A$7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IET_INI_18!$B$7:$H$7</c:f>
              <c:numCache>
                <c:formatCode>0.0%</c:formatCode>
                <c:ptCount val="7"/>
                <c:pt idx="0">
                  <c:v>0.39500000000000002</c:v>
                </c:pt>
                <c:pt idx="1">
                  <c:v>0.40399999999999997</c:v>
                </c:pt>
                <c:pt idx="2">
                  <c:v>0.40600000000000003</c:v>
                </c:pt>
                <c:pt idx="3">
                  <c:v>0.42899999999999999</c:v>
                </c:pt>
                <c:pt idx="4">
                  <c:v>0.46100000000000002</c:v>
                </c:pt>
                <c:pt idx="5">
                  <c:v>0.46500000000000002</c:v>
                </c:pt>
                <c:pt idx="6">
                  <c:v>0.46</c:v>
                </c:pt>
              </c:numCache>
            </c:numRef>
          </c:yVal>
          <c:smooth val="0"/>
          <c:extLst>
            <c:ext xmlns:c16="http://schemas.microsoft.com/office/drawing/2014/chart" uri="{C3380CC4-5D6E-409C-BE32-E72D297353CC}">
              <c16:uniqueId val="{00000006-583D-4CE2-9F8F-DD89CA0FBF4E}"/>
            </c:ext>
          </c:extLst>
        </c:ser>
        <c:ser>
          <c:idx val="6"/>
          <c:order val="6"/>
          <c:tx>
            <c:strRef>
              <c:f>IET_INI_18!$A$8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IET_INI_18!$B$8:$H$8</c:f>
              <c:numCache>
                <c:formatCode>0.0%</c:formatCode>
                <c:ptCount val="7"/>
                <c:pt idx="0">
                  <c:v>0.38400000000000001</c:v>
                </c:pt>
                <c:pt idx="1">
                  <c:v>0.39</c:v>
                </c:pt>
                <c:pt idx="2">
                  <c:v>0.36700000000000005</c:v>
                </c:pt>
                <c:pt idx="3">
                  <c:v>0.39700000000000002</c:v>
                </c:pt>
                <c:pt idx="4">
                  <c:v>0.377</c:v>
                </c:pt>
                <c:pt idx="5">
                  <c:v>0.38299999999999995</c:v>
                </c:pt>
                <c:pt idx="6">
                  <c:v>0.42099999999999999</c:v>
                </c:pt>
              </c:numCache>
            </c:numRef>
          </c:yVal>
          <c:smooth val="0"/>
          <c:extLst>
            <c:ext xmlns:c16="http://schemas.microsoft.com/office/drawing/2014/chart" uri="{C3380CC4-5D6E-409C-BE32-E72D297353CC}">
              <c16:uniqueId val="{00000007-583D-4CE2-9F8F-DD89CA0FBF4E}"/>
            </c:ext>
          </c:extLst>
        </c:ser>
        <c:ser>
          <c:idx val="7"/>
          <c:order val="7"/>
          <c:tx>
            <c:strRef>
              <c:f>IET_INI_18!$A$9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IET_INI_18!$B$9:$H$9</c:f>
              <c:numCache>
                <c:formatCode>0.0%</c:formatCode>
                <c:ptCount val="7"/>
                <c:pt idx="0">
                  <c:v>0.40700000000000003</c:v>
                </c:pt>
                <c:pt idx="1">
                  <c:v>0.41299999999999998</c:v>
                </c:pt>
                <c:pt idx="2">
                  <c:v>0.39500000000000002</c:v>
                </c:pt>
                <c:pt idx="3">
                  <c:v>0.38600000000000001</c:v>
                </c:pt>
                <c:pt idx="4">
                  <c:v>0.41599999999999998</c:v>
                </c:pt>
                <c:pt idx="5">
                  <c:v>0.44</c:v>
                </c:pt>
                <c:pt idx="6">
                  <c:v>0.40100000000000002</c:v>
                </c:pt>
              </c:numCache>
            </c:numRef>
          </c:yVal>
          <c:smooth val="0"/>
          <c:extLst>
            <c:ext xmlns:c16="http://schemas.microsoft.com/office/drawing/2014/chart" uri="{C3380CC4-5D6E-409C-BE32-E72D297353CC}">
              <c16:uniqueId val="{00000008-583D-4CE2-9F8F-DD89CA0FBF4E}"/>
            </c:ext>
          </c:extLst>
        </c:ser>
        <c:ser>
          <c:idx val="8"/>
          <c:order val="8"/>
          <c:tx>
            <c:strRef>
              <c:f>IET_INI_18!$A$10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IET_INI_18!$B$10:$H$10</c:f>
              <c:numCache>
                <c:formatCode>0.0%</c:formatCode>
                <c:ptCount val="7"/>
                <c:pt idx="0">
                  <c:v>0.36</c:v>
                </c:pt>
                <c:pt idx="1">
                  <c:v>0.34500000000000003</c:v>
                </c:pt>
                <c:pt idx="2">
                  <c:v>0.36600000000000005</c:v>
                </c:pt>
                <c:pt idx="3">
                  <c:v>0.47100000000000003</c:v>
                </c:pt>
                <c:pt idx="4">
                  <c:v>0.42</c:v>
                </c:pt>
                <c:pt idx="5">
                  <c:v>0.40100000000000002</c:v>
                </c:pt>
                <c:pt idx="6">
                  <c:v>0.41</c:v>
                </c:pt>
              </c:numCache>
            </c:numRef>
          </c:yVal>
          <c:smooth val="0"/>
          <c:extLst>
            <c:ext xmlns:c16="http://schemas.microsoft.com/office/drawing/2014/chart" uri="{C3380CC4-5D6E-409C-BE32-E72D297353CC}">
              <c16:uniqueId val="{00000009-583D-4CE2-9F8F-DD89CA0FBF4E}"/>
            </c:ext>
          </c:extLst>
        </c:ser>
        <c:ser>
          <c:idx val="9"/>
          <c:order val="9"/>
          <c:tx>
            <c:strRef>
              <c:f>IET_INI_18!$A$11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IET_INI_18!$B$11:$H$11</c:f>
              <c:numCache>
                <c:formatCode>0.0%</c:formatCode>
                <c:ptCount val="7"/>
                <c:pt idx="0">
                  <c:v>0.36600000000000005</c:v>
                </c:pt>
                <c:pt idx="1">
                  <c:v>0.42499999999999999</c:v>
                </c:pt>
                <c:pt idx="2">
                  <c:v>0.379</c:v>
                </c:pt>
                <c:pt idx="3">
                  <c:v>0.46200000000000002</c:v>
                </c:pt>
                <c:pt idx="4">
                  <c:v>0.4</c:v>
                </c:pt>
                <c:pt idx="5">
                  <c:v>0.34499999999999997</c:v>
                </c:pt>
                <c:pt idx="6">
                  <c:v>0.28000000000000003</c:v>
                </c:pt>
              </c:numCache>
            </c:numRef>
          </c:yVal>
          <c:smooth val="0"/>
          <c:extLst>
            <c:ext xmlns:c16="http://schemas.microsoft.com/office/drawing/2014/chart" uri="{C3380CC4-5D6E-409C-BE32-E72D297353CC}">
              <c16:uniqueId val="{0000000A-583D-4CE2-9F8F-DD89CA0FBF4E}"/>
            </c:ext>
          </c:extLst>
        </c:ser>
        <c:ser>
          <c:idx val="10"/>
          <c:order val="10"/>
          <c:tx>
            <c:strRef>
              <c:f>IET_INI_18!$A$12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IET_INI_18!$B$12:$H$12</c:f>
              <c:numCache>
                <c:formatCode>0.0%</c:formatCode>
                <c:ptCount val="7"/>
                <c:pt idx="1">
                  <c:v>0.42100000000000004</c:v>
                </c:pt>
                <c:pt idx="2">
                  <c:v>0.42700000000000005</c:v>
                </c:pt>
                <c:pt idx="3">
                  <c:v>0.5</c:v>
                </c:pt>
                <c:pt idx="4">
                  <c:v>0.41499999999999998</c:v>
                </c:pt>
                <c:pt idx="5">
                  <c:v>0.39399999999999996</c:v>
                </c:pt>
                <c:pt idx="6">
                  <c:v>0.41799999999999998</c:v>
                </c:pt>
              </c:numCache>
            </c:numRef>
          </c:yVal>
          <c:smooth val="0"/>
          <c:extLst>
            <c:ext xmlns:c16="http://schemas.microsoft.com/office/drawing/2014/chart" uri="{C3380CC4-5D6E-409C-BE32-E72D297353CC}">
              <c16:uniqueId val="{0000000B-583D-4CE2-9F8F-DD89CA0FBF4E}"/>
            </c:ext>
          </c:extLst>
        </c:ser>
        <c:ser>
          <c:idx val="11"/>
          <c:order val="11"/>
          <c:tx>
            <c:strRef>
              <c:f>IET_INI_18!$A$13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IET_INI_18!$B$13:$H$13</c:f>
              <c:numCache>
                <c:formatCode>0.0%</c:formatCode>
                <c:ptCount val="7"/>
                <c:pt idx="1">
                  <c:v>0.38</c:v>
                </c:pt>
                <c:pt idx="2">
                  <c:v>0.39700000000000002</c:v>
                </c:pt>
                <c:pt idx="3">
                  <c:v>0.46299999999999997</c:v>
                </c:pt>
                <c:pt idx="4">
                  <c:v>0.41099999999999998</c:v>
                </c:pt>
                <c:pt idx="5">
                  <c:v>0.379</c:v>
                </c:pt>
                <c:pt idx="6">
                  <c:v>0.38300000000000001</c:v>
                </c:pt>
              </c:numCache>
            </c:numRef>
          </c:yVal>
          <c:smooth val="0"/>
          <c:extLst>
            <c:ext xmlns:c16="http://schemas.microsoft.com/office/drawing/2014/chart" uri="{C3380CC4-5D6E-409C-BE32-E72D297353CC}">
              <c16:uniqueId val="{0000000C-583D-4CE2-9F8F-DD89CA0FBF4E}"/>
            </c:ext>
          </c:extLst>
        </c:ser>
        <c:ser>
          <c:idx val="13"/>
          <c:order val="12"/>
          <c:tx>
            <c:strRef>
              <c:f>IET_INI_18!$A$14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583D-4CE2-9F8F-DD89CA0FBF4E}"/>
              </c:ext>
            </c:extLst>
          </c:dPt>
          <c:xVal>
            <c:strRef>
              <c:f>IET_INI_18!$B$1:$H$1</c:f>
              <c:strCache>
                <c:ptCount val="7"/>
                <c:pt idx="0">
                  <c:v>'19</c:v>
                </c:pt>
                <c:pt idx="1">
                  <c:v>'20</c:v>
                </c:pt>
                <c:pt idx="2">
                  <c:v>'21</c:v>
                </c:pt>
                <c:pt idx="3">
                  <c:v>'22</c:v>
                </c:pt>
                <c:pt idx="4">
                  <c:v>'23</c:v>
                </c:pt>
                <c:pt idx="5">
                  <c:v>'24</c:v>
                </c:pt>
                <c:pt idx="6">
                  <c:v>'25</c:v>
                </c:pt>
              </c:strCache>
            </c:strRef>
          </c:xVal>
          <c:yVal>
            <c:numRef>
              <c:f>IET_INI_18!$B$14:$H$14</c:f>
              <c:numCache>
                <c:formatCode>0.0%</c:formatCode>
                <c:ptCount val="7"/>
                <c:pt idx="0">
                  <c:v>0.38400000000000001</c:v>
                </c:pt>
                <c:pt idx="1">
                  <c:v>0.39299999999999996</c:v>
                </c:pt>
                <c:pt idx="2">
                  <c:v>0.39300000000000002</c:v>
                </c:pt>
                <c:pt idx="3">
                  <c:v>0.42399999999999999</c:v>
                </c:pt>
                <c:pt idx="4">
                  <c:v>0.42299999999999999</c:v>
                </c:pt>
                <c:pt idx="5">
                  <c:v>0.41699999999999998</c:v>
                </c:pt>
                <c:pt idx="6">
                  <c:v>0.42399999999999999</c:v>
                </c:pt>
              </c:numCache>
            </c:numRef>
          </c:yVal>
          <c:smooth val="0"/>
          <c:extLst>
            <c:ext xmlns:c16="http://schemas.microsoft.com/office/drawing/2014/chart" uri="{C3380CC4-5D6E-409C-BE32-E72D297353CC}">
              <c16:uniqueId val="{0000000E-583D-4CE2-9F8F-DD89CA0FBF4E}"/>
            </c:ext>
          </c:extLst>
        </c:ser>
        <c:ser>
          <c:idx val="14"/>
          <c:order val="13"/>
          <c:tx>
            <c:strRef>
              <c:f>IET_INI_18!$A$15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IET_INI_18!$B$15:$H$15</c:f>
              <c:numCache>
                <c:formatCode>General</c:formatCode>
                <c:ptCount val="7"/>
                <c:pt idx="2" formatCode="0.0%">
                  <c:v>0.39</c:v>
                </c:pt>
                <c:pt idx="3" formatCode="0.0%">
                  <c:v>0.41200000000000003</c:v>
                </c:pt>
                <c:pt idx="4" formatCode="0.0%">
                  <c:v>0.45700000000000002</c:v>
                </c:pt>
                <c:pt idx="5" formatCode="0.0%">
                  <c:v>0.45899999999999996</c:v>
                </c:pt>
                <c:pt idx="6" formatCode="0.0%">
                  <c:v>0.49099999999999999</c:v>
                </c:pt>
              </c:numCache>
            </c:numRef>
          </c:yVal>
          <c:smooth val="0"/>
          <c:extLst>
            <c:ext xmlns:c16="http://schemas.microsoft.com/office/drawing/2014/chart" uri="{C3380CC4-5D6E-409C-BE32-E72D297353CC}">
              <c16:uniqueId val="{0000000F-583D-4CE2-9F8F-DD89CA0FBF4E}"/>
            </c:ext>
          </c:extLst>
        </c:ser>
        <c:ser>
          <c:idx val="15"/>
          <c:order val="14"/>
          <c:tx>
            <c:strRef>
              <c:f>IET_INI_18!$A$16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IET_INI_18!$B$16:$H$16</c:f>
              <c:numCache>
                <c:formatCode>0.0%</c:formatCode>
                <c:ptCount val="7"/>
                <c:pt idx="0">
                  <c:v>0.42100000000000004</c:v>
                </c:pt>
                <c:pt idx="1">
                  <c:v>0.41299999999999998</c:v>
                </c:pt>
                <c:pt idx="2">
                  <c:v>0.40600000000000003</c:v>
                </c:pt>
                <c:pt idx="3">
                  <c:v>0.42600000000000005</c:v>
                </c:pt>
                <c:pt idx="4">
                  <c:v>0.42499999999999999</c:v>
                </c:pt>
                <c:pt idx="5">
                  <c:v>0.40899999999999997</c:v>
                </c:pt>
                <c:pt idx="6">
                  <c:v>0.41299999999999998</c:v>
                </c:pt>
              </c:numCache>
            </c:numRef>
          </c:yVal>
          <c:smooth val="0"/>
          <c:extLst>
            <c:ext xmlns:c16="http://schemas.microsoft.com/office/drawing/2014/chart" uri="{C3380CC4-5D6E-409C-BE32-E72D297353CC}">
              <c16:uniqueId val="{00000010-583D-4CE2-9F8F-DD89CA0FBF4E}"/>
            </c:ext>
          </c:extLst>
        </c:ser>
        <c:ser>
          <c:idx val="16"/>
          <c:order val="15"/>
          <c:tx>
            <c:strRef>
              <c:f>IET_INI_18!$A$17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IET_INI_18!$B$17:$H$17</c:f>
              <c:numCache>
                <c:formatCode>0.0%</c:formatCode>
                <c:ptCount val="7"/>
                <c:pt idx="0">
                  <c:v>0.36</c:v>
                </c:pt>
                <c:pt idx="1">
                  <c:v>0.33500000000000002</c:v>
                </c:pt>
                <c:pt idx="2">
                  <c:v>0.35499999999999998</c:v>
                </c:pt>
                <c:pt idx="3">
                  <c:v>0.4</c:v>
                </c:pt>
                <c:pt idx="4">
                  <c:v>0.39300000000000002</c:v>
                </c:pt>
                <c:pt idx="5">
                  <c:v>0.36199999999999993</c:v>
                </c:pt>
                <c:pt idx="6">
                  <c:v>0.4</c:v>
                </c:pt>
              </c:numCache>
            </c:numRef>
          </c:yVal>
          <c:smooth val="0"/>
          <c:extLst>
            <c:ext xmlns:c16="http://schemas.microsoft.com/office/drawing/2014/chart" uri="{C3380CC4-5D6E-409C-BE32-E72D297353CC}">
              <c16:uniqueId val="{00000011-583D-4CE2-9F8F-DD89CA0FBF4E}"/>
            </c:ext>
          </c:extLst>
        </c:ser>
        <c:ser>
          <c:idx val="17"/>
          <c:order val="17"/>
          <c:tx>
            <c:strRef>
              <c:f>IET_INI_18!$A$20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IET_INI_18!$B$20:$H$20</c:f>
              <c:numCache>
                <c:formatCode>0.0%</c:formatCode>
                <c:ptCount val="7"/>
                <c:pt idx="0">
                  <c:v>0.38400000000000001</c:v>
                </c:pt>
                <c:pt idx="1">
                  <c:v>0.39299999999999996</c:v>
                </c:pt>
                <c:pt idx="2">
                  <c:v>0.39300000000000002</c:v>
                </c:pt>
                <c:pt idx="3">
                  <c:v>0.42399999999999999</c:v>
                </c:pt>
                <c:pt idx="4">
                  <c:v>0.42299999999999999</c:v>
                </c:pt>
                <c:pt idx="5">
                  <c:v>0.41699999999999998</c:v>
                </c:pt>
                <c:pt idx="6">
                  <c:v>0.42399999999999999</c:v>
                </c:pt>
              </c:numCache>
            </c:numRef>
          </c:yVal>
          <c:smooth val="0"/>
          <c:extLst>
            <c:ext xmlns:c16="http://schemas.microsoft.com/office/drawing/2014/chart" uri="{C3380CC4-5D6E-409C-BE32-E72D297353CC}">
              <c16:uniqueId val="{00000012-583D-4CE2-9F8F-DD89CA0FBF4E}"/>
            </c:ext>
          </c:extLst>
        </c:ser>
        <c:ser>
          <c:idx val="20"/>
          <c:order val="18"/>
          <c:tx>
            <c:strRef>
              <c:f>IET_INI_18!$A$19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IET_INI_18!$B$1:$H$1</c:f>
              <c:strCache>
                <c:ptCount val="7"/>
                <c:pt idx="0">
                  <c:v>'19</c:v>
                </c:pt>
                <c:pt idx="1">
                  <c:v>'20</c:v>
                </c:pt>
                <c:pt idx="2">
                  <c:v>'21</c:v>
                </c:pt>
                <c:pt idx="3">
                  <c:v>'22</c:v>
                </c:pt>
                <c:pt idx="4">
                  <c:v>'23</c:v>
                </c:pt>
                <c:pt idx="5">
                  <c:v>'24</c:v>
                </c:pt>
                <c:pt idx="6">
                  <c:v>'25</c:v>
                </c:pt>
              </c:strCache>
            </c:strRef>
          </c:xVal>
          <c:yVal>
            <c:numRef>
              <c:f>IET_INI_18!$B$19:$H$19</c:f>
              <c:numCache>
                <c:formatCode>0.0%</c:formatCode>
                <c:ptCount val="7"/>
                <c:pt idx="0">
                  <c:v>0.37</c:v>
                </c:pt>
                <c:pt idx="1">
                  <c:v>0.42499999999999999</c:v>
                </c:pt>
                <c:pt idx="2">
                  <c:v>0.42200000000000004</c:v>
                </c:pt>
                <c:pt idx="3">
                  <c:v>0.40799999999999997</c:v>
                </c:pt>
                <c:pt idx="4">
                  <c:v>0.41699999999999998</c:v>
                </c:pt>
                <c:pt idx="5">
                  <c:v>0.36700000000000005</c:v>
                </c:pt>
                <c:pt idx="6">
                  <c:v>0.39600000000000002</c:v>
                </c:pt>
              </c:numCache>
            </c:numRef>
          </c:yVal>
          <c:smooth val="0"/>
          <c:extLst>
            <c:ext xmlns:c16="http://schemas.microsoft.com/office/drawing/2014/chart" uri="{C3380CC4-5D6E-409C-BE32-E72D297353CC}">
              <c16:uniqueId val="{00000013-583D-4CE2-9F8F-DD89CA0FBF4E}"/>
            </c:ext>
          </c:extLst>
        </c:ser>
        <c:ser>
          <c:idx val="18"/>
          <c:order val="19"/>
          <c:tx>
            <c:strRef>
              <c:f>IET_INI_18!$A$21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1558333333333332"/>
                  <c:y val="-4.629629629629637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r>
                      <a:rPr lang="en-US" sz="1100">
                        <a:solidFill>
                          <a:schemeClr val="accent2">
                            <a:lumMod val="50000"/>
                          </a:schemeClr>
                        </a:solidFill>
                        <a:latin typeface="Aptos" panose="020B0004020202020204" pitchFamily="34" charset="0"/>
                      </a:rPr>
                      <a:t>Punto de referencia</a:t>
                    </a:r>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583D-4CE2-9F8F-DD89CA0FBF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IET_INI_18!$B$1:$H$1</c:f>
              <c:strCache>
                <c:ptCount val="7"/>
                <c:pt idx="0">
                  <c:v>'19</c:v>
                </c:pt>
                <c:pt idx="1">
                  <c:v>'20</c:v>
                </c:pt>
                <c:pt idx="2">
                  <c:v>'21</c:v>
                </c:pt>
                <c:pt idx="3">
                  <c:v>'22</c:v>
                </c:pt>
                <c:pt idx="4">
                  <c:v>'23</c:v>
                </c:pt>
                <c:pt idx="5">
                  <c:v>'24</c:v>
                </c:pt>
                <c:pt idx="6">
                  <c:v>'25</c:v>
                </c:pt>
              </c:strCache>
            </c:strRef>
          </c:xVal>
          <c:yVal>
            <c:numRef>
              <c:f>IET_INI_18!$B$21:$H$21</c:f>
              <c:numCache>
                <c:formatCode>0.0%</c:formatCode>
                <c:ptCount val="7"/>
                <c:pt idx="1">
                  <c:v>0.46800000000000003</c:v>
                </c:pt>
                <c:pt idx="2">
                  <c:v>0.38800000000000001</c:v>
                </c:pt>
                <c:pt idx="3">
                  <c:v>0.43</c:v>
                </c:pt>
                <c:pt idx="4">
                  <c:v>0.433</c:v>
                </c:pt>
                <c:pt idx="5">
                  <c:v>0.48599999999999999</c:v>
                </c:pt>
                <c:pt idx="6">
                  <c:v>0.49</c:v>
                </c:pt>
              </c:numCache>
            </c:numRef>
          </c:yVal>
          <c:smooth val="0"/>
          <c:extLst>
            <c:ext xmlns:c16="http://schemas.microsoft.com/office/drawing/2014/chart" uri="{C3380CC4-5D6E-409C-BE32-E72D297353CC}">
              <c16:uniqueId val="{00000015-583D-4CE2-9F8F-DD89CA0FBF4E}"/>
            </c:ext>
          </c:extLst>
        </c:ser>
        <c:ser>
          <c:idx val="19"/>
          <c:order val="20"/>
          <c:tx>
            <c:v>Spec change</c:v>
          </c:tx>
          <c:spPr>
            <a:ln w="19050" cap="rnd">
              <a:solidFill>
                <a:srgbClr val="606060"/>
              </a:solidFill>
              <a:prstDash val="dash"/>
              <a:round/>
            </a:ln>
            <a:effectLst/>
          </c:spPr>
          <c:marker>
            <c:symbol val="none"/>
          </c:marker>
          <c:xVal>
            <c:numRef>
              <c:f>IET_INI_18!$J$3:$J$4</c:f>
              <c:numCache>
                <c:formatCode>General</c:formatCode>
                <c:ptCount val="2"/>
                <c:pt idx="0">
                  <c:v>4</c:v>
                </c:pt>
                <c:pt idx="1">
                  <c:v>4</c:v>
                </c:pt>
              </c:numCache>
            </c:numRef>
          </c:xVal>
          <c:yVal>
            <c:numRef>
              <c:f>IET_INI_18!$K$3:$K$4</c:f>
              <c:numCache>
                <c:formatCode>General</c:formatCode>
                <c:ptCount val="2"/>
                <c:pt idx="0">
                  <c:v>0</c:v>
                </c:pt>
                <c:pt idx="1">
                  <c:v>1</c:v>
                </c:pt>
              </c:numCache>
            </c:numRef>
          </c:yVal>
          <c:smooth val="0"/>
          <c:extLst>
            <c:ext xmlns:c16="http://schemas.microsoft.com/office/drawing/2014/chart" uri="{C3380CC4-5D6E-409C-BE32-E72D297353CC}">
              <c16:uniqueId val="{00000016-583D-4CE2-9F8F-DD89CA0FBF4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solidFill>
                  <a:schemeClr val="accent1">
                    <a:lumMod val="75000"/>
                  </a:schemeClr>
                </a:solidFill>
                <a:latin typeface="+mn-lt"/>
              </a:rPr>
              <a:t>Participación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048162729658793"/>
          <c:y val="0.1403371453568304"/>
          <c:w val="0.84896281714785649"/>
          <c:h val="0.6778508936382952"/>
        </c:manualLayout>
      </c:layout>
      <c:lineChart>
        <c:grouping val="standard"/>
        <c:varyColors val="0"/>
        <c:ser>
          <c:idx val="12"/>
          <c:order val="16"/>
          <c:tx>
            <c:strRef>
              <c:f>IET_ENG_18!$A$18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IET_ENG_18!$B$1:$H$1</c:f>
              <c:strCache>
                <c:ptCount val="7"/>
                <c:pt idx="0">
                  <c:v>'19</c:v>
                </c:pt>
                <c:pt idx="1">
                  <c:v>'20</c:v>
                </c:pt>
                <c:pt idx="2">
                  <c:v>'21</c:v>
                </c:pt>
                <c:pt idx="3">
                  <c:v>'22</c:v>
                </c:pt>
                <c:pt idx="4">
                  <c:v>'23</c:v>
                </c:pt>
                <c:pt idx="5">
                  <c:v>'24</c:v>
                </c:pt>
                <c:pt idx="6">
                  <c:v>'25</c:v>
                </c:pt>
              </c:strCache>
            </c:strRef>
          </c:cat>
          <c:val>
            <c:numRef>
              <c:f>IET_ENG_18!$B$18:$H$18</c:f>
              <c:numCache>
                <c:formatCode>0.0%</c:formatCode>
                <c:ptCount val="7"/>
                <c:pt idx="0">
                  <c:v>0.17800000000000002</c:v>
                </c:pt>
                <c:pt idx="1">
                  <c:v>0.214</c:v>
                </c:pt>
                <c:pt idx="2">
                  <c:v>0.192</c:v>
                </c:pt>
                <c:pt idx="3">
                  <c:v>0.16</c:v>
                </c:pt>
                <c:pt idx="4">
                  <c:v>0.151</c:v>
                </c:pt>
                <c:pt idx="5">
                  <c:v>0.14199999999999999</c:v>
                </c:pt>
                <c:pt idx="6">
                  <c:v>0.184</c:v>
                </c:pt>
              </c:numCache>
            </c:numRef>
          </c:val>
          <c:smooth val="0"/>
          <c:extLst>
            <c:ext xmlns:c16="http://schemas.microsoft.com/office/drawing/2014/chart" uri="{C3380CC4-5D6E-409C-BE32-E72D297353CC}">
              <c16:uniqueId val="{00000000-36EF-46F9-9BB4-FE835D235F07}"/>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IET_ENG_18!$A$2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IET_ENG_18!$B$2:$H$2</c:f>
              <c:numCache>
                <c:formatCode>0.0%</c:formatCode>
                <c:ptCount val="7"/>
                <c:pt idx="0">
                  <c:v>0.11</c:v>
                </c:pt>
                <c:pt idx="1">
                  <c:v>0.1</c:v>
                </c:pt>
                <c:pt idx="2">
                  <c:v>9.4E-2</c:v>
                </c:pt>
                <c:pt idx="3">
                  <c:v>0.11899999999999999</c:v>
                </c:pt>
                <c:pt idx="4">
                  <c:v>0.11899999999999999</c:v>
                </c:pt>
                <c:pt idx="5">
                  <c:v>0.14599999999999999</c:v>
                </c:pt>
                <c:pt idx="6">
                  <c:v>0.159</c:v>
                </c:pt>
              </c:numCache>
            </c:numRef>
          </c:yVal>
          <c:smooth val="0"/>
          <c:extLst>
            <c:ext xmlns:c16="http://schemas.microsoft.com/office/drawing/2014/chart" uri="{C3380CC4-5D6E-409C-BE32-E72D297353CC}">
              <c16:uniqueId val="{00000001-36EF-46F9-9BB4-FE835D235F07}"/>
            </c:ext>
          </c:extLst>
        </c:ser>
        <c:ser>
          <c:idx val="1"/>
          <c:order val="1"/>
          <c:tx>
            <c:strRef>
              <c:f>IET_ENG_18!$A$3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IET_ENG_18!$B$3:$H$3</c:f>
              <c:numCache>
                <c:formatCode>0.0%</c:formatCode>
                <c:ptCount val="7"/>
                <c:pt idx="0">
                  <c:v>0.17100000000000001</c:v>
                </c:pt>
                <c:pt idx="1">
                  <c:v>0.13200000000000001</c:v>
                </c:pt>
                <c:pt idx="2">
                  <c:v>0.14300000000000002</c:v>
                </c:pt>
                <c:pt idx="3">
                  <c:v>0.13500000000000001</c:v>
                </c:pt>
                <c:pt idx="4">
                  <c:v>0.14799999999999999</c:v>
                </c:pt>
                <c:pt idx="5">
                  <c:v>0.124</c:v>
                </c:pt>
                <c:pt idx="6">
                  <c:v>0.13300000000000001</c:v>
                </c:pt>
              </c:numCache>
            </c:numRef>
          </c:yVal>
          <c:smooth val="0"/>
          <c:extLst>
            <c:ext xmlns:c16="http://schemas.microsoft.com/office/drawing/2014/chart" uri="{C3380CC4-5D6E-409C-BE32-E72D297353CC}">
              <c16:uniqueId val="{00000002-36EF-46F9-9BB4-FE835D235F07}"/>
            </c:ext>
          </c:extLst>
        </c:ser>
        <c:ser>
          <c:idx val="2"/>
          <c:order val="2"/>
          <c:tx>
            <c:strRef>
              <c:f>IET_ENG_18!$A$4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IET_ENG_18!$B$4:$H$4</c:f>
              <c:numCache>
                <c:formatCode>0.0%</c:formatCode>
                <c:ptCount val="7"/>
                <c:pt idx="0">
                  <c:v>0.17199999999999999</c:v>
                </c:pt>
                <c:pt idx="1">
                  <c:v>0.16500000000000001</c:v>
                </c:pt>
                <c:pt idx="2">
                  <c:v>0.19700000000000001</c:v>
                </c:pt>
                <c:pt idx="3">
                  <c:v>0.23200000000000001</c:v>
                </c:pt>
                <c:pt idx="4">
                  <c:v>0.214</c:v>
                </c:pt>
                <c:pt idx="5">
                  <c:v>0.183</c:v>
                </c:pt>
                <c:pt idx="6">
                  <c:v>0.20200000000000001</c:v>
                </c:pt>
              </c:numCache>
            </c:numRef>
          </c:yVal>
          <c:smooth val="0"/>
          <c:extLst>
            <c:ext xmlns:c16="http://schemas.microsoft.com/office/drawing/2014/chart" uri="{C3380CC4-5D6E-409C-BE32-E72D297353CC}">
              <c16:uniqueId val="{00000003-36EF-46F9-9BB4-FE835D235F07}"/>
            </c:ext>
          </c:extLst>
        </c:ser>
        <c:ser>
          <c:idx val="3"/>
          <c:order val="3"/>
          <c:tx>
            <c:strRef>
              <c:f>IET_ENG_18!$A$5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IET_ENG_18!$B$5:$H$5</c:f>
              <c:numCache>
                <c:formatCode>0.0%</c:formatCode>
                <c:ptCount val="7"/>
                <c:pt idx="0">
                  <c:v>0.16399999999999998</c:v>
                </c:pt>
                <c:pt idx="1">
                  <c:v>0.16600000000000001</c:v>
                </c:pt>
                <c:pt idx="2">
                  <c:v>0.13400000000000001</c:v>
                </c:pt>
                <c:pt idx="3">
                  <c:v>0.13400000000000001</c:v>
                </c:pt>
                <c:pt idx="4">
                  <c:v>0.14000000000000001</c:v>
                </c:pt>
                <c:pt idx="5">
                  <c:v>0.13500000000000001</c:v>
                </c:pt>
                <c:pt idx="6">
                  <c:v>0.14599999999999999</c:v>
                </c:pt>
              </c:numCache>
            </c:numRef>
          </c:yVal>
          <c:smooth val="0"/>
          <c:extLst>
            <c:ext xmlns:c16="http://schemas.microsoft.com/office/drawing/2014/chart" uri="{C3380CC4-5D6E-409C-BE32-E72D297353CC}">
              <c16:uniqueId val="{00000004-36EF-46F9-9BB4-FE835D235F07}"/>
            </c:ext>
          </c:extLst>
        </c:ser>
        <c:ser>
          <c:idx val="4"/>
          <c:order val="4"/>
          <c:tx>
            <c:strRef>
              <c:f>IET_ENG_18!$A$6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IET_ENG_18!$B$6:$H$6</c:f>
              <c:numCache>
                <c:formatCode>0.0%</c:formatCode>
                <c:ptCount val="7"/>
                <c:pt idx="0">
                  <c:v>0.153</c:v>
                </c:pt>
                <c:pt idx="1">
                  <c:v>0.129</c:v>
                </c:pt>
                <c:pt idx="2">
                  <c:v>0.13400000000000001</c:v>
                </c:pt>
                <c:pt idx="3">
                  <c:v>0.14899999999999999</c:v>
                </c:pt>
                <c:pt idx="4">
                  <c:v>0.14000000000000001</c:v>
                </c:pt>
                <c:pt idx="5">
                  <c:v>0.13500000000000001</c:v>
                </c:pt>
                <c:pt idx="6">
                  <c:v>0.13600000000000001</c:v>
                </c:pt>
              </c:numCache>
            </c:numRef>
          </c:yVal>
          <c:smooth val="0"/>
          <c:extLst>
            <c:ext xmlns:c16="http://schemas.microsoft.com/office/drawing/2014/chart" uri="{C3380CC4-5D6E-409C-BE32-E72D297353CC}">
              <c16:uniqueId val="{00000005-36EF-46F9-9BB4-FE835D235F07}"/>
            </c:ext>
          </c:extLst>
        </c:ser>
        <c:ser>
          <c:idx val="5"/>
          <c:order val="5"/>
          <c:tx>
            <c:strRef>
              <c:f>IET_ENG_18!$A$7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IET_ENG_18!$B$7:$H$7</c:f>
              <c:numCache>
                <c:formatCode>0.0%</c:formatCode>
                <c:ptCount val="7"/>
                <c:pt idx="0">
                  <c:v>0.16899999999999998</c:v>
                </c:pt>
                <c:pt idx="1">
                  <c:v>0.161</c:v>
                </c:pt>
                <c:pt idx="2">
                  <c:v>0.15</c:v>
                </c:pt>
                <c:pt idx="3">
                  <c:v>0.152</c:v>
                </c:pt>
                <c:pt idx="4">
                  <c:v>0.17</c:v>
                </c:pt>
                <c:pt idx="5">
                  <c:v>0.17899999999999999</c:v>
                </c:pt>
                <c:pt idx="6">
                  <c:v>0.191</c:v>
                </c:pt>
              </c:numCache>
            </c:numRef>
          </c:yVal>
          <c:smooth val="0"/>
          <c:extLst>
            <c:ext xmlns:c16="http://schemas.microsoft.com/office/drawing/2014/chart" uri="{C3380CC4-5D6E-409C-BE32-E72D297353CC}">
              <c16:uniqueId val="{00000006-36EF-46F9-9BB4-FE835D235F07}"/>
            </c:ext>
          </c:extLst>
        </c:ser>
        <c:ser>
          <c:idx val="6"/>
          <c:order val="6"/>
          <c:tx>
            <c:strRef>
              <c:f>IET_ENG_18!$A$8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IET_ENG_18!$B$8:$H$8</c:f>
              <c:numCache>
                <c:formatCode>0.0%</c:formatCode>
                <c:ptCount val="7"/>
                <c:pt idx="0">
                  <c:v>0.19800000000000001</c:v>
                </c:pt>
                <c:pt idx="1">
                  <c:v>0.19500000000000001</c:v>
                </c:pt>
                <c:pt idx="2">
                  <c:v>0.16700000000000001</c:v>
                </c:pt>
                <c:pt idx="3">
                  <c:v>0.19700000000000001</c:v>
                </c:pt>
                <c:pt idx="4">
                  <c:v>0.186</c:v>
                </c:pt>
                <c:pt idx="5">
                  <c:v>0.19</c:v>
                </c:pt>
                <c:pt idx="6">
                  <c:v>0.19900000000000001</c:v>
                </c:pt>
              </c:numCache>
            </c:numRef>
          </c:yVal>
          <c:smooth val="0"/>
          <c:extLst>
            <c:ext xmlns:c16="http://schemas.microsoft.com/office/drawing/2014/chart" uri="{C3380CC4-5D6E-409C-BE32-E72D297353CC}">
              <c16:uniqueId val="{00000007-36EF-46F9-9BB4-FE835D235F07}"/>
            </c:ext>
          </c:extLst>
        </c:ser>
        <c:ser>
          <c:idx val="7"/>
          <c:order val="7"/>
          <c:tx>
            <c:strRef>
              <c:f>IET_ENG_18!$A$9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IET_ENG_18!$B$9:$H$9</c:f>
              <c:numCache>
                <c:formatCode>0.0%</c:formatCode>
                <c:ptCount val="7"/>
                <c:pt idx="0">
                  <c:v>0.21</c:v>
                </c:pt>
                <c:pt idx="1">
                  <c:v>0.158</c:v>
                </c:pt>
                <c:pt idx="2">
                  <c:v>0.17</c:v>
                </c:pt>
                <c:pt idx="3">
                  <c:v>0.14499999999999999</c:v>
                </c:pt>
                <c:pt idx="4">
                  <c:v>0.152</c:v>
                </c:pt>
                <c:pt idx="5">
                  <c:v>0.16400000000000003</c:v>
                </c:pt>
                <c:pt idx="6">
                  <c:v>0.161</c:v>
                </c:pt>
              </c:numCache>
            </c:numRef>
          </c:yVal>
          <c:smooth val="0"/>
          <c:extLst>
            <c:ext xmlns:c16="http://schemas.microsoft.com/office/drawing/2014/chart" uri="{C3380CC4-5D6E-409C-BE32-E72D297353CC}">
              <c16:uniqueId val="{00000008-36EF-46F9-9BB4-FE835D235F07}"/>
            </c:ext>
          </c:extLst>
        </c:ser>
        <c:ser>
          <c:idx val="8"/>
          <c:order val="8"/>
          <c:tx>
            <c:strRef>
              <c:f>IET_ENG_18!$A$10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IET_ENG_18!$B$10:$H$10</c:f>
              <c:numCache>
                <c:formatCode>0.0%</c:formatCode>
                <c:ptCount val="7"/>
                <c:pt idx="0">
                  <c:v>0.16200000000000001</c:v>
                </c:pt>
                <c:pt idx="1">
                  <c:v>0.17500000000000002</c:v>
                </c:pt>
                <c:pt idx="2">
                  <c:v>0.156</c:v>
                </c:pt>
                <c:pt idx="3">
                  <c:v>0.16400000000000001</c:v>
                </c:pt>
                <c:pt idx="4">
                  <c:v>0.16400000000000001</c:v>
                </c:pt>
                <c:pt idx="5">
                  <c:v>0.17399999999999999</c:v>
                </c:pt>
                <c:pt idx="6">
                  <c:v>0.18099999999999999</c:v>
                </c:pt>
              </c:numCache>
            </c:numRef>
          </c:yVal>
          <c:smooth val="0"/>
          <c:extLst>
            <c:ext xmlns:c16="http://schemas.microsoft.com/office/drawing/2014/chart" uri="{C3380CC4-5D6E-409C-BE32-E72D297353CC}">
              <c16:uniqueId val="{00000009-36EF-46F9-9BB4-FE835D235F07}"/>
            </c:ext>
          </c:extLst>
        </c:ser>
        <c:ser>
          <c:idx val="9"/>
          <c:order val="9"/>
          <c:tx>
            <c:strRef>
              <c:f>IET_ENG_18!$A$11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IET_ENG_18!$B$11:$H$11</c:f>
              <c:numCache>
                <c:formatCode>0.0%</c:formatCode>
                <c:ptCount val="7"/>
                <c:pt idx="0">
                  <c:v>0.185</c:v>
                </c:pt>
                <c:pt idx="1">
                  <c:v>0.19700000000000001</c:v>
                </c:pt>
                <c:pt idx="2">
                  <c:v>0.127</c:v>
                </c:pt>
                <c:pt idx="3">
                  <c:v>0.14599999999999999</c:v>
                </c:pt>
                <c:pt idx="4">
                  <c:v>0.14599999999999999</c:v>
                </c:pt>
                <c:pt idx="5">
                  <c:v>0.114</c:v>
                </c:pt>
                <c:pt idx="6">
                  <c:v>8.6999999999999994E-2</c:v>
                </c:pt>
              </c:numCache>
            </c:numRef>
          </c:yVal>
          <c:smooth val="0"/>
          <c:extLst>
            <c:ext xmlns:c16="http://schemas.microsoft.com/office/drawing/2014/chart" uri="{C3380CC4-5D6E-409C-BE32-E72D297353CC}">
              <c16:uniqueId val="{0000000A-36EF-46F9-9BB4-FE835D235F07}"/>
            </c:ext>
          </c:extLst>
        </c:ser>
        <c:ser>
          <c:idx val="10"/>
          <c:order val="10"/>
          <c:tx>
            <c:strRef>
              <c:f>IET_ENG_18!$A$12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IET_ENG_18!$B$12:$H$12</c:f>
              <c:numCache>
                <c:formatCode>0.0%</c:formatCode>
                <c:ptCount val="7"/>
                <c:pt idx="1">
                  <c:v>0.17600000000000002</c:v>
                </c:pt>
                <c:pt idx="2">
                  <c:v>0.16600000000000001</c:v>
                </c:pt>
                <c:pt idx="3">
                  <c:v>0.17899999999999999</c:v>
                </c:pt>
                <c:pt idx="4">
                  <c:v>0.16900000000000001</c:v>
                </c:pt>
                <c:pt idx="5">
                  <c:v>0.157</c:v>
                </c:pt>
                <c:pt idx="6">
                  <c:v>0.18099999999999999</c:v>
                </c:pt>
              </c:numCache>
            </c:numRef>
          </c:yVal>
          <c:smooth val="0"/>
          <c:extLst>
            <c:ext xmlns:c16="http://schemas.microsoft.com/office/drawing/2014/chart" uri="{C3380CC4-5D6E-409C-BE32-E72D297353CC}">
              <c16:uniqueId val="{0000000B-36EF-46F9-9BB4-FE835D235F07}"/>
            </c:ext>
          </c:extLst>
        </c:ser>
        <c:ser>
          <c:idx val="11"/>
          <c:order val="11"/>
          <c:tx>
            <c:strRef>
              <c:f>IET_ENG_18!$A$13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IET_ENG_18!$B$13:$H$13</c:f>
              <c:numCache>
                <c:formatCode>0.0%</c:formatCode>
                <c:ptCount val="7"/>
                <c:pt idx="1">
                  <c:v>0.16500000000000001</c:v>
                </c:pt>
                <c:pt idx="2">
                  <c:v>0.17500000000000002</c:v>
                </c:pt>
                <c:pt idx="3">
                  <c:v>0.18</c:v>
                </c:pt>
                <c:pt idx="4">
                  <c:v>0.188</c:v>
                </c:pt>
                <c:pt idx="5">
                  <c:v>0.16900000000000001</c:v>
                </c:pt>
                <c:pt idx="6">
                  <c:v>0.161</c:v>
                </c:pt>
              </c:numCache>
            </c:numRef>
          </c:yVal>
          <c:smooth val="0"/>
          <c:extLst>
            <c:ext xmlns:c16="http://schemas.microsoft.com/office/drawing/2014/chart" uri="{C3380CC4-5D6E-409C-BE32-E72D297353CC}">
              <c16:uniqueId val="{0000000C-36EF-46F9-9BB4-FE835D235F07}"/>
            </c:ext>
          </c:extLst>
        </c:ser>
        <c:ser>
          <c:idx val="13"/>
          <c:order val="12"/>
          <c:tx>
            <c:strRef>
              <c:f>IET_ENG_18!$A$14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36EF-46F9-9BB4-FE835D235F07}"/>
              </c:ext>
            </c:extLst>
          </c:dPt>
          <c:xVal>
            <c:strRef>
              <c:f>IET_ENG_18!$B$1:$H$1</c:f>
              <c:strCache>
                <c:ptCount val="7"/>
                <c:pt idx="0">
                  <c:v>'19</c:v>
                </c:pt>
                <c:pt idx="1">
                  <c:v>'20</c:v>
                </c:pt>
                <c:pt idx="2">
                  <c:v>'21</c:v>
                </c:pt>
                <c:pt idx="3">
                  <c:v>'22</c:v>
                </c:pt>
                <c:pt idx="4">
                  <c:v>'23</c:v>
                </c:pt>
                <c:pt idx="5">
                  <c:v>'24</c:v>
                </c:pt>
                <c:pt idx="6">
                  <c:v>'25</c:v>
                </c:pt>
              </c:strCache>
            </c:strRef>
          </c:xVal>
          <c:yVal>
            <c:numRef>
              <c:f>IET_ENG_18!$B$14:$H$14</c:f>
              <c:numCache>
                <c:formatCode>0.0%</c:formatCode>
                <c:ptCount val="7"/>
                <c:pt idx="0">
                  <c:v>0.17</c:v>
                </c:pt>
                <c:pt idx="1">
                  <c:v>0.16200000000000001</c:v>
                </c:pt>
                <c:pt idx="2">
                  <c:v>0.154</c:v>
                </c:pt>
                <c:pt idx="3">
                  <c:v>0.161</c:v>
                </c:pt>
                <c:pt idx="4">
                  <c:v>0.16600000000000001</c:v>
                </c:pt>
                <c:pt idx="5">
                  <c:v>0.16500000000000001</c:v>
                </c:pt>
                <c:pt idx="6">
                  <c:v>0.17499999999999999</c:v>
                </c:pt>
              </c:numCache>
            </c:numRef>
          </c:yVal>
          <c:smooth val="0"/>
          <c:extLst>
            <c:ext xmlns:c16="http://schemas.microsoft.com/office/drawing/2014/chart" uri="{C3380CC4-5D6E-409C-BE32-E72D297353CC}">
              <c16:uniqueId val="{0000000E-36EF-46F9-9BB4-FE835D235F07}"/>
            </c:ext>
          </c:extLst>
        </c:ser>
        <c:ser>
          <c:idx val="14"/>
          <c:order val="13"/>
          <c:tx>
            <c:strRef>
              <c:f>IET_ENG_18!$A$15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IET_ENG_18!$B$15:$H$15</c:f>
              <c:numCache>
                <c:formatCode>General</c:formatCode>
                <c:ptCount val="7"/>
                <c:pt idx="2" formatCode="0.0%">
                  <c:v>0.158</c:v>
                </c:pt>
                <c:pt idx="3" formatCode="0.0%">
                  <c:v>0.151</c:v>
                </c:pt>
                <c:pt idx="4" formatCode="0.0%">
                  <c:v>0.17499999999999999</c:v>
                </c:pt>
                <c:pt idx="5" formatCode="0.0%">
                  <c:v>0.14699999999999999</c:v>
                </c:pt>
                <c:pt idx="6" formatCode="0.0%">
                  <c:v>0.191</c:v>
                </c:pt>
              </c:numCache>
            </c:numRef>
          </c:yVal>
          <c:smooth val="0"/>
          <c:extLst>
            <c:ext xmlns:c16="http://schemas.microsoft.com/office/drawing/2014/chart" uri="{C3380CC4-5D6E-409C-BE32-E72D297353CC}">
              <c16:uniqueId val="{0000000F-36EF-46F9-9BB4-FE835D235F07}"/>
            </c:ext>
          </c:extLst>
        </c:ser>
        <c:ser>
          <c:idx val="15"/>
          <c:order val="14"/>
          <c:tx>
            <c:strRef>
              <c:f>IET_ENG_18!$A$16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IET_ENG_18!$B$16:$H$16</c:f>
              <c:numCache>
                <c:formatCode>0.0%</c:formatCode>
                <c:ptCount val="7"/>
                <c:pt idx="0">
                  <c:v>0.17500000000000002</c:v>
                </c:pt>
                <c:pt idx="1">
                  <c:v>0.17500000000000002</c:v>
                </c:pt>
                <c:pt idx="2">
                  <c:v>0.16700000000000001</c:v>
                </c:pt>
                <c:pt idx="3">
                  <c:v>0.16400000000000001</c:v>
                </c:pt>
                <c:pt idx="4">
                  <c:v>0.16400000000000001</c:v>
                </c:pt>
                <c:pt idx="5">
                  <c:v>0.17699999999999999</c:v>
                </c:pt>
                <c:pt idx="6">
                  <c:v>0.17899999999999999</c:v>
                </c:pt>
              </c:numCache>
            </c:numRef>
          </c:yVal>
          <c:smooth val="0"/>
          <c:extLst>
            <c:ext xmlns:c16="http://schemas.microsoft.com/office/drawing/2014/chart" uri="{C3380CC4-5D6E-409C-BE32-E72D297353CC}">
              <c16:uniqueId val="{00000010-36EF-46F9-9BB4-FE835D235F07}"/>
            </c:ext>
          </c:extLst>
        </c:ser>
        <c:ser>
          <c:idx val="16"/>
          <c:order val="15"/>
          <c:tx>
            <c:strRef>
              <c:f>IET_ENG_18!$A$17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IET_ENG_18!$B$17:$H$17</c:f>
              <c:numCache>
                <c:formatCode>0.0%</c:formatCode>
                <c:ptCount val="7"/>
                <c:pt idx="0">
                  <c:v>0.16300000000000001</c:v>
                </c:pt>
                <c:pt idx="1">
                  <c:v>0.152</c:v>
                </c:pt>
                <c:pt idx="2">
                  <c:v>0.13600000000000001</c:v>
                </c:pt>
                <c:pt idx="3">
                  <c:v>0.156</c:v>
                </c:pt>
                <c:pt idx="4">
                  <c:v>0.14699999999999999</c:v>
                </c:pt>
                <c:pt idx="5">
                  <c:v>0.151</c:v>
                </c:pt>
                <c:pt idx="6">
                  <c:v>0.183</c:v>
                </c:pt>
              </c:numCache>
            </c:numRef>
          </c:yVal>
          <c:smooth val="0"/>
          <c:extLst>
            <c:ext xmlns:c16="http://schemas.microsoft.com/office/drawing/2014/chart" uri="{C3380CC4-5D6E-409C-BE32-E72D297353CC}">
              <c16:uniqueId val="{00000011-36EF-46F9-9BB4-FE835D235F07}"/>
            </c:ext>
          </c:extLst>
        </c:ser>
        <c:ser>
          <c:idx val="17"/>
          <c:order val="17"/>
          <c:tx>
            <c:strRef>
              <c:f>IET_ENG_18!$A$20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IET_ENG_18!$B$20:$H$20</c:f>
              <c:numCache>
                <c:formatCode>0.0%</c:formatCode>
                <c:ptCount val="7"/>
                <c:pt idx="0">
                  <c:v>0.17</c:v>
                </c:pt>
                <c:pt idx="1">
                  <c:v>0.16200000000000001</c:v>
                </c:pt>
                <c:pt idx="2">
                  <c:v>0.154</c:v>
                </c:pt>
                <c:pt idx="3">
                  <c:v>0.161</c:v>
                </c:pt>
                <c:pt idx="4">
                  <c:v>0.16600000000000001</c:v>
                </c:pt>
                <c:pt idx="5">
                  <c:v>0.16500000000000001</c:v>
                </c:pt>
                <c:pt idx="6">
                  <c:v>0.17499999999999999</c:v>
                </c:pt>
              </c:numCache>
            </c:numRef>
          </c:yVal>
          <c:smooth val="0"/>
          <c:extLst>
            <c:ext xmlns:c16="http://schemas.microsoft.com/office/drawing/2014/chart" uri="{C3380CC4-5D6E-409C-BE32-E72D297353CC}">
              <c16:uniqueId val="{00000012-36EF-46F9-9BB4-FE835D235F07}"/>
            </c:ext>
          </c:extLst>
        </c:ser>
        <c:ser>
          <c:idx val="20"/>
          <c:order val="18"/>
          <c:tx>
            <c:strRef>
              <c:f>IET_ENG_18!$A$19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IET_ENG_18!$B$1:$H$1</c:f>
              <c:strCache>
                <c:ptCount val="7"/>
                <c:pt idx="0">
                  <c:v>'19</c:v>
                </c:pt>
                <c:pt idx="1">
                  <c:v>'20</c:v>
                </c:pt>
                <c:pt idx="2">
                  <c:v>'21</c:v>
                </c:pt>
                <c:pt idx="3">
                  <c:v>'22</c:v>
                </c:pt>
                <c:pt idx="4">
                  <c:v>'23</c:v>
                </c:pt>
                <c:pt idx="5">
                  <c:v>'24</c:v>
                </c:pt>
                <c:pt idx="6">
                  <c:v>'25</c:v>
                </c:pt>
              </c:strCache>
            </c:strRef>
          </c:xVal>
          <c:yVal>
            <c:numRef>
              <c:f>IET_ENG_18!$B$19:$H$19</c:f>
              <c:numCache>
                <c:formatCode>0.0%</c:formatCode>
                <c:ptCount val="7"/>
                <c:pt idx="0">
                  <c:v>0.17800000000000002</c:v>
                </c:pt>
                <c:pt idx="1">
                  <c:v>0.214</c:v>
                </c:pt>
                <c:pt idx="2">
                  <c:v>0.192</c:v>
                </c:pt>
                <c:pt idx="3">
                  <c:v>0.16</c:v>
                </c:pt>
                <c:pt idx="4">
                  <c:v>0.151</c:v>
                </c:pt>
                <c:pt idx="5">
                  <c:v>0.14199999999999999</c:v>
                </c:pt>
                <c:pt idx="6">
                  <c:v>0.184</c:v>
                </c:pt>
              </c:numCache>
            </c:numRef>
          </c:yVal>
          <c:smooth val="0"/>
          <c:extLst>
            <c:ext xmlns:c16="http://schemas.microsoft.com/office/drawing/2014/chart" uri="{C3380CC4-5D6E-409C-BE32-E72D297353CC}">
              <c16:uniqueId val="{00000013-36EF-46F9-9BB4-FE835D235F07}"/>
            </c:ext>
          </c:extLst>
        </c:ser>
        <c:ser>
          <c:idx val="18"/>
          <c:order val="19"/>
          <c:tx>
            <c:strRef>
              <c:f>IET_ENG_18!$A$21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22113888888888888"/>
                  <c:y val="-9.5238095238095233E-2"/>
                </c:manualLayout>
              </c:layout>
              <c:tx>
                <c:rich>
                  <a:bodyPr/>
                  <a:lstStyle/>
                  <a:p>
                    <a:r>
                      <a:rPr lang="en-US"/>
                      <a:t>Punto de referencia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36EF-46F9-9BB4-FE835D235F07}"/>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l"/>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IET_ENG_18!$B$1:$H$1</c:f>
              <c:strCache>
                <c:ptCount val="7"/>
                <c:pt idx="0">
                  <c:v>'19</c:v>
                </c:pt>
                <c:pt idx="1">
                  <c:v>'20</c:v>
                </c:pt>
                <c:pt idx="2">
                  <c:v>'21</c:v>
                </c:pt>
                <c:pt idx="3">
                  <c:v>'22</c:v>
                </c:pt>
                <c:pt idx="4">
                  <c:v>'23</c:v>
                </c:pt>
                <c:pt idx="5">
                  <c:v>'24</c:v>
                </c:pt>
                <c:pt idx="6">
                  <c:v>'25</c:v>
                </c:pt>
              </c:strCache>
            </c:strRef>
          </c:xVal>
          <c:yVal>
            <c:numRef>
              <c:f>IET_ENG_18!$B$21:$H$21</c:f>
              <c:numCache>
                <c:formatCode>0.0%</c:formatCode>
                <c:ptCount val="7"/>
                <c:pt idx="1">
                  <c:v>0.185</c:v>
                </c:pt>
                <c:pt idx="2">
                  <c:v>9.9000000000000005E-2</c:v>
                </c:pt>
                <c:pt idx="3">
                  <c:v>0.13900000000000001</c:v>
                </c:pt>
                <c:pt idx="4">
                  <c:v>0.16300000000000001</c:v>
                </c:pt>
                <c:pt idx="5">
                  <c:v>0.18100000000000002</c:v>
                </c:pt>
                <c:pt idx="6">
                  <c:v>0.188</c:v>
                </c:pt>
              </c:numCache>
            </c:numRef>
          </c:yVal>
          <c:smooth val="0"/>
          <c:extLst>
            <c:ext xmlns:c16="http://schemas.microsoft.com/office/drawing/2014/chart" uri="{C3380CC4-5D6E-409C-BE32-E72D297353CC}">
              <c16:uniqueId val="{00000015-36EF-46F9-9BB4-FE835D235F07}"/>
            </c:ext>
          </c:extLst>
        </c:ser>
        <c:ser>
          <c:idx val="19"/>
          <c:order val="20"/>
          <c:tx>
            <c:v>Spec change</c:v>
          </c:tx>
          <c:spPr>
            <a:ln w="19050" cap="rnd">
              <a:solidFill>
                <a:srgbClr val="606060"/>
              </a:solidFill>
              <a:prstDash val="dash"/>
              <a:round/>
            </a:ln>
            <a:effectLst/>
          </c:spPr>
          <c:marker>
            <c:symbol val="none"/>
          </c:marker>
          <c:xVal>
            <c:numRef>
              <c:f>IET_ENG_18!$J$3:$J$4</c:f>
              <c:numCache>
                <c:formatCode>General</c:formatCode>
                <c:ptCount val="2"/>
                <c:pt idx="0">
                  <c:v>4</c:v>
                </c:pt>
                <c:pt idx="1">
                  <c:v>4</c:v>
                </c:pt>
              </c:numCache>
            </c:numRef>
          </c:xVal>
          <c:yVal>
            <c:numRef>
              <c:f>IET_ENG_18!$K$3:$K$4</c:f>
              <c:numCache>
                <c:formatCode>General</c:formatCode>
                <c:ptCount val="2"/>
                <c:pt idx="0">
                  <c:v>0</c:v>
                </c:pt>
                <c:pt idx="1">
                  <c:v>1</c:v>
                </c:pt>
              </c:numCache>
            </c:numRef>
          </c:yVal>
          <c:smooth val="0"/>
          <c:extLst>
            <c:ext xmlns:c16="http://schemas.microsoft.com/office/drawing/2014/chart" uri="{C3380CC4-5D6E-409C-BE32-E72D297353CC}">
              <c16:uniqueId val="{00000016-36EF-46F9-9BB4-FE835D235F07}"/>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5365498820223231"/>
        </c:manualLayout>
      </c:layout>
      <c:lineChart>
        <c:grouping val="standard"/>
        <c:varyColors val="0"/>
        <c:ser>
          <c:idx val="12"/>
          <c:order val="16"/>
          <c:tx>
            <c:strRef>
              <c:f>CDF!$A$18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cat>
          <c:val>
            <c:numRef>
              <c:f>CDF!$B$18:$M$18</c:f>
              <c:numCache>
                <c:formatCode>General</c:formatCode>
                <c:ptCount val="12"/>
                <c:pt idx="0" formatCode="0.0%">
                  <c:v>0.68099999999999994</c:v>
                </c:pt>
                <c:pt idx="1">
                  <c:v>0.628</c:v>
                </c:pt>
                <c:pt idx="2" formatCode="0.0%">
                  <c:v>0.68200000000000005</c:v>
                </c:pt>
                <c:pt idx="3" formatCode="0.0%">
                  <c:v>0.61499999999999999</c:v>
                </c:pt>
                <c:pt idx="4" formatCode="0.0%">
                  <c:v>0.73</c:v>
                </c:pt>
                <c:pt idx="5" formatCode="0.0%">
                  <c:v>0.69700000000000006</c:v>
                </c:pt>
                <c:pt idx="6" formatCode="0.0%">
                  <c:v>0.55500000000000005</c:v>
                </c:pt>
                <c:pt idx="7" formatCode="0.0%">
                  <c:v>0.623</c:v>
                </c:pt>
                <c:pt idx="8" formatCode="0.0%">
                  <c:v>0.65</c:v>
                </c:pt>
                <c:pt idx="9" formatCode="0.0%">
                  <c:v>0.71</c:v>
                </c:pt>
                <c:pt idx="10" formatCode="0.0%">
                  <c:v>0.78600000000000003</c:v>
                </c:pt>
                <c:pt idx="11" formatCode="0.0%">
                  <c:v>0.82799999999999996</c:v>
                </c:pt>
              </c:numCache>
            </c:numRef>
          </c:val>
          <c:smooth val="0"/>
          <c:extLst>
            <c:ext xmlns:c16="http://schemas.microsoft.com/office/drawing/2014/chart" uri="{C3380CC4-5D6E-409C-BE32-E72D297353CC}">
              <c16:uniqueId val="{00000000-F76C-455E-8ADC-1638BE20BD2C}"/>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CDF!$A$2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CDF!$B$2:$M$2</c:f>
              <c:numCache>
                <c:formatCode>General</c:formatCode>
                <c:ptCount val="12"/>
                <c:pt idx="0" formatCode="0.0%">
                  <c:v>4.8000000000000001E-2</c:v>
                </c:pt>
                <c:pt idx="1">
                  <c:v>0.17199999999999999</c:v>
                </c:pt>
                <c:pt idx="2" formatCode="0.0%">
                  <c:v>0.27700000000000002</c:v>
                </c:pt>
                <c:pt idx="3" formatCode="0.0%">
                  <c:v>0.50600000000000001</c:v>
                </c:pt>
                <c:pt idx="4" formatCode="0.0%">
                  <c:v>0.63600000000000001</c:v>
                </c:pt>
                <c:pt idx="5" formatCode="0.0%">
                  <c:v>0.58700000000000008</c:v>
                </c:pt>
                <c:pt idx="6" formatCode="0.0%">
                  <c:v>0.48899999999999999</c:v>
                </c:pt>
                <c:pt idx="7" formatCode="0.0%">
                  <c:v>0.42799999999999999</c:v>
                </c:pt>
                <c:pt idx="8" formatCode="0.0%">
                  <c:v>0.19800000000000001</c:v>
                </c:pt>
                <c:pt idx="9" formatCode="0.0%">
                  <c:v>0.49</c:v>
                </c:pt>
                <c:pt idx="10" formatCode="0.0%">
                  <c:v>0.58799999999999997</c:v>
                </c:pt>
                <c:pt idx="11" formatCode="0.0%">
                  <c:v>0.51</c:v>
                </c:pt>
              </c:numCache>
            </c:numRef>
          </c:yVal>
          <c:smooth val="0"/>
          <c:extLst>
            <c:ext xmlns:c16="http://schemas.microsoft.com/office/drawing/2014/chart" uri="{C3380CC4-5D6E-409C-BE32-E72D297353CC}">
              <c16:uniqueId val="{00000001-F76C-455E-8ADC-1638BE20BD2C}"/>
            </c:ext>
          </c:extLst>
        </c:ser>
        <c:ser>
          <c:idx val="1"/>
          <c:order val="1"/>
          <c:tx>
            <c:strRef>
              <c:f>CDF!$A$3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CDF!$B$3:$M$3</c:f>
              <c:numCache>
                <c:formatCode>General</c:formatCode>
                <c:ptCount val="12"/>
                <c:pt idx="0" formatCode="0.0%">
                  <c:v>9.6999999999999989E-2</c:v>
                </c:pt>
                <c:pt idx="1">
                  <c:v>0.32100000000000001</c:v>
                </c:pt>
                <c:pt idx="2" formatCode="0.0%">
                  <c:v>0.40500000000000003</c:v>
                </c:pt>
                <c:pt idx="3" formatCode="0.0%">
                  <c:v>0.51900000000000002</c:v>
                </c:pt>
                <c:pt idx="4" formatCode="0.0%">
                  <c:v>0.56299999999999994</c:v>
                </c:pt>
                <c:pt idx="5" formatCode="0.0%">
                  <c:v>0.45</c:v>
                </c:pt>
                <c:pt idx="6" formatCode="0.0%">
                  <c:v>0.41399999999999998</c:v>
                </c:pt>
                <c:pt idx="7" formatCode="0.0%">
                  <c:v>0.45600000000000002</c:v>
                </c:pt>
                <c:pt idx="8" formatCode="0.0%">
                  <c:v>0.498</c:v>
                </c:pt>
                <c:pt idx="9" formatCode="0.0%">
                  <c:v>0.63600000000000001</c:v>
                </c:pt>
                <c:pt idx="10" formatCode="0.0%">
                  <c:v>0.67100000000000004</c:v>
                </c:pt>
                <c:pt idx="11" formatCode="0.0%">
                  <c:v>0.752</c:v>
                </c:pt>
              </c:numCache>
            </c:numRef>
          </c:yVal>
          <c:smooth val="0"/>
          <c:extLst>
            <c:ext xmlns:c16="http://schemas.microsoft.com/office/drawing/2014/chart" uri="{C3380CC4-5D6E-409C-BE32-E72D297353CC}">
              <c16:uniqueId val="{00000002-F76C-455E-8ADC-1638BE20BD2C}"/>
            </c:ext>
          </c:extLst>
        </c:ser>
        <c:ser>
          <c:idx val="2"/>
          <c:order val="2"/>
          <c:tx>
            <c:strRef>
              <c:f>CDF!$A$4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CDF!$B$4:$M$4</c:f>
              <c:numCache>
                <c:formatCode>General</c:formatCode>
                <c:ptCount val="12"/>
                <c:pt idx="0" formatCode="0.0%">
                  <c:v>0.28600000000000003</c:v>
                </c:pt>
                <c:pt idx="1">
                  <c:v>5.0000000000000001E-3</c:v>
                </c:pt>
                <c:pt idx="2" formatCode="0.0%">
                  <c:v>0.156</c:v>
                </c:pt>
                <c:pt idx="3" formatCode="0.0%">
                  <c:v>0.114</c:v>
                </c:pt>
                <c:pt idx="4" formatCode="0.0%">
                  <c:v>0.39299999999999996</c:v>
                </c:pt>
                <c:pt idx="5" formatCode="0.0%">
                  <c:v>0.47200000000000003</c:v>
                </c:pt>
                <c:pt idx="6" formatCode="0.0%">
                  <c:v>0.47100000000000003</c:v>
                </c:pt>
                <c:pt idx="7" formatCode="0.0%">
                  <c:v>0.32799999999999996</c:v>
                </c:pt>
                <c:pt idx="8" formatCode="0.0%">
                  <c:v>0.35499999999999998</c:v>
                </c:pt>
                <c:pt idx="9" formatCode="0.0%">
                  <c:v>0.373</c:v>
                </c:pt>
                <c:pt idx="10" formatCode="0.0%">
                  <c:v>0.57499999999999996</c:v>
                </c:pt>
                <c:pt idx="11" formatCode="0.0%">
                  <c:v>0.59599999999999997</c:v>
                </c:pt>
              </c:numCache>
            </c:numRef>
          </c:yVal>
          <c:smooth val="0"/>
          <c:extLst>
            <c:ext xmlns:c16="http://schemas.microsoft.com/office/drawing/2014/chart" uri="{C3380CC4-5D6E-409C-BE32-E72D297353CC}">
              <c16:uniqueId val="{00000003-F76C-455E-8ADC-1638BE20BD2C}"/>
            </c:ext>
          </c:extLst>
        </c:ser>
        <c:ser>
          <c:idx val="3"/>
          <c:order val="3"/>
          <c:tx>
            <c:strRef>
              <c:f>CDF!$A$5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CDF!$B$5:$M$5</c:f>
              <c:numCache>
                <c:formatCode>General</c:formatCode>
                <c:ptCount val="12"/>
                <c:pt idx="0" formatCode="0.0%">
                  <c:v>0.45</c:v>
                </c:pt>
                <c:pt idx="1">
                  <c:v>0.52900000000000003</c:v>
                </c:pt>
                <c:pt idx="2" formatCode="0.0%">
                  <c:v>0.59799999999999998</c:v>
                </c:pt>
                <c:pt idx="3" formatCode="0.0%">
                  <c:v>0.70700000000000007</c:v>
                </c:pt>
                <c:pt idx="4" formatCode="0.0%">
                  <c:v>0.64900000000000002</c:v>
                </c:pt>
                <c:pt idx="5" formatCode="0.0%">
                  <c:v>0.64400000000000002</c:v>
                </c:pt>
                <c:pt idx="6" formatCode="0.0%">
                  <c:v>0.59499999999999997</c:v>
                </c:pt>
                <c:pt idx="7" formatCode="0.0%">
                  <c:v>0.55100000000000005</c:v>
                </c:pt>
                <c:pt idx="8" formatCode="0.0%">
                  <c:v>0.64500000000000002</c:v>
                </c:pt>
                <c:pt idx="9" formatCode="0.0%">
                  <c:v>0.69499999999999995</c:v>
                </c:pt>
                <c:pt idx="10" formatCode="0.0%">
                  <c:v>0.67700000000000005</c:v>
                </c:pt>
                <c:pt idx="11" formatCode="0.0%">
                  <c:v>0.73</c:v>
                </c:pt>
              </c:numCache>
            </c:numRef>
          </c:yVal>
          <c:smooth val="0"/>
          <c:extLst>
            <c:ext xmlns:c16="http://schemas.microsoft.com/office/drawing/2014/chart" uri="{C3380CC4-5D6E-409C-BE32-E72D297353CC}">
              <c16:uniqueId val="{00000004-F76C-455E-8ADC-1638BE20BD2C}"/>
            </c:ext>
          </c:extLst>
        </c:ser>
        <c:ser>
          <c:idx val="4"/>
          <c:order val="4"/>
          <c:tx>
            <c:strRef>
              <c:f>CDF!$A$6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CDF!$B$6:$M$6</c:f>
              <c:numCache>
                <c:formatCode>General</c:formatCode>
                <c:ptCount val="12"/>
                <c:pt idx="0" formatCode="0.0%">
                  <c:v>0.17399999999999999</c:v>
                </c:pt>
                <c:pt idx="1">
                  <c:v>0.33</c:v>
                </c:pt>
                <c:pt idx="2" formatCode="0.0%">
                  <c:v>0.52100000000000002</c:v>
                </c:pt>
                <c:pt idx="3" formatCode="0.0%">
                  <c:v>0.57299999999999995</c:v>
                </c:pt>
                <c:pt idx="4" formatCode="0.0%">
                  <c:v>0.67700000000000005</c:v>
                </c:pt>
                <c:pt idx="5" formatCode="0.0%">
                  <c:v>0.65900000000000003</c:v>
                </c:pt>
                <c:pt idx="6" formatCode="0.0%">
                  <c:v>0.72900000000000009</c:v>
                </c:pt>
                <c:pt idx="7" formatCode="0.0%">
                  <c:v>0.58100000000000007</c:v>
                </c:pt>
                <c:pt idx="8" formatCode="0.0%">
                  <c:v>0.65800000000000003</c:v>
                </c:pt>
                <c:pt idx="9" formatCode="0.0%">
                  <c:v>0.746</c:v>
                </c:pt>
                <c:pt idx="10" formatCode="0.0%">
                  <c:v>0.69199999999999995</c:v>
                </c:pt>
                <c:pt idx="11" formatCode="0.0%">
                  <c:v>0.753</c:v>
                </c:pt>
              </c:numCache>
            </c:numRef>
          </c:yVal>
          <c:smooth val="0"/>
          <c:extLst>
            <c:ext xmlns:c16="http://schemas.microsoft.com/office/drawing/2014/chart" uri="{C3380CC4-5D6E-409C-BE32-E72D297353CC}">
              <c16:uniqueId val="{00000005-F76C-455E-8ADC-1638BE20BD2C}"/>
            </c:ext>
          </c:extLst>
        </c:ser>
        <c:ser>
          <c:idx val="5"/>
          <c:order val="5"/>
          <c:tx>
            <c:strRef>
              <c:f>CDF!$A$7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CDF!$B$7:$M$7</c:f>
              <c:numCache>
                <c:formatCode>General</c:formatCode>
                <c:ptCount val="12"/>
                <c:pt idx="0" formatCode="0.0%">
                  <c:v>0.48499999999999999</c:v>
                </c:pt>
                <c:pt idx="1">
                  <c:v>0.53</c:v>
                </c:pt>
                <c:pt idx="2" formatCode="0.0%">
                  <c:v>0.57299999999999995</c:v>
                </c:pt>
                <c:pt idx="3" formatCode="0.0%">
                  <c:v>0.629</c:v>
                </c:pt>
                <c:pt idx="4" formatCode="0.0%">
                  <c:v>0.69900000000000007</c:v>
                </c:pt>
                <c:pt idx="5" formatCode="0.0%">
                  <c:v>0.67099999999999993</c:v>
                </c:pt>
                <c:pt idx="6" formatCode="0.0%">
                  <c:v>0.47100000000000003</c:v>
                </c:pt>
                <c:pt idx="7" formatCode="0.0%">
                  <c:v>0.57999999999999996</c:v>
                </c:pt>
                <c:pt idx="8" formatCode="0.0%">
                  <c:v>0.61899999999999999</c:v>
                </c:pt>
                <c:pt idx="9" formatCode="0.0%">
                  <c:v>0.67600000000000005</c:v>
                </c:pt>
                <c:pt idx="10" formatCode="0.0%">
                  <c:v>0.69599999999999995</c:v>
                </c:pt>
                <c:pt idx="11" formatCode="0.0%">
                  <c:v>0.73</c:v>
                </c:pt>
              </c:numCache>
            </c:numRef>
          </c:yVal>
          <c:smooth val="0"/>
          <c:extLst>
            <c:ext xmlns:c16="http://schemas.microsoft.com/office/drawing/2014/chart" uri="{C3380CC4-5D6E-409C-BE32-E72D297353CC}">
              <c16:uniqueId val="{00000006-F76C-455E-8ADC-1638BE20BD2C}"/>
            </c:ext>
          </c:extLst>
        </c:ser>
        <c:ser>
          <c:idx val="6"/>
          <c:order val="6"/>
          <c:tx>
            <c:strRef>
              <c:f>CDF!$A$8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CDF!$B$8:$M$8</c:f>
              <c:numCache>
                <c:formatCode>General</c:formatCode>
                <c:ptCount val="12"/>
                <c:pt idx="0" formatCode="0.0%">
                  <c:v>3.3000000000000002E-2</c:v>
                </c:pt>
                <c:pt idx="1">
                  <c:v>0.38600000000000001</c:v>
                </c:pt>
                <c:pt idx="2" formatCode="0.0%">
                  <c:v>0.53800000000000003</c:v>
                </c:pt>
                <c:pt idx="3" formatCode="0.0%">
                  <c:v>0.625</c:v>
                </c:pt>
                <c:pt idx="4" formatCode="0.0%">
                  <c:v>0.65500000000000003</c:v>
                </c:pt>
                <c:pt idx="5" formatCode="0.0%">
                  <c:v>0.64700000000000002</c:v>
                </c:pt>
                <c:pt idx="6" formatCode="0.0%">
                  <c:v>0.51</c:v>
                </c:pt>
                <c:pt idx="7" formatCode="0.0%">
                  <c:v>0.28100000000000003</c:v>
                </c:pt>
                <c:pt idx="8" formatCode="0.0%">
                  <c:v>0.42600000000000005</c:v>
                </c:pt>
                <c:pt idx="9" formatCode="0.0%">
                  <c:v>0.44900000000000001</c:v>
                </c:pt>
                <c:pt idx="10" formatCode="0.0%">
                  <c:v>0.50600000000000001</c:v>
                </c:pt>
                <c:pt idx="11" formatCode="0.0%">
                  <c:v>0.55800000000000005</c:v>
                </c:pt>
              </c:numCache>
            </c:numRef>
          </c:yVal>
          <c:smooth val="0"/>
          <c:extLst>
            <c:ext xmlns:c16="http://schemas.microsoft.com/office/drawing/2014/chart" uri="{C3380CC4-5D6E-409C-BE32-E72D297353CC}">
              <c16:uniqueId val="{00000007-F76C-455E-8ADC-1638BE20BD2C}"/>
            </c:ext>
          </c:extLst>
        </c:ser>
        <c:ser>
          <c:idx val="7"/>
          <c:order val="7"/>
          <c:tx>
            <c:strRef>
              <c:f>CDF!$A$9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CDF!$B$9:$M$9</c:f>
              <c:numCache>
                <c:formatCode>General</c:formatCode>
                <c:ptCount val="12"/>
                <c:pt idx="0" formatCode="0.0%">
                  <c:v>0.20300000000000001</c:v>
                </c:pt>
                <c:pt idx="1">
                  <c:v>0.42200000000000004</c:v>
                </c:pt>
                <c:pt idx="2" formatCode="0.0%">
                  <c:v>0.253</c:v>
                </c:pt>
                <c:pt idx="3" formatCode="0.0%">
                  <c:v>0.503</c:v>
                </c:pt>
                <c:pt idx="4" formatCode="0.0%">
                  <c:v>0.54100000000000004</c:v>
                </c:pt>
                <c:pt idx="5" formatCode="0.0%">
                  <c:v>0.54700000000000004</c:v>
                </c:pt>
                <c:pt idx="6" formatCode="0.0%">
                  <c:v>0.52</c:v>
                </c:pt>
                <c:pt idx="7" formatCode="0.0%">
                  <c:v>0.59599999999999997</c:v>
                </c:pt>
                <c:pt idx="8" formatCode="0.0%">
                  <c:v>0.70599999999999996</c:v>
                </c:pt>
                <c:pt idx="9" formatCode="0.0%">
                  <c:v>0.72899999999999998</c:v>
                </c:pt>
                <c:pt idx="10" formatCode="0.0%">
                  <c:v>0.76700000000000002</c:v>
                </c:pt>
                <c:pt idx="11" formatCode="0.0%">
                  <c:v>0.79700000000000004</c:v>
                </c:pt>
              </c:numCache>
            </c:numRef>
          </c:yVal>
          <c:smooth val="0"/>
          <c:extLst>
            <c:ext xmlns:c16="http://schemas.microsoft.com/office/drawing/2014/chart" uri="{C3380CC4-5D6E-409C-BE32-E72D297353CC}">
              <c16:uniqueId val="{00000008-F76C-455E-8ADC-1638BE20BD2C}"/>
            </c:ext>
          </c:extLst>
        </c:ser>
        <c:ser>
          <c:idx val="8"/>
          <c:order val="8"/>
          <c:tx>
            <c:strRef>
              <c:f>CDF!$A$10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CDF!$B$10:$M$10</c:f>
              <c:numCache>
                <c:formatCode>General</c:formatCode>
                <c:ptCount val="12"/>
                <c:pt idx="0" formatCode="0.0%">
                  <c:v>0.28000000000000003</c:v>
                </c:pt>
                <c:pt idx="1">
                  <c:v>0.36600000000000005</c:v>
                </c:pt>
                <c:pt idx="2" formatCode="0.0%">
                  <c:v>0.48799999999999999</c:v>
                </c:pt>
                <c:pt idx="3" formatCode="0.0%">
                  <c:v>0.64</c:v>
                </c:pt>
                <c:pt idx="4" formatCode="0.0%">
                  <c:v>0.78300000000000003</c:v>
                </c:pt>
                <c:pt idx="5" formatCode="0.0%">
                  <c:v>0.57100000000000006</c:v>
                </c:pt>
                <c:pt idx="6" formatCode="0.0%">
                  <c:v>0.745</c:v>
                </c:pt>
                <c:pt idx="7" formatCode="0.0%">
                  <c:v>0.78900000000000003</c:v>
                </c:pt>
                <c:pt idx="8" formatCode="0.0%">
                  <c:v>0.78800000000000003</c:v>
                </c:pt>
                <c:pt idx="9" formatCode="0.0%">
                  <c:v>0.75700000000000001</c:v>
                </c:pt>
                <c:pt idx="10" formatCode="0.0%">
                  <c:v>0.77500000000000002</c:v>
                </c:pt>
                <c:pt idx="11" formatCode="0.0%">
                  <c:v>0.78400000000000003</c:v>
                </c:pt>
              </c:numCache>
            </c:numRef>
          </c:yVal>
          <c:smooth val="0"/>
          <c:extLst>
            <c:ext xmlns:c16="http://schemas.microsoft.com/office/drawing/2014/chart" uri="{C3380CC4-5D6E-409C-BE32-E72D297353CC}">
              <c16:uniqueId val="{00000009-F76C-455E-8ADC-1638BE20BD2C}"/>
            </c:ext>
          </c:extLst>
        </c:ser>
        <c:ser>
          <c:idx val="9"/>
          <c:order val="9"/>
          <c:tx>
            <c:strRef>
              <c:f>CDF!$A$11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CDF!$B$11:$M$11</c:f>
              <c:numCache>
                <c:formatCode>General</c:formatCode>
                <c:ptCount val="12"/>
                <c:pt idx="0" formatCode="0.0%">
                  <c:v>0.38799999999999996</c:v>
                </c:pt>
                <c:pt idx="1">
                  <c:v>0.53200000000000003</c:v>
                </c:pt>
                <c:pt idx="2" formatCode="0.0%">
                  <c:v>0.41100000000000003</c:v>
                </c:pt>
                <c:pt idx="3" formatCode="0.0%">
                  <c:v>0.51500000000000001</c:v>
                </c:pt>
                <c:pt idx="4" formatCode="0.0%">
                  <c:v>0.64</c:v>
                </c:pt>
                <c:pt idx="5" formatCode="0.0%">
                  <c:v>0.50600000000000001</c:v>
                </c:pt>
                <c:pt idx="6" formatCode="0.0%">
                  <c:v>0.35100000000000003</c:v>
                </c:pt>
                <c:pt idx="7" formatCode="0.0%">
                  <c:v>0.42700000000000005</c:v>
                </c:pt>
                <c:pt idx="8" formatCode="0.0%">
                  <c:v>0.56899999999999995</c:v>
                </c:pt>
                <c:pt idx="9" formatCode="0.0%">
                  <c:v>0.67600000000000005</c:v>
                </c:pt>
                <c:pt idx="10" formatCode="0.0%">
                  <c:v>0.58799999999999997</c:v>
                </c:pt>
                <c:pt idx="11" formatCode="0.0%">
                  <c:v>0.64900000000000002</c:v>
                </c:pt>
              </c:numCache>
            </c:numRef>
          </c:yVal>
          <c:smooth val="0"/>
          <c:extLst>
            <c:ext xmlns:c16="http://schemas.microsoft.com/office/drawing/2014/chart" uri="{C3380CC4-5D6E-409C-BE32-E72D297353CC}">
              <c16:uniqueId val="{0000000A-F76C-455E-8ADC-1638BE20BD2C}"/>
            </c:ext>
          </c:extLst>
        </c:ser>
        <c:ser>
          <c:idx val="10"/>
          <c:order val="10"/>
          <c:tx>
            <c:strRef>
              <c:f>CDF!$A$12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CDF!$B$12:$M$12</c:f>
              <c:numCache>
                <c:formatCode>General</c:formatCode>
                <c:ptCount val="12"/>
                <c:pt idx="6" formatCode="0.0%">
                  <c:v>0.55100000000000005</c:v>
                </c:pt>
                <c:pt idx="7" formatCode="0.0%">
                  <c:v>0.59700000000000009</c:v>
                </c:pt>
                <c:pt idx="8" formatCode="0.0%">
                  <c:v>0.55400000000000005</c:v>
                </c:pt>
                <c:pt idx="9" formatCode="0.0%">
                  <c:v>0.67200000000000004</c:v>
                </c:pt>
                <c:pt idx="10" formatCode="0.0%">
                  <c:v>0.71299999999999997</c:v>
                </c:pt>
                <c:pt idx="11" formatCode="0.0%">
                  <c:v>0.82699999999999996</c:v>
                </c:pt>
              </c:numCache>
            </c:numRef>
          </c:yVal>
          <c:smooth val="0"/>
          <c:extLst>
            <c:ext xmlns:c16="http://schemas.microsoft.com/office/drawing/2014/chart" uri="{C3380CC4-5D6E-409C-BE32-E72D297353CC}">
              <c16:uniqueId val="{0000000B-F76C-455E-8ADC-1638BE20BD2C}"/>
            </c:ext>
          </c:extLst>
        </c:ser>
        <c:ser>
          <c:idx val="11"/>
          <c:order val="11"/>
          <c:tx>
            <c:strRef>
              <c:f>CDF!$A$13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CDF!$B$13:$M$13</c:f>
              <c:numCache>
                <c:formatCode>General</c:formatCode>
                <c:ptCount val="12"/>
                <c:pt idx="6" formatCode="0.0%">
                  <c:v>0.498</c:v>
                </c:pt>
                <c:pt idx="7" formatCode="0.0%">
                  <c:v>0.51700000000000002</c:v>
                </c:pt>
                <c:pt idx="8" formatCode="0.0%">
                  <c:v>0.52200000000000002</c:v>
                </c:pt>
                <c:pt idx="9" formatCode="0.0%">
                  <c:v>0.55400000000000005</c:v>
                </c:pt>
                <c:pt idx="10" formatCode="0.0%">
                  <c:v>0.61799999999999999</c:v>
                </c:pt>
                <c:pt idx="11" formatCode="0.0%">
                  <c:v>0.624</c:v>
                </c:pt>
              </c:numCache>
            </c:numRef>
          </c:yVal>
          <c:smooth val="0"/>
          <c:extLst>
            <c:ext xmlns:c16="http://schemas.microsoft.com/office/drawing/2014/chart" uri="{C3380CC4-5D6E-409C-BE32-E72D297353CC}">
              <c16:uniqueId val="{0000000C-F76C-455E-8ADC-1638BE20BD2C}"/>
            </c:ext>
          </c:extLst>
        </c:ser>
        <c:ser>
          <c:idx val="13"/>
          <c:order val="12"/>
          <c:tx>
            <c:strRef>
              <c:f>CDF!$A$14</c:f>
              <c:strCache>
                <c:ptCount val="1"/>
                <c:pt idx="0">
                  <c:v>Statewide</c:v>
                </c:pt>
              </c:strCache>
            </c:strRef>
          </c:tx>
          <c:spPr>
            <a:ln w="28575" cap="rnd">
              <a:solidFill>
                <a:schemeClr val="accent1">
                  <a:lumMod val="75000"/>
                </a:schemeClr>
              </a:solidFill>
              <a:round/>
            </a:ln>
            <a:effectLst/>
          </c:spPr>
          <c:marker>
            <c:symbol val="none"/>
          </c:marker>
          <c:dPt>
            <c:idx val="7"/>
            <c:marker>
              <c:symbol val="none"/>
            </c:marker>
            <c:bubble3D val="0"/>
            <c:extLst>
              <c:ext xmlns:c16="http://schemas.microsoft.com/office/drawing/2014/chart" uri="{C3380CC4-5D6E-409C-BE32-E72D297353CC}">
                <c16:uniqueId val="{0000000D-F76C-455E-8ADC-1638BE20BD2C}"/>
              </c:ext>
            </c:extLst>
          </c:dPt>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CDF!$B$14:$M$14</c:f>
              <c:numCache>
                <c:formatCode>General</c:formatCode>
                <c:ptCount val="12"/>
                <c:pt idx="0" formatCode="0.0%">
                  <c:v>0.27899999999999997</c:v>
                </c:pt>
                <c:pt idx="1">
                  <c:v>0.374</c:v>
                </c:pt>
                <c:pt idx="2" formatCode="0.0%">
                  <c:v>0.48</c:v>
                </c:pt>
                <c:pt idx="3" formatCode="0.0%">
                  <c:v>0.58200000000000007</c:v>
                </c:pt>
                <c:pt idx="4" formatCode="0.0%">
                  <c:v>0.64</c:v>
                </c:pt>
                <c:pt idx="5" formatCode="0.0%">
                  <c:v>0.60399999999999998</c:v>
                </c:pt>
                <c:pt idx="6" formatCode="0.0%">
                  <c:v>0.52</c:v>
                </c:pt>
                <c:pt idx="7" formatCode="0.0%">
                  <c:v>0.52</c:v>
                </c:pt>
                <c:pt idx="8" formatCode="0.0%">
                  <c:v>0.58299999999999996</c:v>
                </c:pt>
                <c:pt idx="9" formatCode="0.0%">
                  <c:v>0.64900000000000002</c:v>
                </c:pt>
                <c:pt idx="10" formatCode="0.0%">
                  <c:v>0.67800000000000005</c:v>
                </c:pt>
                <c:pt idx="11" formatCode="0.0%">
                  <c:v>0.72399999999999998</c:v>
                </c:pt>
              </c:numCache>
            </c:numRef>
          </c:yVal>
          <c:smooth val="0"/>
          <c:extLst>
            <c:ext xmlns:c16="http://schemas.microsoft.com/office/drawing/2014/chart" uri="{C3380CC4-5D6E-409C-BE32-E72D297353CC}">
              <c16:uniqueId val="{0000000E-F76C-455E-8ADC-1638BE20BD2C}"/>
            </c:ext>
          </c:extLst>
        </c:ser>
        <c:ser>
          <c:idx val="14"/>
          <c:order val="13"/>
          <c:tx>
            <c:strRef>
              <c:f>CDF!$A$15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CDF!$B$15:$M$15</c:f>
              <c:numCache>
                <c:formatCode>General</c:formatCode>
                <c:ptCount val="12"/>
                <c:pt idx="7" formatCode="0.0%">
                  <c:v>0.38500000000000001</c:v>
                </c:pt>
                <c:pt idx="8" formatCode="0.0%">
                  <c:v>0.63400000000000001</c:v>
                </c:pt>
                <c:pt idx="9" formatCode="0.0%">
                  <c:v>0.69899999999999995</c:v>
                </c:pt>
                <c:pt idx="10" formatCode="0.0%">
                  <c:v>0.68300000000000005</c:v>
                </c:pt>
                <c:pt idx="11" formatCode="0.0%">
                  <c:v>0.78400000000000003</c:v>
                </c:pt>
              </c:numCache>
            </c:numRef>
          </c:yVal>
          <c:smooth val="0"/>
          <c:extLst>
            <c:ext xmlns:c16="http://schemas.microsoft.com/office/drawing/2014/chart" uri="{C3380CC4-5D6E-409C-BE32-E72D297353CC}">
              <c16:uniqueId val="{0000000F-F76C-455E-8ADC-1638BE20BD2C}"/>
            </c:ext>
          </c:extLst>
        </c:ser>
        <c:ser>
          <c:idx val="15"/>
          <c:order val="14"/>
          <c:tx>
            <c:strRef>
              <c:f>CDF!$A$16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CDF!$B$16:$M$16</c:f>
              <c:numCache>
                <c:formatCode>General</c:formatCode>
                <c:ptCount val="12"/>
                <c:pt idx="0" formatCode="0.0%">
                  <c:v>0.14099999999999999</c:v>
                </c:pt>
                <c:pt idx="1">
                  <c:v>0.23500000000000001</c:v>
                </c:pt>
                <c:pt idx="2" formatCode="0.0%">
                  <c:v>0.43700000000000006</c:v>
                </c:pt>
                <c:pt idx="3" formatCode="0.0%">
                  <c:v>0.51300000000000001</c:v>
                </c:pt>
                <c:pt idx="4" formatCode="0.0%">
                  <c:v>0.57600000000000007</c:v>
                </c:pt>
                <c:pt idx="5" formatCode="0.0%">
                  <c:v>0.58399999999999996</c:v>
                </c:pt>
                <c:pt idx="6" formatCode="0.0%">
                  <c:v>0.495</c:v>
                </c:pt>
                <c:pt idx="7" formatCode="0.0%">
                  <c:v>0.42200000000000004</c:v>
                </c:pt>
                <c:pt idx="8" formatCode="0.0%">
                  <c:v>0.60599999999999998</c:v>
                </c:pt>
                <c:pt idx="9" formatCode="0.0%">
                  <c:v>0.68200000000000005</c:v>
                </c:pt>
                <c:pt idx="10" formatCode="0.0%">
                  <c:v>0.74</c:v>
                </c:pt>
                <c:pt idx="11" formatCode="0.0%">
                  <c:v>0.81299999999999994</c:v>
                </c:pt>
              </c:numCache>
            </c:numRef>
          </c:yVal>
          <c:smooth val="0"/>
          <c:extLst>
            <c:ext xmlns:c16="http://schemas.microsoft.com/office/drawing/2014/chart" uri="{C3380CC4-5D6E-409C-BE32-E72D297353CC}">
              <c16:uniqueId val="{00000010-F76C-455E-8ADC-1638BE20BD2C}"/>
            </c:ext>
          </c:extLst>
        </c:ser>
        <c:ser>
          <c:idx val="16"/>
          <c:order val="15"/>
          <c:tx>
            <c:strRef>
              <c:f>CDF!$A$17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CDF!$B$17:$M$17</c:f>
              <c:numCache>
                <c:formatCode>General</c:formatCode>
                <c:ptCount val="12"/>
                <c:pt idx="0" formatCode="0.0%">
                  <c:v>0.58700000000000008</c:v>
                </c:pt>
                <c:pt idx="1">
                  <c:v>0.59</c:v>
                </c:pt>
                <c:pt idx="2" formatCode="0.0%">
                  <c:v>0.66300000000000003</c:v>
                </c:pt>
                <c:pt idx="3" formatCode="0.0%">
                  <c:v>0.748</c:v>
                </c:pt>
                <c:pt idx="4" formatCode="0.0%">
                  <c:v>0.746</c:v>
                </c:pt>
                <c:pt idx="5" formatCode="0.0%">
                  <c:v>0.42299999999999999</c:v>
                </c:pt>
                <c:pt idx="6" formatCode="0.0%">
                  <c:v>0.51</c:v>
                </c:pt>
                <c:pt idx="7" formatCode="0.0%">
                  <c:v>0.253</c:v>
                </c:pt>
                <c:pt idx="8" formatCode="0.0%">
                  <c:v>0.47100000000000003</c:v>
                </c:pt>
                <c:pt idx="9" formatCode="0.0%">
                  <c:v>0.58699999999999997</c:v>
                </c:pt>
                <c:pt idx="10" formatCode="0.0%">
                  <c:v>0.70299999999999996</c:v>
                </c:pt>
                <c:pt idx="11" formatCode="0.0%">
                  <c:v>0.73</c:v>
                </c:pt>
              </c:numCache>
            </c:numRef>
          </c:yVal>
          <c:smooth val="0"/>
          <c:extLst>
            <c:ext xmlns:c16="http://schemas.microsoft.com/office/drawing/2014/chart" uri="{C3380CC4-5D6E-409C-BE32-E72D297353CC}">
              <c16:uniqueId val="{00000011-F76C-455E-8ADC-1638BE20BD2C}"/>
            </c:ext>
          </c:extLst>
        </c:ser>
        <c:ser>
          <c:idx val="17"/>
          <c:order val="17"/>
          <c:tx>
            <c:strRef>
              <c:f>CDF!$A$20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CDF!$B$20:$M$20</c:f>
              <c:numCache>
                <c:formatCode>0.0%</c:formatCode>
                <c:ptCount val="12"/>
                <c:pt idx="0">
                  <c:v>0.27899999999999997</c:v>
                </c:pt>
                <c:pt idx="1">
                  <c:v>0.374</c:v>
                </c:pt>
                <c:pt idx="2">
                  <c:v>0.48</c:v>
                </c:pt>
                <c:pt idx="3">
                  <c:v>0.58200000000000007</c:v>
                </c:pt>
                <c:pt idx="4">
                  <c:v>0.64</c:v>
                </c:pt>
                <c:pt idx="5">
                  <c:v>0.60399999999999998</c:v>
                </c:pt>
                <c:pt idx="6">
                  <c:v>0.52</c:v>
                </c:pt>
                <c:pt idx="7">
                  <c:v>0.52</c:v>
                </c:pt>
                <c:pt idx="8">
                  <c:v>0.58299999999999996</c:v>
                </c:pt>
                <c:pt idx="9">
                  <c:v>0.64900000000000002</c:v>
                </c:pt>
                <c:pt idx="10">
                  <c:v>0.67800000000000005</c:v>
                </c:pt>
                <c:pt idx="11">
                  <c:v>0.72399999999999998</c:v>
                </c:pt>
              </c:numCache>
            </c:numRef>
          </c:yVal>
          <c:smooth val="0"/>
          <c:extLst>
            <c:ext xmlns:c16="http://schemas.microsoft.com/office/drawing/2014/chart" uri="{C3380CC4-5D6E-409C-BE32-E72D297353CC}">
              <c16:uniqueId val="{00000012-F76C-455E-8ADC-1638BE20BD2C}"/>
            </c:ext>
          </c:extLst>
        </c:ser>
        <c:ser>
          <c:idx val="20"/>
          <c:order val="18"/>
          <c:tx>
            <c:strRef>
              <c:f>CDF!$A$19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CDF!$B$19:$M$19</c:f>
              <c:numCache>
                <c:formatCode>0.0%</c:formatCode>
                <c:ptCount val="12"/>
                <c:pt idx="0">
                  <c:v>0.68099999999999994</c:v>
                </c:pt>
                <c:pt idx="1">
                  <c:v>0.628</c:v>
                </c:pt>
                <c:pt idx="2">
                  <c:v>0.68200000000000005</c:v>
                </c:pt>
                <c:pt idx="3">
                  <c:v>0.61499999999999999</c:v>
                </c:pt>
                <c:pt idx="4">
                  <c:v>0.73</c:v>
                </c:pt>
                <c:pt idx="5">
                  <c:v>0.69700000000000006</c:v>
                </c:pt>
                <c:pt idx="6">
                  <c:v>0.55500000000000005</c:v>
                </c:pt>
                <c:pt idx="7">
                  <c:v>0.623</c:v>
                </c:pt>
                <c:pt idx="8">
                  <c:v>0.65</c:v>
                </c:pt>
                <c:pt idx="9">
                  <c:v>0.71</c:v>
                </c:pt>
                <c:pt idx="10">
                  <c:v>0.78600000000000003</c:v>
                </c:pt>
                <c:pt idx="11">
                  <c:v>0.82799999999999996</c:v>
                </c:pt>
              </c:numCache>
            </c:numRef>
          </c:yVal>
          <c:smooth val="0"/>
          <c:extLst>
            <c:ext xmlns:c16="http://schemas.microsoft.com/office/drawing/2014/chart" uri="{C3380CC4-5D6E-409C-BE32-E72D297353CC}">
              <c16:uniqueId val="{00000013-F76C-455E-8ADC-1638BE20BD2C}"/>
            </c:ext>
          </c:extLst>
        </c:ser>
        <c:ser>
          <c:idx val="18"/>
          <c:order val="19"/>
          <c:tx>
            <c:strRef>
              <c:f>CDF!$A$21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2"/>
              <c:tx>
                <c:rich>
                  <a:bodyPr/>
                  <a:lstStyle/>
                  <a:p>
                    <a:r>
                      <a:rPr lang="en-US"/>
                      <a:t>Punto de referencia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F76C-455E-8ADC-1638BE20BD2C}"/>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CDF!$B$1:$M$1</c:f>
              <c:strCache>
                <c:ptCount val="12"/>
                <c:pt idx="0">
                  <c:v>'14</c:v>
                </c:pt>
                <c:pt idx="1">
                  <c:v>'15</c:v>
                </c:pt>
                <c:pt idx="2">
                  <c:v>'16</c:v>
                </c:pt>
                <c:pt idx="3">
                  <c:v>'17</c:v>
                </c:pt>
                <c:pt idx="4">
                  <c:v>'18</c:v>
                </c:pt>
                <c:pt idx="5">
                  <c:v>'19</c:v>
                </c:pt>
                <c:pt idx="6">
                  <c:v>'20</c:v>
                </c:pt>
                <c:pt idx="7">
                  <c:v>'21</c:v>
                </c:pt>
                <c:pt idx="8">
                  <c:v>'22</c:v>
                </c:pt>
                <c:pt idx="9">
                  <c:v>'23</c:v>
                </c:pt>
                <c:pt idx="10">
                  <c:v>'24</c:v>
                </c:pt>
                <c:pt idx="11">
                  <c:v>'25</c:v>
                </c:pt>
              </c:strCache>
            </c:strRef>
          </c:xVal>
          <c:yVal>
            <c:numRef>
              <c:f>CDF!$B$21:$M$21</c:f>
              <c:numCache>
                <c:formatCode>0.0%</c:formatCode>
                <c:ptCount val="12"/>
                <c:pt idx="0">
                  <c:v>0.25</c:v>
                </c:pt>
                <c:pt idx="1">
                  <c:v>0.25</c:v>
                </c:pt>
                <c:pt idx="2">
                  <c:v>0.25</c:v>
                </c:pt>
                <c:pt idx="3">
                  <c:v>0.52900000000000003</c:v>
                </c:pt>
                <c:pt idx="4">
                  <c:v>0.63</c:v>
                </c:pt>
                <c:pt idx="8">
                  <c:v>0.64600000000000002</c:v>
                </c:pt>
                <c:pt idx="9">
                  <c:v>0.61</c:v>
                </c:pt>
                <c:pt idx="10">
                  <c:v>0.68200000000000005</c:v>
                </c:pt>
                <c:pt idx="11">
                  <c:v>0.73799999999999999</c:v>
                </c:pt>
              </c:numCache>
            </c:numRef>
          </c:yVal>
          <c:smooth val="0"/>
          <c:extLst>
            <c:ext xmlns:c16="http://schemas.microsoft.com/office/drawing/2014/chart" uri="{C3380CC4-5D6E-409C-BE32-E72D297353CC}">
              <c16:uniqueId val="{00000015-F76C-455E-8ADC-1638BE20BD2C}"/>
            </c:ext>
          </c:extLst>
        </c:ser>
        <c:ser>
          <c:idx val="19"/>
          <c:order val="20"/>
          <c:tx>
            <c:strRef>
              <c:f>CDF!$O$1</c:f>
              <c:strCache>
                <c:ptCount val="1"/>
                <c:pt idx="0">
                  <c:v>Spec change year:</c:v>
                </c:pt>
              </c:strCache>
            </c:strRef>
          </c:tx>
          <c:spPr>
            <a:ln w="22225" cap="rnd">
              <a:solidFill>
                <a:schemeClr val="accent2">
                  <a:lumMod val="80000"/>
                </a:schemeClr>
              </a:solidFill>
              <a:round/>
            </a:ln>
            <a:effectLst/>
          </c:spPr>
          <c:marker>
            <c:symbol val="none"/>
          </c:marker>
          <c:dPt>
            <c:idx val="1"/>
            <c:marker>
              <c:symbol val="none"/>
            </c:marker>
            <c:bubble3D val="0"/>
            <c:spPr>
              <a:ln w="22225" cap="rnd">
                <a:solidFill>
                  <a:schemeClr val="tx1">
                    <a:lumMod val="60000"/>
                    <a:lumOff val="40000"/>
                  </a:schemeClr>
                </a:solidFill>
                <a:prstDash val="dash"/>
                <a:round/>
              </a:ln>
              <a:effectLst/>
            </c:spPr>
            <c:extLst>
              <c:ext xmlns:c16="http://schemas.microsoft.com/office/drawing/2014/chart" uri="{C3380CC4-5D6E-409C-BE32-E72D297353CC}">
                <c16:uniqueId val="{00000017-F76C-455E-8ADC-1638BE20BD2C}"/>
              </c:ext>
            </c:extLst>
          </c:dPt>
          <c:xVal>
            <c:numRef>
              <c:f>CDF!$O$3:$O$4</c:f>
              <c:numCache>
                <c:formatCode>General</c:formatCode>
                <c:ptCount val="2"/>
                <c:pt idx="0">
                  <c:v>6</c:v>
                </c:pt>
                <c:pt idx="1">
                  <c:v>6</c:v>
                </c:pt>
              </c:numCache>
            </c:numRef>
          </c:xVal>
          <c:yVal>
            <c:numRef>
              <c:f>CDF!$P$3:$P$4</c:f>
              <c:numCache>
                <c:formatCode>General</c:formatCode>
                <c:ptCount val="2"/>
                <c:pt idx="0">
                  <c:v>0</c:v>
                </c:pt>
                <c:pt idx="1">
                  <c:v>1</c:v>
                </c:pt>
              </c:numCache>
            </c:numRef>
          </c:yVal>
          <c:smooth val="0"/>
          <c:extLst>
            <c:ext xmlns:c16="http://schemas.microsoft.com/office/drawing/2014/chart" uri="{C3380CC4-5D6E-409C-BE32-E72D297353CC}">
              <c16:uniqueId val="{00000018-F76C-455E-8ADC-1638BE20BD2C}"/>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8162729658793"/>
          <c:y val="4.9305389856570958E-2"/>
          <c:w val="0.84896281714785649"/>
          <c:h val="0.75786374241098653"/>
        </c:manualLayout>
      </c:layout>
      <c:lineChart>
        <c:grouping val="standard"/>
        <c:varyColors val="0"/>
        <c:ser>
          <c:idx val="12"/>
          <c:order val="16"/>
          <c:tx>
            <c:strRef>
              <c:f>OED!$A$18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OED!$B$1:$I$1</c:f>
              <c:strCache>
                <c:ptCount val="8"/>
                <c:pt idx="0">
                  <c:v>'18</c:v>
                </c:pt>
                <c:pt idx="1">
                  <c:v>'19</c:v>
                </c:pt>
                <c:pt idx="2">
                  <c:v>'20</c:v>
                </c:pt>
                <c:pt idx="3">
                  <c:v>'21</c:v>
                </c:pt>
                <c:pt idx="4">
                  <c:v>'22</c:v>
                </c:pt>
                <c:pt idx="5">
                  <c:v>'23</c:v>
                </c:pt>
                <c:pt idx="6">
                  <c:v>'24</c:v>
                </c:pt>
                <c:pt idx="7">
                  <c:v>'25</c:v>
                </c:pt>
              </c:strCache>
            </c:strRef>
          </c:cat>
          <c:val>
            <c:numRef>
              <c:f>OED!$B$18:$I$18</c:f>
              <c:numCache>
                <c:formatCode>0.0%</c:formatCode>
                <c:ptCount val="8"/>
                <c:pt idx="0">
                  <c:v>0.27300000000000002</c:v>
                </c:pt>
                <c:pt idx="1">
                  <c:v>0.29300000000000004</c:v>
                </c:pt>
                <c:pt idx="2">
                  <c:v>0.18100000000000002</c:v>
                </c:pt>
                <c:pt idx="3">
                  <c:v>0.23600000000000002</c:v>
                </c:pt>
                <c:pt idx="4">
                  <c:v>0.249</c:v>
                </c:pt>
                <c:pt idx="5">
                  <c:v>0.30499999999999999</c:v>
                </c:pt>
                <c:pt idx="6">
                  <c:v>0.32200000000000001</c:v>
                </c:pt>
                <c:pt idx="7">
                  <c:v>0.34599999999999997</c:v>
                </c:pt>
              </c:numCache>
            </c:numRef>
          </c:val>
          <c:smooth val="0"/>
          <c:extLst>
            <c:ext xmlns:c16="http://schemas.microsoft.com/office/drawing/2014/chart" uri="{C3380CC4-5D6E-409C-BE32-E72D297353CC}">
              <c16:uniqueId val="{00000000-188F-499A-A79B-90D29FC3F23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OED!$A$2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OED!$B$2:$I$2</c:f>
              <c:numCache>
                <c:formatCode>0.0%</c:formatCode>
                <c:ptCount val="8"/>
                <c:pt idx="0">
                  <c:v>0.152</c:v>
                </c:pt>
                <c:pt idx="1">
                  <c:v>0.22700000000000001</c:v>
                </c:pt>
                <c:pt idx="2">
                  <c:v>0.161</c:v>
                </c:pt>
                <c:pt idx="3">
                  <c:v>0.184</c:v>
                </c:pt>
                <c:pt idx="4">
                  <c:v>0.22100000000000003</c:v>
                </c:pt>
                <c:pt idx="5">
                  <c:v>0.253</c:v>
                </c:pt>
                <c:pt idx="6">
                  <c:v>0.29899999999999999</c:v>
                </c:pt>
                <c:pt idx="7">
                  <c:v>0.28599999999999998</c:v>
                </c:pt>
              </c:numCache>
            </c:numRef>
          </c:yVal>
          <c:smooth val="0"/>
          <c:extLst>
            <c:ext xmlns:c16="http://schemas.microsoft.com/office/drawing/2014/chart" uri="{C3380CC4-5D6E-409C-BE32-E72D297353CC}">
              <c16:uniqueId val="{00000001-188F-499A-A79B-90D29FC3F23E}"/>
            </c:ext>
          </c:extLst>
        </c:ser>
        <c:ser>
          <c:idx val="1"/>
          <c:order val="1"/>
          <c:tx>
            <c:strRef>
              <c:f>OED!$A$3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OED!$B$3:$I$3</c:f>
              <c:numCache>
                <c:formatCode>0.0%</c:formatCode>
                <c:ptCount val="8"/>
                <c:pt idx="0">
                  <c:v>0.254</c:v>
                </c:pt>
                <c:pt idx="1">
                  <c:v>0.27700000000000002</c:v>
                </c:pt>
                <c:pt idx="2">
                  <c:v>0.18300000000000002</c:v>
                </c:pt>
                <c:pt idx="3">
                  <c:v>0.222</c:v>
                </c:pt>
                <c:pt idx="4">
                  <c:v>0.214</c:v>
                </c:pt>
                <c:pt idx="5">
                  <c:v>0.21199999999999999</c:v>
                </c:pt>
                <c:pt idx="6">
                  <c:v>0.251</c:v>
                </c:pt>
                <c:pt idx="7">
                  <c:v>0.247</c:v>
                </c:pt>
              </c:numCache>
            </c:numRef>
          </c:yVal>
          <c:smooth val="0"/>
          <c:extLst>
            <c:ext xmlns:c16="http://schemas.microsoft.com/office/drawing/2014/chart" uri="{C3380CC4-5D6E-409C-BE32-E72D297353CC}">
              <c16:uniqueId val="{00000002-188F-499A-A79B-90D29FC3F23E}"/>
            </c:ext>
          </c:extLst>
        </c:ser>
        <c:ser>
          <c:idx val="2"/>
          <c:order val="2"/>
          <c:tx>
            <c:strRef>
              <c:f>OED!$A$4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OED!$B$4:$I$4</c:f>
              <c:numCache>
                <c:formatCode>0.0%</c:formatCode>
                <c:ptCount val="8"/>
                <c:pt idx="0">
                  <c:v>0.21300000000000002</c:v>
                </c:pt>
                <c:pt idx="1">
                  <c:v>0.27300000000000002</c:v>
                </c:pt>
                <c:pt idx="2">
                  <c:v>0.16600000000000001</c:v>
                </c:pt>
                <c:pt idx="3">
                  <c:v>0.19700000000000001</c:v>
                </c:pt>
                <c:pt idx="4">
                  <c:v>0.20500000000000002</c:v>
                </c:pt>
                <c:pt idx="5">
                  <c:v>0.20100000000000001</c:v>
                </c:pt>
                <c:pt idx="6">
                  <c:v>0.27100000000000002</c:v>
                </c:pt>
                <c:pt idx="7">
                  <c:v>0.30399999999999999</c:v>
                </c:pt>
              </c:numCache>
            </c:numRef>
          </c:yVal>
          <c:smooth val="0"/>
          <c:extLst>
            <c:ext xmlns:c16="http://schemas.microsoft.com/office/drawing/2014/chart" uri="{C3380CC4-5D6E-409C-BE32-E72D297353CC}">
              <c16:uniqueId val="{00000003-188F-499A-A79B-90D29FC3F23E}"/>
            </c:ext>
          </c:extLst>
        </c:ser>
        <c:ser>
          <c:idx val="3"/>
          <c:order val="3"/>
          <c:tx>
            <c:strRef>
              <c:f>OED!$A$5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OED!$B$5:$I$5</c:f>
              <c:numCache>
                <c:formatCode>0.0%</c:formatCode>
                <c:ptCount val="8"/>
                <c:pt idx="0">
                  <c:v>0.23300000000000001</c:v>
                </c:pt>
                <c:pt idx="1">
                  <c:v>0.25900000000000001</c:v>
                </c:pt>
                <c:pt idx="2">
                  <c:v>0.16800000000000001</c:v>
                </c:pt>
                <c:pt idx="3">
                  <c:v>0.21300000000000002</c:v>
                </c:pt>
                <c:pt idx="4">
                  <c:v>0.247</c:v>
                </c:pt>
                <c:pt idx="5">
                  <c:v>0.251</c:v>
                </c:pt>
                <c:pt idx="6">
                  <c:v>0.28799999999999998</c:v>
                </c:pt>
                <c:pt idx="7">
                  <c:v>0.26100000000000001</c:v>
                </c:pt>
              </c:numCache>
            </c:numRef>
          </c:yVal>
          <c:smooth val="0"/>
          <c:extLst>
            <c:ext xmlns:c16="http://schemas.microsoft.com/office/drawing/2014/chart" uri="{C3380CC4-5D6E-409C-BE32-E72D297353CC}">
              <c16:uniqueId val="{00000004-188F-499A-A79B-90D29FC3F23E}"/>
            </c:ext>
          </c:extLst>
        </c:ser>
        <c:ser>
          <c:idx val="4"/>
          <c:order val="4"/>
          <c:tx>
            <c:strRef>
              <c:f>OED!$A$6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OED!$B$6:$I$6</c:f>
              <c:numCache>
                <c:formatCode>0.0%</c:formatCode>
                <c:ptCount val="8"/>
                <c:pt idx="0">
                  <c:v>0.23100000000000001</c:v>
                </c:pt>
                <c:pt idx="1">
                  <c:v>0.251</c:v>
                </c:pt>
                <c:pt idx="2">
                  <c:v>0.20300000000000001</c:v>
                </c:pt>
                <c:pt idx="3">
                  <c:v>0.22</c:v>
                </c:pt>
                <c:pt idx="4">
                  <c:v>0.23</c:v>
                </c:pt>
                <c:pt idx="5">
                  <c:v>0.27500000000000002</c:v>
                </c:pt>
                <c:pt idx="6">
                  <c:v>0.30599999999999999</c:v>
                </c:pt>
                <c:pt idx="7">
                  <c:v>0.29099999999999998</c:v>
                </c:pt>
              </c:numCache>
            </c:numRef>
          </c:yVal>
          <c:smooth val="0"/>
          <c:extLst>
            <c:ext xmlns:c16="http://schemas.microsoft.com/office/drawing/2014/chart" uri="{C3380CC4-5D6E-409C-BE32-E72D297353CC}">
              <c16:uniqueId val="{00000005-188F-499A-A79B-90D29FC3F23E}"/>
            </c:ext>
          </c:extLst>
        </c:ser>
        <c:ser>
          <c:idx val="5"/>
          <c:order val="5"/>
          <c:tx>
            <c:strRef>
              <c:f>OED!$A$7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OED!$B$7:$I$7</c:f>
              <c:numCache>
                <c:formatCode>0.0%</c:formatCode>
                <c:ptCount val="8"/>
                <c:pt idx="0">
                  <c:v>0.3</c:v>
                </c:pt>
                <c:pt idx="1">
                  <c:v>0.34600000000000003</c:v>
                </c:pt>
                <c:pt idx="2">
                  <c:v>0.22100000000000003</c:v>
                </c:pt>
                <c:pt idx="3">
                  <c:v>0.28800000000000003</c:v>
                </c:pt>
                <c:pt idx="4">
                  <c:v>0.27600000000000002</c:v>
                </c:pt>
                <c:pt idx="5">
                  <c:v>0.29799999999999999</c:v>
                </c:pt>
                <c:pt idx="6">
                  <c:v>0.308</c:v>
                </c:pt>
                <c:pt idx="7">
                  <c:v>0.33100000000000002</c:v>
                </c:pt>
              </c:numCache>
            </c:numRef>
          </c:yVal>
          <c:smooth val="0"/>
          <c:extLst>
            <c:ext xmlns:c16="http://schemas.microsoft.com/office/drawing/2014/chart" uri="{C3380CC4-5D6E-409C-BE32-E72D297353CC}">
              <c16:uniqueId val="{00000006-188F-499A-A79B-90D29FC3F23E}"/>
            </c:ext>
          </c:extLst>
        </c:ser>
        <c:ser>
          <c:idx val="6"/>
          <c:order val="6"/>
          <c:tx>
            <c:strRef>
              <c:f>OED!$A$8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OED!$B$8:$I$8</c:f>
              <c:numCache>
                <c:formatCode>0.0%</c:formatCode>
                <c:ptCount val="8"/>
                <c:pt idx="0">
                  <c:v>0.253</c:v>
                </c:pt>
                <c:pt idx="1">
                  <c:v>0.27300000000000002</c:v>
                </c:pt>
                <c:pt idx="2">
                  <c:v>0.17699999999999999</c:v>
                </c:pt>
                <c:pt idx="3">
                  <c:v>0.215</c:v>
                </c:pt>
                <c:pt idx="4">
                  <c:v>0.20399999999999999</c:v>
                </c:pt>
                <c:pt idx="5">
                  <c:v>0.23</c:v>
                </c:pt>
                <c:pt idx="6">
                  <c:v>0.23499999999999999</c:v>
                </c:pt>
                <c:pt idx="7">
                  <c:v>0.23599999999999999</c:v>
                </c:pt>
              </c:numCache>
            </c:numRef>
          </c:yVal>
          <c:smooth val="0"/>
          <c:extLst>
            <c:ext xmlns:c16="http://schemas.microsoft.com/office/drawing/2014/chart" uri="{C3380CC4-5D6E-409C-BE32-E72D297353CC}">
              <c16:uniqueId val="{00000007-188F-499A-A79B-90D29FC3F23E}"/>
            </c:ext>
          </c:extLst>
        </c:ser>
        <c:ser>
          <c:idx val="7"/>
          <c:order val="7"/>
          <c:tx>
            <c:strRef>
              <c:f>OED!$A$9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OED!$B$9:$I$9</c:f>
              <c:numCache>
                <c:formatCode>0.0%</c:formatCode>
                <c:ptCount val="8"/>
                <c:pt idx="0">
                  <c:v>0.27300000000000002</c:v>
                </c:pt>
                <c:pt idx="1">
                  <c:v>0.30499999999999999</c:v>
                </c:pt>
                <c:pt idx="2">
                  <c:v>0.20399999999999999</c:v>
                </c:pt>
                <c:pt idx="3">
                  <c:v>0.222</c:v>
                </c:pt>
                <c:pt idx="4">
                  <c:v>0.23500000000000001</c:v>
                </c:pt>
                <c:pt idx="5">
                  <c:v>0.252</c:v>
                </c:pt>
                <c:pt idx="6">
                  <c:v>0.28199999999999997</c:v>
                </c:pt>
                <c:pt idx="7">
                  <c:v>0.27600000000000002</c:v>
                </c:pt>
              </c:numCache>
            </c:numRef>
          </c:yVal>
          <c:smooth val="0"/>
          <c:extLst>
            <c:ext xmlns:c16="http://schemas.microsoft.com/office/drawing/2014/chart" uri="{C3380CC4-5D6E-409C-BE32-E72D297353CC}">
              <c16:uniqueId val="{00000008-188F-499A-A79B-90D29FC3F23E}"/>
            </c:ext>
          </c:extLst>
        </c:ser>
        <c:ser>
          <c:idx val="8"/>
          <c:order val="8"/>
          <c:tx>
            <c:strRef>
              <c:f>OED!$A$10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OED!$B$10:$I$10</c:f>
              <c:numCache>
                <c:formatCode>0.0%</c:formatCode>
                <c:ptCount val="8"/>
                <c:pt idx="0">
                  <c:v>0.22800000000000001</c:v>
                </c:pt>
                <c:pt idx="1">
                  <c:v>0.318</c:v>
                </c:pt>
                <c:pt idx="2">
                  <c:v>0.17899999999999999</c:v>
                </c:pt>
                <c:pt idx="3">
                  <c:v>0.21199999999999999</c:v>
                </c:pt>
                <c:pt idx="4">
                  <c:v>0.252</c:v>
                </c:pt>
                <c:pt idx="5">
                  <c:v>0.23400000000000001</c:v>
                </c:pt>
                <c:pt idx="6">
                  <c:v>0.28799999999999998</c:v>
                </c:pt>
                <c:pt idx="7">
                  <c:v>0.25700000000000001</c:v>
                </c:pt>
              </c:numCache>
            </c:numRef>
          </c:yVal>
          <c:smooth val="0"/>
          <c:extLst>
            <c:ext xmlns:c16="http://schemas.microsoft.com/office/drawing/2014/chart" uri="{C3380CC4-5D6E-409C-BE32-E72D297353CC}">
              <c16:uniqueId val="{00000009-188F-499A-A79B-90D29FC3F23E}"/>
            </c:ext>
          </c:extLst>
        </c:ser>
        <c:ser>
          <c:idx val="9"/>
          <c:order val="9"/>
          <c:tx>
            <c:strRef>
              <c:f>OED!$A$11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OED!$B$11:$I$11</c:f>
              <c:numCache>
                <c:formatCode>0.0%</c:formatCode>
                <c:ptCount val="8"/>
                <c:pt idx="0">
                  <c:v>0.29799999999999999</c:v>
                </c:pt>
                <c:pt idx="1">
                  <c:v>0.31900000000000001</c:v>
                </c:pt>
                <c:pt idx="2">
                  <c:v>0.26900000000000002</c:v>
                </c:pt>
                <c:pt idx="3">
                  <c:v>0.33200000000000002</c:v>
                </c:pt>
                <c:pt idx="4">
                  <c:v>0.30399999999999999</c:v>
                </c:pt>
                <c:pt idx="5">
                  <c:v>0.32</c:v>
                </c:pt>
                <c:pt idx="6">
                  <c:v>0.308</c:v>
                </c:pt>
                <c:pt idx="7">
                  <c:v>0.36</c:v>
                </c:pt>
              </c:numCache>
            </c:numRef>
          </c:yVal>
          <c:smooth val="0"/>
          <c:extLst>
            <c:ext xmlns:c16="http://schemas.microsoft.com/office/drawing/2014/chart" uri="{C3380CC4-5D6E-409C-BE32-E72D297353CC}">
              <c16:uniqueId val="{0000000A-188F-499A-A79B-90D29FC3F23E}"/>
            </c:ext>
          </c:extLst>
        </c:ser>
        <c:ser>
          <c:idx val="10"/>
          <c:order val="10"/>
          <c:tx>
            <c:strRef>
              <c:f>OED!$A$12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OED!$B$12:$I$12</c:f>
              <c:numCache>
                <c:formatCode>General</c:formatCode>
                <c:ptCount val="8"/>
                <c:pt idx="2" formatCode="0.0%">
                  <c:v>0.18600000000000003</c:v>
                </c:pt>
                <c:pt idx="3" formatCode="0.0%">
                  <c:v>0.23199999999999998</c:v>
                </c:pt>
                <c:pt idx="4" formatCode="0.0%">
                  <c:v>0.23399999999999999</c:v>
                </c:pt>
                <c:pt idx="5" formatCode="0.0%">
                  <c:v>0.27500000000000002</c:v>
                </c:pt>
                <c:pt idx="6" formatCode="0.0%">
                  <c:v>0.309</c:v>
                </c:pt>
                <c:pt idx="7" formatCode="0.0%">
                  <c:v>0.309</c:v>
                </c:pt>
              </c:numCache>
            </c:numRef>
          </c:yVal>
          <c:smooth val="0"/>
          <c:extLst>
            <c:ext xmlns:c16="http://schemas.microsoft.com/office/drawing/2014/chart" uri="{C3380CC4-5D6E-409C-BE32-E72D297353CC}">
              <c16:uniqueId val="{0000000B-188F-499A-A79B-90D29FC3F23E}"/>
            </c:ext>
          </c:extLst>
        </c:ser>
        <c:ser>
          <c:idx val="11"/>
          <c:order val="11"/>
          <c:tx>
            <c:strRef>
              <c:f>OED!$A$13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OED!$B$13:$I$13</c:f>
              <c:numCache>
                <c:formatCode>General</c:formatCode>
                <c:ptCount val="8"/>
                <c:pt idx="2" formatCode="0.0%">
                  <c:v>0.22600000000000001</c:v>
                </c:pt>
                <c:pt idx="3" formatCode="0.0%">
                  <c:v>0.23899999999999999</c:v>
                </c:pt>
                <c:pt idx="4" formatCode="0.0%">
                  <c:v>0.23100000000000001</c:v>
                </c:pt>
                <c:pt idx="5" formatCode="0.0%">
                  <c:v>0.23899999999999999</c:v>
                </c:pt>
                <c:pt idx="6" formatCode="0.0%">
                  <c:v>0.26900000000000002</c:v>
                </c:pt>
                <c:pt idx="7" formatCode="0.0%">
                  <c:v>0.28499999999999998</c:v>
                </c:pt>
              </c:numCache>
            </c:numRef>
          </c:yVal>
          <c:smooth val="0"/>
          <c:extLst>
            <c:ext xmlns:c16="http://schemas.microsoft.com/office/drawing/2014/chart" uri="{C3380CC4-5D6E-409C-BE32-E72D297353CC}">
              <c16:uniqueId val="{0000000C-188F-499A-A79B-90D29FC3F23E}"/>
            </c:ext>
          </c:extLst>
        </c:ser>
        <c:ser>
          <c:idx val="13"/>
          <c:order val="12"/>
          <c:tx>
            <c:strRef>
              <c:f>OED!$A$14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188F-499A-A79B-90D29FC3F23E}"/>
              </c:ext>
            </c:extLst>
          </c:dPt>
          <c:xVal>
            <c:strRef>
              <c:f>OED!$B$1:$I$1</c:f>
              <c:strCache>
                <c:ptCount val="8"/>
                <c:pt idx="0">
                  <c:v>'18</c:v>
                </c:pt>
                <c:pt idx="1">
                  <c:v>'19</c:v>
                </c:pt>
                <c:pt idx="2">
                  <c:v>'20</c:v>
                </c:pt>
                <c:pt idx="3">
                  <c:v>'21</c:v>
                </c:pt>
                <c:pt idx="4">
                  <c:v>'22</c:v>
                </c:pt>
                <c:pt idx="5">
                  <c:v>'23</c:v>
                </c:pt>
                <c:pt idx="6">
                  <c:v>'24</c:v>
                </c:pt>
                <c:pt idx="7">
                  <c:v>'25</c:v>
                </c:pt>
              </c:strCache>
            </c:strRef>
          </c:xVal>
          <c:yVal>
            <c:numRef>
              <c:f>OED!$B$14:$I$14</c:f>
              <c:numCache>
                <c:formatCode>0.0%</c:formatCode>
                <c:ptCount val="8"/>
                <c:pt idx="0">
                  <c:v>0.26400000000000001</c:v>
                </c:pt>
                <c:pt idx="1">
                  <c:v>0.307</c:v>
                </c:pt>
                <c:pt idx="2">
                  <c:v>0.20300000000000001</c:v>
                </c:pt>
                <c:pt idx="3">
                  <c:v>0.247</c:v>
                </c:pt>
                <c:pt idx="4">
                  <c:v>0.24600000000000002</c:v>
                </c:pt>
                <c:pt idx="5">
                  <c:v>0.26800000000000002</c:v>
                </c:pt>
                <c:pt idx="6">
                  <c:v>0.29199999999999998</c:v>
                </c:pt>
                <c:pt idx="7">
                  <c:v>0.29799999999999999</c:v>
                </c:pt>
              </c:numCache>
            </c:numRef>
          </c:yVal>
          <c:smooth val="0"/>
          <c:extLst>
            <c:ext xmlns:c16="http://schemas.microsoft.com/office/drawing/2014/chart" uri="{C3380CC4-5D6E-409C-BE32-E72D297353CC}">
              <c16:uniqueId val="{0000000E-188F-499A-A79B-90D29FC3F23E}"/>
            </c:ext>
          </c:extLst>
        </c:ser>
        <c:ser>
          <c:idx val="14"/>
          <c:order val="13"/>
          <c:tx>
            <c:strRef>
              <c:f>OED!$A$15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OED!$B$15:$I$15</c:f>
              <c:numCache>
                <c:formatCode>General</c:formatCode>
                <c:ptCount val="8"/>
                <c:pt idx="3" formatCode="0.0%">
                  <c:v>0.22700000000000001</c:v>
                </c:pt>
                <c:pt idx="4" formatCode="0.0%">
                  <c:v>0.20600000000000002</c:v>
                </c:pt>
                <c:pt idx="5" formatCode="0.0%">
                  <c:v>0.193</c:v>
                </c:pt>
                <c:pt idx="6" formatCode="0.0%">
                  <c:v>0.21</c:v>
                </c:pt>
                <c:pt idx="7" formatCode="0.0%">
                  <c:v>0.21</c:v>
                </c:pt>
              </c:numCache>
            </c:numRef>
          </c:yVal>
          <c:smooth val="0"/>
          <c:extLst>
            <c:ext xmlns:c16="http://schemas.microsoft.com/office/drawing/2014/chart" uri="{C3380CC4-5D6E-409C-BE32-E72D297353CC}">
              <c16:uniqueId val="{0000000F-188F-499A-A79B-90D29FC3F23E}"/>
            </c:ext>
          </c:extLst>
        </c:ser>
        <c:ser>
          <c:idx val="15"/>
          <c:order val="14"/>
          <c:tx>
            <c:strRef>
              <c:f>OED!$A$16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OED!$B$16:$I$16</c:f>
              <c:numCache>
                <c:formatCode>0.0%</c:formatCode>
                <c:ptCount val="8"/>
                <c:pt idx="0">
                  <c:v>0.247</c:v>
                </c:pt>
                <c:pt idx="1">
                  <c:v>0.29699999999999999</c:v>
                </c:pt>
                <c:pt idx="2">
                  <c:v>0.159</c:v>
                </c:pt>
                <c:pt idx="3">
                  <c:v>0.20100000000000001</c:v>
                </c:pt>
                <c:pt idx="4">
                  <c:v>0.20199999999999999</c:v>
                </c:pt>
                <c:pt idx="5">
                  <c:v>0.25900000000000001</c:v>
                </c:pt>
                <c:pt idx="6">
                  <c:v>0.27900000000000003</c:v>
                </c:pt>
                <c:pt idx="7">
                  <c:v>0.28000000000000003</c:v>
                </c:pt>
              </c:numCache>
            </c:numRef>
          </c:yVal>
          <c:smooth val="0"/>
          <c:extLst>
            <c:ext xmlns:c16="http://schemas.microsoft.com/office/drawing/2014/chart" uri="{C3380CC4-5D6E-409C-BE32-E72D297353CC}">
              <c16:uniqueId val="{00000010-188F-499A-A79B-90D29FC3F23E}"/>
            </c:ext>
          </c:extLst>
        </c:ser>
        <c:ser>
          <c:idx val="16"/>
          <c:order val="15"/>
          <c:tx>
            <c:strRef>
              <c:f>OED!$A$17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OED!$B$17:$I$17</c:f>
              <c:numCache>
                <c:formatCode>0.0%</c:formatCode>
                <c:ptCount val="8"/>
                <c:pt idx="0">
                  <c:v>0.189</c:v>
                </c:pt>
                <c:pt idx="1">
                  <c:v>0.27899999999999997</c:v>
                </c:pt>
                <c:pt idx="2">
                  <c:v>0.19</c:v>
                </c:pt>
                <c:pt idx="3">
                  <c:v>0.20800000000000002</c:v>
                </c:pt>
                <c:pt idx="4">
                  <c:v>0.252</c:v>
                </c:pt>
                <c:pt idx="5">
                  <c:v>0.313</c:v>
                </c:pt>
                <c:pt idx="6">
                  <c:v>0.36599999999999999</c:v>
                </c:pt>
                <c:pt idx="7">
                  <c:v>0.34499999999999997</c:v>
                </c:pt>
              </c:numCache>
            </c:numRef>
          </c:yVal>
          <c:smooth val="0"/>
          <c:extLst>
            <c:ext xmlns:c16="http://schemas.microsoft.com/office/drawing/2014/chart" uri="{C3380CC4-5D6E-409C-BE32-E72D297353CC}">
              <c16:uniqueId val="{00000011-188F-499A-A79B-90D29FC3F23E}"/>
            </c:ext>
          </c:extLst>
        </c:ser>
        <c:ser>
          <c:idx val="17"/>
          <c:order val="17"/>
          <c:tx>
            <c:strRef>
              <c:f>OED!$A$20</c:f>
              <c:strCache>
                <c:ptCount val="1"/>
                <c:pt idx="0">
                  <c:v>CCO statewide</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OED!$B$20:$I$20</c:f>
              <c:numCache>
                <c:formatCode>0.0%</c:formatCode>
                <c:ptCount val="8"/>
                <c:pt idx="0">
                  <c:v>0.26400000000000001</c:v>
                </c:pt>
                <c:pt idx="1">
                  <c:v>0.307</c:v>
                </c:pt>
                <c:pt idx="2">
                  <c:v>0.20300000000000001</c:v>
                </c:pt>
                <c:pt idx="3">
                  <c:v>0.247</c:v>
                </c:pt>
                <c:pt idx="4">
                  <c:v>0.24600000000000002</c:v>
                </c:pt>
                <c:pt idx="5">
                  <c:v>0.26800000000000002</c:v>
                </c:pt>
                <c:pt idx="6">
                  <c:v>0.29199999999999998</c:v>
                </c:pt>
                <c:pt idx="7">
                  <c:v>0.29799999999999999</c:v>
                </c:pt>
              </c:numCache>
            </c:numRef>
          </c:yVal>
          <c:smooth val="0"/>
          <c:extLst>
            <c:ext xmlns:c16="http://schemas.microsoft.com/office/drawing/2014/chart" uri="{C3380CC4-5D6E-409C-BE32-E72D297353CC}">
              <c16:uniqueId val="{00000012-188F-499A-A79B-90D29FC3F23E}"/>
            </c:ext>
          </c:extLst>
        </c:ser>
        <c:ser>
          <c:idx val="19"/>
          <c:order val="18"/>
          <c:tx>
            <c:strRef>
              <c:f>OED!$A$19</c:f>
              <c:strCache>
                <c:ptCount val="1"/>
                <c:pt idx="0">
                  <c:v>Individual CCOs</c:v>
                </c:pt>
              </c:strCache>
            </c:strRef>
          </c:tx>
          <c:spPr>
            <a:ln w="25400" cap="rnd">
              <a:noFill/>
              <a:round/>
            </a:ln>
            <a:effectLst/>
          </c:spPr>
          <c:marker>
            <c:symbol val="circle"/>
            <c:size val="6"/>
            <c:spPr>
              <a:noFill/>
              <a:ln w="9525">
                <a:solidFill>
                  <a:srgbClr val="606060"/>
                </a:solidFill>
              </a:ln>
              <a:effectLst/>
            </c:spPr>
          </c:marker>
          <c:xVal>
            <c:strRef>
              <c:f>OED!$B$1:$I$1</c:f>
              <c:strCache>
                <c:ptCount val="8"/>
                <c:pt idx="0">
                  <c:v>'18</c:v>
                </c:pt>
                <c:pt idx="1">
                  <c:v>'19</c:v>
                </c:pt>
                <c:pt idx="2">
                  <c:v>'20</c:v>
                </c:pt>
                <c:pt idx="3">
                  <c:v>'21</c:v>
                </c:pt>
                <c:pt idx="4">
                  <c:v>'22</c:v>
                </c:pt>
                <c:pt idx="5">
                  <c:v>'23</c:v>
                </c:pt>
                <c:pt idx="6">
                  <c:v>'24</c:v>
                </c:pt>
                <c:pt idx="7">
                  <c:v>'25</c:v>
                </c:pt>
              </c:strCache>
            </c:strRef>
          </c:xVal>
          <c:yVal>
            <c:numRef>
              <c:f>OED!$B$19:$I$19</c:f>
              <c:numCache>
                <c:formatCode>0.0%</c:formatCode>
                <c:ptCount val="8"/>
                <c:pt idx="0">
                  <c:v>0.27300000000000002</c:v>
                </c:pt>
                <c:pt idx="1">
                  <c:v>0.29300000000000004</c:v>
                </c:pt>
                <c:pt idx="2">
                  <c:v>0.18100000000000002</c:v>
                </c:pt>
                <c:pt idx="3">
                  <c:v>0.23600000000000002</c:v>
                </c:pt>
                <c:pt idx="4">
                  <c:v>0.249</c:v>
                </c:pt>
                <c:pt idx="5">
                  <c:v>0.30499999999999999</c:v>
                </c:pt>
                <c:pt idx="6">
                  <c:v>0.32200000000000001</c:v>
                </c:pt>
                <c:pt idx="7">
                  <c:v>0.34599999999999997</c:v>
                </c:pt>
              </c:numCache>
            </c:numRef>
          </c:yVal>
          <c:smooth val="0"/>
          <c:extLst>
            <c:ext xmlns:c16="http://schemas.microsoft.com/office/drawing/2014/chart" uri="{C3380CC4-5D6E-409C-BE32-E72D297353CC}">
              <c16:uniqueId val="{00000013-188F-499A-A79B-90D29FC3F23E}"/>
            </c:ext>
          </c:extLst>
        </c:ser>
        <c:ser>
          <c:idx val="18"/>
          <c:order val="19"/>
          <c:tx>
            <c:strRef>
              <c:f>OED!$A$21</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dLbls>
            <c:dLbl>
              <c:idx val="1"/>
              <c:layout>
                <c:manualLayout>
                  <c:x val="-0.1702917760279965"/>
                  <c:y val="-0.12295858850976969"/>
                </c:manualLayout>
              </c:layout>
              <c:tx>
                <c:rich>
                  <a:bodyPr/>
                  <a:lstStyle/>
                  <a:p>
                    <a:r>
                      <a:rPr lang="en-US"/>
                      <a:t>Punto de referencia</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188F-499A-A79B-90D29FC3F23E}"/>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accent2">
                        <a:lumMod val="50000"/>
                      </a:schemeClr>
                    </a:solidFill>
                    <a:latin typeface="Aptos" panose="020B0004020202020204" pitchFamily="34" charset="0"/>
                    <a:ea typeface="+mn-ea"/>
                    <a:cs typeface="Arial" panose="020B0604020202020204" pitchFamily="34" charset="0"/>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OED!$B$1:$I$1</c:f>
              <c:strCache>
                <c:ptCount val="8"/>
                <c:pt idx="0">
                  <c:v>'18</c:v>
                </c:pt>
                <c:pt idx="1">
                  <c:v>'19</c:v>
                </c:pt>
                <c:pt idx="2">
                  <c:v>'20</c:v>
                </c:pt>
                <c:pt idx="3">
                  <c:v>'21</c:v>
                </c:pt>
                <c:pt idx="4">
                  <c:v>'22</c:v>
                </c:pt>
                <c:pt idx="5">
                  <c:v>'23</c:v>
                </c:pt>
                <c:pt idx="6">
                  <c:v>'24</c:v>
                </c:pt>
                <c:pt idx="7">
                  <c:v>'25</c:v>
                </c:pt>
              </c:strCache>
            </c:strRef>
          </c:xVal>
          <c:yVal>
            <c:numRef>
              <c:f>OED!$B$21:$I$21</c:f>
              <c:numCache>
                <c:formatCode>0.0%</c:formatCode>
                <c:ptCount val="8"/>
                <c:pt idx="1">
                  <c:v>0.27100000000000002</c:v>
                </c:pt>
                <c:pt idx="2">
                  <c:v>0.26800000000000002</c:v>
                </c:pt>
                <c:pt idx="3">
                  <c:v>0.17299999999999999</c:v>
                </c:pt>
                <c:pt idx="4">
                  <c:v>0.20399999999999999</c:v>
                </c:pt>
                <c:pt idx="5">
                  <c:v>0.26400000000000001</c:v>
                </c:pt>
                <c:pt idx="6">
                  <c:v>0.31900000000000001</c:v>
                </c:pt>
                <c:pt idx="7">
                  <c:v>0.35</c:v>
                </c:pt>
              </c:numCache>
            </c:numRef>
          </c:yVal>
          <c:smooth val="0"/>
          <c:extLst>
            <c:ext xmlns:c16="http://schemas.microsoft.com/office/drawing/2014/chart" uri="{C3380CC4-5D6E-409C-BE32-E72D297353CC}">
              <c16:uniqueId val="{00000015-188F-499A-A79B-90D29FC3F23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WCV_0306!$A$18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WCV_0306!$B$1:$I$1</c:f>
              <c:strCache>
                <c:ptCount val="8"/>
                <c:pt idx="0">
                  <c:v>'18</c:v>
                </c:pt>
                <c:pt idx="1">
                  <c:v>'19</c:v>
                </c:pt>
                <c:pt idx="2">
                  <c:v>'20</c:v>
                </c:pt>
                <c:pt idx="3">
                  <c:v>'21</c:v>
                </c:pt>
                <c:pt idx="4">
                  <c:v>'22</c:v>
                </c:pt>
                <c:pt idx="5">
                  <c:v>'23</c:v>
                </c:pt>
                <c:pt idx="6">
                  <c:v>'24</c:v>
                </c:pt>
                <c:pt idx="7">
                  <c:v>'25</c:v>
                </c:pt>
              </c:strCache>
            </c:strRef>
          </c:cat>
          <c:val>
            <c:numRef>
              <c:f>WCV_0306!$B$18:$I$18</c:f>
              <c:numCache>
                <c:formatCode>0.0%</c:formatCode>
                <c:ptCount val="8"/>
                <c:pt idx="0">
                  <c:v>0.65800000000000003</c:v>
                </c:pt>
                <c:pt idx="1">
                  <c:v>0.68700000000000006</c:v>
                </c:pt>
                <c:pt idx="2">
                  <c:v>0.622</c:v>
                </c:pt>
                <c:pt idx="3">
                  <c:v>0.65300000000000002</c:v>
                </c:pt>
                <c:pt idx="4">
                  <c:v>0.68200000000000005</c:v>
                </c:pt>
                <c:pt idx="5">
                  <c:v>0.73299999999999998</c:v>
                </c:pt>
                <c:pt idx="6">
                  <c:v>0.71499999999999997</c:v>
                </c:pt>
                <c:pt idx="7">
                  <c:v>0.73899999999999999</c:v>
                </c:pt>
              </c:numCache>
            </c:numRef>
          </c:val>
          <c:smooth val="0"/>
          <c:extLst>
            <c:ext xmlns:c16="http://schemas.microsoft.com/office/drawing/2014/chart" uri="{C3380CC4-5D6E-409C-BE32-E72D297353CC}">
              <c16:uniqueId val="{00000000-112D-4DD7-8DA5-E824F418B2F7}"/>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WCV_0306!$A$2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WCV_0306!$B$2:$I$2</c:f>
              <c:numCache>
                <c:formatCode>0.0%</c:formatCode>
                <c:ptCount val="8"/>
                <c:pt idx="0">
                  <c:v>0.71700000000000008</c:v>
                </c:pt>
                <c:pt idx="1">
                  <c:v>0.71200000000000008</c:v>
                </c:pt>
                <c:pt idx="2">
                  <c:v>0.628</c:v>
                </c:pt>
                <c:pt idx="3">
                  <c:v>0.64200000000000002</c:v>
                </c:pt>
                <c:pt idx="4">
                  <c:v>0.64800000000000002</c:v>
                </c:pt>
                <c:pt idx="5">
                  <c:v>0.67400000000000004</c:v>
                </c:pt>
                <c:pt idx="6">
                  <c:v>0.68500000000000005</c:v>
                </c:pt>
                <c:pt idx="7">
                  <c:v>0.70299999999999996</c:v>
                </c:pt>
              </c:numCache>
            </c:numRef>
          </c:yVal>
          <c:smooth val="0"/>
          <c:extLst>
            <c:ext xmlns:c16="http://schemas.microsoft.com/office/drawing/2014/chart" uri="{C3380CC4-5D6E-409C-BE32-E72D297353CC}">
              <c16:uniqueId val="{00000001-112D-4DD7-8DA5-E824F418B2F7}"/>
            </c:ext>
          </c:extLst>
        </c:ser>
        <c:ser>
          <c:idx val="1"/>
          <c:order val="1"/>
          <c:tx>
            <c:strRef>
              <c:f>WCV_0306!$A$3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WCV_0306!$B$3:$I$3</c:f>
              <c:numCache>
                <c:formatCode>0.0%</c:formatCode>
                <c:ptCount val="8"/>
                <c:pt idx="0">
                  <c:v>0.67200000000000004</c:v>
                </c:pt>
                <c:pt idx="1">
                  <c:v>0.66099999999999992</c:v>
                </c:pt>
                <c:pt idx="2">
                  <c:v>0.56200000000000006</c:v>
                </c:pt>
                <c:pt idx="3">
                  <c:v>0.55299999999999994</c:v>
                </c:pt>
                <c:pt idx="4">
                  <c:v>0.55299999999999994</c:v>
                </c:pt>
                <c:pt idx="5">
                  <c:v>0.621</c:v>
                </c:pt>
                <c:pt idx="6">
                  <c:v>0.66299999999999992</c:v>
                </c:pt>
                <c:pt idx="7">
                  <c:v>0.68600000000000005</c:v>
                </c:pt>
              </c:numCache>
            </c:numRef>
          </c:yVal>
          <c:smooth val="0"/>
          <c:extLst>
            <c:ext xmlns:c16="http://schemas.microsoft.com/office/drawing/2014/chart" uri="{C3380CC4-5D6E-409C-BE32-E72D297353CC}">
              <c16:uniqueId val="{00000002-112D-4DD7-8DA5-E824F418B2F7}"/>
            </c:ext>
          </c:extLst>
        </c:ser>
        <c:ser>
          <c:idx val="2"/>
          <c:order val="2"/>
          <c:tx>
            <c:strRef>
              <c:f>WCV_0306!$A$4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WCV_0306!$B$4:$I$4</c:f>
              <c:numCache>
                <c:formatCode>0.0%</c:formatCode>
                <c:ptCount val="8"/>
                <c:pt idx="0">
                  <c:v>0.59799999999999998</c:v>
                </c:pt>
                <c:pt idx="1">
                  <c:v>0.59599999999999997</c:v>
                </c:pt>
                <c:pt idx="2">
                  <c:v>0.71299999999999997</c:v>
                </c:pt>
                <c:pt idx="3">
                  <c:v>0.59799999999999998</c:v>
                </c:pt>
                <c:pt idx="4">
                  <c:v>0.56600000000000006</c:v>
                </c:pt>
                <c:pt idx="5">
                  <c:v>0.66200000000000003</c:v>
                </c:pt>
                <c:pt idx="6">
                  <c:v>0.70799999999999996</c:v>
                </c:pt>
                <c:pt idx="7">
                  <c:v>0.753</c:v>
                </c:pt>
              </c:numCache>
            </c:numRef>
          </c:yVal>
          <c:smooth val="0"/>
          <c:extLst>
            <c:ext xmlns:c16="http://schemas.microsoft.com/office/drawing/2014/chart" uri="{C3380CC4-5D6E-409C-BE32-E72D297353CC}">
              <c16:uniqueId val="{00000003-112D-4DD7-8DA5-E824F418B2F7}"/>
            </c:ext>
          </c:extLst>
        </c:ser>
        <c:ser>
          <c:idx val="3"/>
          <c:order val="3"/>
          <c:tx>
            <c:strRef>
              <c:f>WCV_0306!$A$5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WCV_0306!$B$5:$I$5</c:f>
              <c:numCache>
                <c:formatCode>0.0%</c:formatCode>
                <c:ptCount val="8"/>
                <c:pt idx="0">
                  <c:v>0.64700000000000002</c:v>
                </c:pt>
                <c:pt idx="1">
                  <c:v>0.65</c:v>
                </c:pt>
                <c:pt idx="2">
                  <c:v>0.54600000000000004</c:v>
                </c:pt>
                <c:pt idx="3">
                  <c:v>0.55000000000000004</c:v>
                </c:pt>
                <c:pt idx="4">
                  <c:v>0.59299999999999997</c:v>
                </c:pt>
                <c:pt idx="5">
                  <c:v>0.59699999999999998</c:v>
                </c:pt>
                <c:pt idx="6">
                  <c:v>0.60599999999999998</c:v>
                </c:pt>
                <c:pt idx="7">
                  <c:v>0.66800000000000004</c:v>
                </c:pt>
              </c:numCache>
            </c:numRef>
          </c:yVal>
          <c:smooth val="0"/>
          <c:extLst>
            <c:ext xmlns:c16="http://schemas.microsoft.com/office/drawing/2014/chart" uri="{C3380CC4-5D6E-409C-BE32-E72D297353CC}">
              <c16:uniqueId val="{00000004-112D-4DD7-8DA5-E824F418B2F7}"/>
            </c:ext>
          </c:extLst>
        </c:ser>
        <c:ser>
          <c:idx val="4"/>
          <c:order val="4"/>
          <c:tx>
            <c:strRef>
              <c:f>WCV_0306!$A$6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WCV_0306!$B$6:$I$6</c:f>
              <c:numCache>
                <c:formatCode>0.0%</c:formatCode>
                <c:ptCount val="8"/>
                <c:pt idx="0">
                  <c:v>0.57500000000000007</c:v>
                </c:pt>
                <c:pt idx="1">
                  <c:v>0.58299999999999996</c:v>
                </c:pt>
                <c:pt idx="2">
                  <c:v>0.56100000000000005</c:v>
                </c:pt>
                <c:pt idx="3">
                  <c:v>0.64200000000000002</c:v>
                </c:pt>
                <c:pt idx="4">
                  <c:v>0.64599999999999991</c:v>
                </c:pt>
                <c:pt idx="5">
                  <c:v>0.67400000000000004</c:v>
                </c:pt>
                <c:pt idx="6">
                  <c:v>0.68200000000000005</c:v>
                </c:pt>
                <c:pt idx="7">
                  <c:v>0.70499999999999996</c:v>
                </c:pt>
              </c:numCache>
            </c:numRef>
          </c:yVal>
          <c:smooth val="0"/>
          <c:extLst>
            <c:ext xmlns:c16="http://schemas.microsoft.com/office/drawing/2014/chart" uri="{C3380CC4-5D6E-409C-BE32-E72D297353CC}">
              <c16:uniqueId val="{00000005-112D-4DD7-8DA5-E824F418B2F7}"/>
            </c:ext>
          </c:extLst>
        </c:ser>
        <c:ser>
          <c:idx val="5"/>
          <c:order val="5"/>
          <c:tx>
            <c:strRef>
              <c:f>WCV_0306!$A$7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WCV_0306!$B$7:$I$7</c:f>
              <c:numCache>
                <c:formatCode>0.0%</c:formatCode>
                <c:ptCount val="8"/>
                <c:pt idx="0">
                  <c:v>0.71900000000000008</c:v>
                </c:pt>
                <c:pt idx="1">
                  <c:v>0.73599999999999999</c:v>
                </c:pt>
                <c:pt idx="2">
                  <c:v>0.59399999999999997</c:v>
                </c:pt>
                <c:pt idx="3">
                  <c:v>0.65599999999999992</c:v>
                </c:pt>
                <c:pt idx="4">
                  <c:v>0.64400000000000002</c:v>
                </c:pt>
                <c:pt idx="5">
                  <c:v>0.66100000000000003</c:v>
                </c:pt>
                <c:pt idx="6">
                  <c:v>0.69899999999999995</c:v>
                </c:pt>
                <c:pt idx="7">
                  <c:v>0.73</c:v>
                </c:pt>
              </c:numCache>
            </c:numRef>
          </c:yVal>
          <c:smooth val="0"/>
          <c:extLst>
            <c:ext xmlns:c16="http://schemas.microsoft.com/office/drawing/2014/chart" uri="{C3380CC4-5D6E-409C-BE32-E72D297353CC}">
              <c16:uniqueId val="{00000006-112D-4DD7-8DA5-E824F418B2F7}"/>
            </c:ext>
          </c:extLst>
        </c:ser>
        <c:ser>
          <c:idx val="6"/>
          <c:order val="6"/>
          <c:tx>
            <c:strRef>
              <c:f>WCV_0306!$A$8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WCV_0306!$B$8:$I$8</c:f>
              <c:numCache>
                <c:formatCode>0.0%</c:formatCode>
                <c:ptCount val="8"/>
                <c:pt idx="0">
                  <c:v>0.62</c:v>
                </c:pt>
                <c:pt idx="1">
                  <c:v>0.623</c:v>
                </c:pt>
                <c:pt idx="2">
                  <c:v>0.54600000000000004</c:v>
                </c:pt>
                <c:pt idx="3">
                  <c:v>0.65200000000000002</c:v>
                </c:pt>
                <c:pt idx="4">
                  <c:v>0.64500000000000002</c:v>
                </c:pt>
                <c:pt idx="5">
                  <c:v>0.65500000000000003</c:v>
                </c:pt>
                <c:pt idx="6">
                  <c:v>0.70799999999999996</c:v>
                </c:pt>
                <c:pt idx="7">
                  <c:v>0.754</c:v>
                </c:pt>
              </c:numCache>
            </c:numRef>
          </c:yVal>
          <c:smooth val="0"/>
          <c:extLst>
            <c:ext xmlns:c16="http://schemas.microsoft.com/office/drawing/2014/chart" uri="{C3380CC4-5D6E-409C-BE32-E72D297353CC}">
              <c16:uniqueId val="{00000007-112D-4DD7-8DA5-E824F418B2F7}"/>
            </c:ext>
          </c:extLst>
        </c:ser>
        <c:ser>
          <c:idx val="7"/>
          <c:order val="7"/>
          <c:tx>
            <c:strRef>
              <c:f>WCV_0306!$A$9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WCV_0306!$B$9:$I$9</c:f>
              <c:numCache>
                <c:formatCode>0.0%</c:formatCode>
                <c:ptCount val="8"/>
                <c:pt idx="0">
                  <c:v>0.61199999999999999</c:v>
                </c:pt>
                <c:pt idx="1">
                  <c:v>0.64300000000000002</c:v>
                </c:pt>
                <c:pt idx="2">
                  <c:v>0.54600000000000004</c:v>
                </c:pt>
                <c:pt idx="3">
                  <c:v>0.63700000000000001</c:v>
                </c:pt>
                <c:pt idx="4">
                  <c:v>0.57999999999999996</c:v>
                </c:pt>
                <c:pt idx="5">
                  <c:v>0.66600000000000004</c:v>
                </c:pt>
                <c:pt idx="6">
                  <c:v>0.66299999999999992</c:v>
                </c:pt>
                <c:pt idx="7">
                  <c:v>0.68500000000000005</c:v>
                </c:pt>
              </c:numCache>
            </c:numRef>
          </c:yVal>
          <c:smooth val="0"/>
          <c:extLst>
            <c:ext xmlns:c16="http://schemas.microsoft.com/office/drawing/2014/chart" uri="{C3380CC4-5D6E-409C-BE32-E72D297353CC}">
              <c16:uniqueId val="{00000008-112D-4DD7-8DA5-E824F418B2F7}"/>
            </c:ext>
          </c:extLst>
        </c:ser>
        <c:ser>
          <c:idx val="8"/>
          <c:order val="8"/>
          <c:tx>
            <c:strRef>
              <c:f>WCV_0306!$A$10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WCV_0306!$B$10:$I$10</c:f>
              <c:numCache>
                <c:formatCode>0.0%</c:formatCode>
                <c:ptCount val="8"/>
                <c:pt idx="0">
                  <c:v>0.64400000000000002</c:v>
                </c:pt>
                <c:pt idx="1">
                  <c:v>0.71099999999999997</c:v>
                </c:pt>
                <c:pt idx="2">
                  <c:v>0.64200000000000002</c:v>
                </c:pt>
                <c:pt idx="3">
                  <c:v>0.68400000000000005</c:v>
                </c:pt>
                <c:pt idx="4">
                  <c:v>0.69299999999999995</c:v>
                </c:pt>
                <c:pt idx="5">
                  <c:v>0.70499999999999996</c:v>
                </c:pt>
                <c:pt idx="6">
                  <c:v>0.752</c:v>
                </c:pt>
                <c:pt idx="7">
                  <c:v>0.76300000000000001</c:v>
                </c:pt>
              </c:numCache>
            </c:numRef>
          </c:yVal>
          <c:smooth val="0"/>
          <c:extLst>
            <c:ext xmlns:c16="http://schemas.microsoft.com/office/drawing/2014/chart" uri="{C3380CC4-5D6E-409C-BE32-E72D297353CC}">
              <c16:uniqueId val="{00000009-112D-4DD7-8DA5-E824F418B2F7}"/>
            </c:ext>
          </c:extLst>
        </c:ser>
        <c:ser>
          <c:idx val="9"/>
          <c:order val="9"/>
          <c:tx>
            <c:strRef>
              <c:f>WCV_0306!$A$11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WCV_0306!$B$11:$I$11</c:f>
              <c:numCache>
                <c:formatCode>0.0%</c:formatCode>
                <c:ptCount val="8"/>
                <c:pt idx="0">
                  <c:v>0.68599999999999994</c:v>
                </c:pt>
                <c:pt idx="1">
                  <c:v>0.71700000000000008</c:v>
                </c:pt>
                <c:pt idx="2">
                  <c:v>0.64800000000000002</c:v>
                </c:pt>
                <c:pt idx="3">
                  <c:v>0.71400000000000008</c:v>
                </c:pt>
                <c:pt idx="4">
                  <c:v>0.76</c:v>
                </c:pt>
                <c:pt idx="5">
                  <c:v>0.74399999999999999</c:v>
                </c:pt>
                <c:pt idx="6">
                  <c:v>0.77500000000000002</c:v>
                </c:pt>
                <c:pt idx="7">
                  <c:v>0.75800000000000001</c:v>
                </c:pt>
              </c:numCache>
            </c:numRef>
          </c:yVal>
          <c:smooth val="0"/>
          <c:extLst>
            <c:ext xmlns:c16="http://schemas.microsoft.com/office/drawing/2014/chart" uri="{C3380CC4-5D6E-409C-BE32-E72D297353CC}">
              <c16:uniqueId val="{0000000A-112D-4DD7-8DA5-E824F418B2F7}"/>
            </c:ext>
          </c:extLst>
        </c:ser>
        <c:ser>
          <c:idx val="10"/>
          <c:order val="10"/>
          <c:tx>
            <c:strRef>
              <c:f>WCV_0306!$A$12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WCV_0306!$B$12:$I$12</c:f>
              <c:numCache>
                <c:formatCode>General</c:formatCode>
                <c:ptCount val="8"/>
                <c:pt idx="2" formatCode="0.0%">
                  <c:v>0.58100000000000007</c:v>
                </c:pt>
                <c:pt idx="3" formatCode="0.0%">
                  <c:v>0.59499999999999997</c:v>
                </c:pt>
                <c:pt idx="4" formatCode="0.0%">
                  <c:v>0.57799999999999996</c:v>
                </c:pt>
                <c:pt idx="5" formatCode="0.0%">
                  <c:v>0.61299999999999999</c:v>
                </c:pt>
                <c:pt idx="6" formatCode="0.0%">
                  <c:v>0.59899999999999998</c:v>
                </c:pt>
                <c:pt idx="7" formatCode="0.0%">
                  <c:v>0.623</c:v>
                </c:pt>
              </c:numCache>
            </c:numRef>
          </c:yVal>
          <c:smooth val="0"/>
          <c:extLst>
            <c:ext xmlns:c16="http://schemas.microsoft.com/office/drawing/2014/chart" uri="{C3380CC4-5D6E-409C-BE32-E72D297353CC}">
              <c16:uniqueId val="{0000000B-112D-4DD7-8DA5-E824F418B2F7}"/>
            </c:ext>
          </c:extLst>
        </c:ser>
        <c:ser>
          <c:idx val="11"/>
          <c:order val="11"/>
          <c:tx>
            <c:strRef>
              <c:f>WCV_0306!$A$13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WCV_0306!$B$13:$I$13</c:f>
              <c:numCache>
                <c:formatCode>General</c:formatCode>
                <c:ptCount val="8"/>
                <c:pt idx="2" formatCode="0.0%">
                  <c:v>0.61699999999999999</c:v>
                </c:pt>
                <c:pt idx="3" formatCode="0.0%">
                  <c:v>0.66200000000000003</c:v>
                </c:pt>
                <c:pt idx="4" formatCode="0.0%">
                  <c:v>0.629</c:v>
                </c:pt>
                <c:pt idx="5" formatCode="0.0%">
                  <c:v>0.64200000000000002</c:v>
                </c:pt>
                <c:pt idx="6" formatCode="0.0%">
                  <c:v>0.72899999999999987</c:v>
                </c:pt>
                <c:pt idx="7" formatCode="0.0%">
                  <c:v>0.72699999999999998</c:v>
                </c:pt>
              </c:numCache>
            </c:numRef>
          </c:yVal>
          <c:smooth val="0"/>
          <c:extLst>
            <c:ext xmlns:c16="http://schemas.microsoft.com/office/drawing/2014/chart" uri="{C3380CC4-5D6E-409C-BE32-E72D297353CC}">
              <c16:uniqueId val="{0000000C-112D-4DD7-8DA5-E824F418B2F7}"/>
            </c:ext>
          </c:extLst>
        </c:ser>
        <c:ser>
          <c:idx val="13"/>
          <c:order val="12"/>
          <c:tx>
            <c:strRef>
              <c:f>WCV_0306!$A$14</c:f>
              <c:strCache>
                <c:ptCount val="1"/>
                <c:pt idx="0">
                  <c:v>Statewide</c:v>
                </c:pt>
              </c:strCache>
            </c:strRef>
          </c:tx>
          <c:spPr>
            <a:ln w="28575" cap="rnd">
              <a:solidFill>
                <a:schemeClr val="accent1">
                  <a:lumMod val="75000"/>
                </a:schemeClr>
              </a:solidFill>
              <a:round/>
            </a:ln>
            <a:effectLst/>
          </c:spPr>
          <c:marker>
            <c:symbol val="none"/>
          </c:marker>
          <c:dPt>
            <c:idx val="3"/>
            <c:marker>
              <c:symbol val="none"/>
            </c:marker>
            <c:bubble3D val="0"/>
            <c:extLst>
              <c:ext xmlns:c16="http://schemas.microsoft.com/office/drawing/2014/chart" uri="{C3380CC4-5D6E-409C-BE32-E72D297353CC}">
                <c16:uniqueId val="{0000000D-112D-4DD7-8DA5-E824F418B2F7}"/>
              </c:ext>
            </c:extLst>
          </c:dPt>
          <c:xVal>
            <c:strRef>
              <c:f>WCV_0306!$B$1:$I$1</c:f>
              <c:strCache>
                <c:ptCount val="8"/>
                <c:pt idx="0">
                  <c:v>'18</c:v>
                </c:pt>
                <c:pt idx="1">
                  <c:v>'19</c:v>
                </c:pt>
                <c:pt idx="2">
                  <c:v>'20</c:v>
                </c:pt>
                <c:pt idx="3">
                  <c:v>'21</c:v>
                </c:pt>
                <c:pt idx="4">
                  <c:v>'22</c:v>
                </c:pt>
                <c:pt idx="5">
                  <c:v>'23</c:v>
                </c:pt>
                <c:pt idx="6">
                  <c:v>'24</c:v>
                </c:pt>
                <c:pt idx="7">
                  <c:v>'25</c:v>
                </c:pt>
              </c:strCache>
            </c:strRef>
          </c:xVal>
          <c:yVal>
            <c:numRef>
              <c:f>WCV_0306!$B$14:$I$14</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0E-112D-4DD7-8DA5-E824F418B2F7}"/>
            </c:ext>
          </c:extLst>
        </c:ser>
        <c:ser>
          <c:idx val="14"/>
          <c:order val="13"/>
          <c:tx>
            <c:strRef>
              <c:f>WCV_0306!$A$15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WCV_0306!$B$15:$I$15</c:f>
              <c:numCache>
                <c:formatCode>General</c:formatCode>
                <c:ptCount val="8"/>
                <c:pt idx="3" formatCode="0.0%">
                  <c:v>0.45600000000000002</c:v>
                </c:pt>
                <c:pt idx="4" formatCode="0.0%">
                  <c:v>0.46299999999999997</c:v>
                </c:pt>
                <c:pt idx="5" formatCode="0.0%">
                  <c:v>0.41499999999999998</c:v>
                </c:pt>
                <c:pt idx="6" formatCode="0.0%">
                  <c:v>0.49200000000000005</c:v>
                </c:pt>
                <c:pt idx="7" formatCode="0.0%">
                  <c:v>0.55400000000000005</c:v>
                </c:pt>
              </c:numCache>
            </c:numRef>
          </c:yVal>
          <c:smooth val="0"/>
          <c:extLst>
            <c:ext xmlns:c16="http://schemas.microsoft.com/office/drawing/2014/chart" uri="{C3380CC4-5D6E-409C-BE32-E72D297353CC}">
              <c16:uniqueId val="{0000000F-112D-4DD7-8DA5-E824F418B2F7}"/>
            </c:ext>
          </c:extLst>
        </c:ser>
        <c:ser>
          <c:idx val="15"/>
          <c:order val="14"/>
          <c:tx>
            <c:strRef>
              <c:f>WCV_0306!$A$16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WCV_0306!$B$16:$I$16</c:f>
              <c:numCache>
                <c:formatCode>0.0%</c:formatCode>
                <c:ptCount val="8"/>
                <c:pt idx="0">
                  <c:v>0.65900000000000003</c:v>
                </c:pt>
                <c:pt idx="1">
                  <c:v>0.67599999999999993</c:v>
                </c:pt>
                <c:pt idx="2">
                  <c:v>0.43200000000000005</c:v>
                </c:pt>
                <c:pt idx="3">
                  <c:v>0.51500000000000001</c:v>
                </c:pt>
                <c:pt idx="4">
                  <c:v>0.51900000000000002</c:v>
                </c:pt>
                <c:pt idx="5">
                  <c:v>0.51400000000000001</c:v>
                </c:pt>
                <c:pt idx="6">
                  <c:v>0.60299999999999998</c:v>
                </c:pt>
                <c:pt idx="7">
                  <c:v>0.59</c:v>
                </c:pt>
              </c:numCache>
            </c:numRef>
          </c:yVal>
          <c:smooth val="0"/>
          <c:extLst>
            <c:ext xmlns:c16="http://schemas.microsoft.com/office/drawing/2014/chart" uri="{C3380CC4-5D6E-409C-BE32-E72D297353CC}">
              <c16:uniqueId val="{00000010-112D-4DD7-8DA5-E824F418B2F7}"/>
            </c:ext>
          </c:extLst>
        </c:ser>
        <c:ser>
          <c:idx val="16"/>
          <c:order val="15"/>
          <c:tx>
            <c:strRef>
              <c:f>WCV_0306!$A$17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WCV_0306!$B$17:$I$17</c:f>
              <c:numCache>
                <c:formatCode>0.0%</c:formatCode>
                <c:ptCount val="8"/>
                <c:pt idx="0">
                  <c:v>0.61</c:v>
                </c:pt>
                <c:pt idx="1">
                  <c:v>0.67599999999999993</c:v>
                </c:pt>
                <c:pt idx="2">
                  <c:v>0.6409999999999999</c:v>
                </c:pt>
                <c:pt idx="3">
                  <c:v>0.65099999999999991</c:v>
                </c:pt>
                <c:pt idx="4">
                  <c:v>0.71</c:v>
                </c:pt>
                <c:pt idx="5">
                  <c:v>0.70699999999999996</c:v>
                </c:pt>
                <c:pt idx="6">
                  <c:v>0.754</c:v>
                </c:pt>
                <c:pt idx="7">
                  <c:v>0.76700000000000002</c:v>
                </c:pt>
              </c:numCache>
            </c:numRef>
          </c:yVal>
          <c:smooth val="0"/>
          <c:extLst>
            <c:ext xmlns:c16="http://schemas.microsoft.com/office/drawing/2014/chart" uri="{C3380CC4-5D6E-409C-BE32-E72D297353CC}">
              <c16:uniqueId val="{00000011-112D-4DD7-8DA5-E824F418B2F7}"/>
            </c:ext>
          </c:extLst>
        </c:ser>
        <c:ser>
          <c:idx val="17"/>
          <c:order val="17"/>
          <c:tx>
            <c:strRef>
              <c:f>WCV_0306!$A$19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WCV_0306!$B$19:$I$19</c:f>
              <c:numCache>
                <c:formatCode>0.0%</c:formatCode>
                <c:ptCount val="8"/>
                <c:pt idx="0">
                  <c:v>0.66500000000000004</c:v>
                </c:pt>
                <c:pt idx="1">
                  <c:v>0.68599999999999994</c:v>
                </c:pt>
                <c:pt idx="2">
                  <c:v>0.59200000000000008</c:v>
                </c:pt>
                <c:pt idx="3">
                  <c:v>0.6409999999999999</c:v>
                </c:pt>
                <c:pt idx="4">
                  <c:v>0.63100000000000001</c:v>
                </c:pt>
                <c:pt idx="5">
                  <c:v>0.65400000000000003</c:v>
                </c:pt>
                <c:pt idx="6">
                  <c:v>0.69</c:v>
                </c:pt>
                <c:pt idx="7">
                  <c:v>0.71299999999999997</c:v>
                </c:pt>
              </c:numCache>
            </c:numRef>
          </c:yVal>
          <c:smooth val="0"/>
          <c:extLst>
            <c:ext xmlns:c16="http://schemas.microsoft.com/office/drawing/2014/chart" uri="{C3380CC4-5D6E-409C-BE32-E72D297353CC}">
              <c16:uniqueId val="{00000012-112D-4DD7-8DA5-E824F418B2F7}"/>
            </c:ext>
          </c:extLst>
        </c:ser>
        <c:ser>
          <c:idx val="18"/>
          <c:order val="18"/>
          <c:tx>
            <c:strRef>
              <c:f>WCV_0306!$A$20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WCV_0306!$B$1:$I$1</c:f>
              <c:strCache>
                <c:ptCount val="8"/>
                <c:pt idx="0">
                  <c:v>'18</c:v>
                </c:pt>
                <c:pt idx="1">
                  <c:v>'19</c:v>
                </c:pt>
                <c:pt idx="2">
                  <c:v>'20</c:v>
                </c:pt>
                <c:pt idx="3">
                  <c:v>'21</c:v>
                </c:pt>
                <c:pt idx="4">
                  <c:v>'22</c:v>
                </c:pt>
                <c:pt idx="5">
                  <c:v>'23</c:v>
                </c:pt>
                <c:pt idx="6">
                  <c:v>'24</c:v>
                </c:pt>
                <c:pt idx="7">
                  <c:v>'25</c:v>
                </c:pt>
              </c:strCache>
            </c:strRef>
          </c:xVal>
          <c:yVal>
            <c:numRef>
              <c:f>WCV_0306!$B$20:$I$20</c:f>
              <c:numCache>
                <c:formatCode>General</c:formatCode>
                <c:ptCount val="8"/>
                <c:pt idx="2" formatCode="0.0%">
                  <c:v>0.78500000000000003</c:v>
                </c:pt>
                <c:pt idx="3" formatCode="0.0%">
                  <c:v>0.54600000000000004</c:v>
                </c:pt>
                <c:pt idx="4" formatCode="0.0%">
                  <c:v>0.64100000000000001</c:v>
                </c:pt>
                <c:pt idx="5" formatCode="0.0%">
                  <c:v>0.68600000000000005</c:v>
                </c:pt>
                <c:pt idx="6" formatCode="0.0%">
                  <c:v>0.70200000000000007</c:v>
                </c:pt>
                <c:pt idx="7" formatCode="0.0%">
                  <c:v>0.72</c:v>
                </c:pt>
              </c:numCache>
            </c:numRef>
          </c:yVal>
          <c:smooth val="0"/>
          <c:extLst>
            <c:ext xmlns:c16="http://schemas.microsoft.com/office/drawing/2014/chart" uri="{C3380CC4-5D6E-409C-BE32-E72D297353CC}">
              <c16:uniqueId val="{00000013-112D-4DD7-8DA5-E824F418B2F7}"/>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PrevDentOral_0105!$A$18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PrevDentOral_0105!$B$1:$I$1</c:f>
              <c:strCache>
                <c:ptCount val="8"/>
                <c:pt idx="0">
                  <c:v>'18</c:v>
                </c:pt>
                <c:pt idx="1">
                  <c:v>'19</c:v>
                </c:pt>
                <c:pt idx="2">
                  <c:v>'20</c:v>
                </c:pt>
                <c:pt idx="3">
                  <c:v>'21</c:v>
                </c:pt>
                <c:pt idx="4">
                  <c:v>'22</c:v>
                </c:pt>
                <c:pt idx="5">
                  <c:v>'23</c:v>
                </c:pt>
                <c:pt idx="6">
                  <c:v>'24</c:v>
                </c:pt>
                <c:pt idx="7">
                  <c:v>'25</c:v>
                </c:pt>
              </c:strCache>
            </c:strRef>
          </c:cat>
          <c:val>
            <c:numRef>
              <c:f>PrevDentOral_0105!$B$18:$I$18</c:f>
              <c:numCache>
                <c:formatCode>0.0%</c:formatCode>
                <c:ptCount val="8"/>
                <c:pt idx="0">
                  <c:v>0.47700000000000004</c:v>
                </c:pt>
                <c:pt idx="1">
                  <c:v>0.52500000000000002</c:v>
                </c:pt>
                <c:pt idx="2">
                  <c:v>0.44200000000000006</c:v>
                </c:pt>
                <c:pt idx="3">
                  <c:v>0.48899999999999999</c:v>
                </c:pt>
                <c:pt idx="4">
                  <c:v>0.48299999999999998</c:v>
                </c:pt>
                <c:pt idx="5">
                  <c:v>0.56699999999999995</c:v>
                </c:pt>
                <c:pt idx="6">
                  <c:v>0.56299999999999994</c:v>
                </c:pt>
                <c:pt idx="7">
                  <c:v>0.626</c:v>
                </c:pt>
              </c:numCache>
            </c:numRef>
          </c:val>
          <c:smooth val="0"/>
          <c:extLst>
            <c:ext xmlns:c16="http://schemas.microsoft.com/office/drawing/2014/chart" uri="{C3380CC4-5D6E-409C-BE32-E72D297353CC}">
              <c16:uniqueId val="{00000000-4941-48B8-97CB-A3BD5DF8226B}"/>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PrevDentOral_0105!$A$2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PrevDentOral_0105!$B$2:$I$2</c:f>
              <c:numCache>
                <c:formatCode>0.0%</c:formatCode>
                <c:ptCount val="8"/>
                <c:pt idx="0">
                  <c:v>0.45</c:v>
                </c:pt>
                <c:pt idx="1">
                  <c:v>0.42100000000000004</c:v>
                </c:pt>
                <c:pt idx="2">
                  <c:v>0.33200000000000002</c:v>
                </c:pt>
                <c:pt idx="3">
                  <c:v>0.44900000000000001</c:v>
                </c:pt>
                <c:pt idx="4">
                  <c:v>0.52400000000000002</c:v>
                </c:pt>
                <c:pt idx="5">
                  <c:v>0.59599999999999997</c:v>
                </c:pt>
                <c:pt idx="6">
                  <c:v>0.69199999999999984</c:v>
                </c:pt>
                <c:pt idx="7">
                  <c:v>0.68400000000000005</c:v>
                </c:pt>
              </c:numCache>
            </c:numRef>
          </c:yVal>
          <c:smooth val="0"/>
          <c:extLst>
            <c:ext xmlns:c16="http://schemas.microsoft.com/office/drawing/2014/chart" uri="{C3380CC4-5D6E-409C-BE32-E72D297353CC}">
              <c16:uniqueId val="{00000001-4941-48B8-97CB-A3BD5DF8226B}"/>
            </c:ext>
          </c:extLst>
        </c:ser>
        <c:ser>
          <c:idx val="1"/>
          <c:order val="1"/>
          <c:tx>
            <c:strRef>
              <c:f>PrevDentOral_0105!$A$3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PrevDentOral_0105!$B$3:$I$3</c:f>
              <c:numCache>
                <c:formatCode>0.0%</c:formatCode>
                <c:ptCount val="8"/>
                <c:pt idx="0">
                  <c:v>0.44400000000000001</c:v>
                </c:pt>
                <c:pt idx="1">
                  <c:v>0.45900000000000002</c:v>
                </c:pt>
                <c:pt idx="2">
                  <c:v>0.435</c:v>
                </c:pt>
                <c:pt idx="3">
                  <c:v>0.505</c:v>
                </c:pt>
                <c:pt idx="4">
                  <c:v>0.57500000000000007</c:v>
                </c:pt>
                <c:pt idx="5">
                  <c:v>0.61599999999999999</c:v>
                </c:pt>
                <c:pt idx="6">
                  <c:v>0.66</c:v>
                </c:pt>
                <c:pt idx="7">
                  <c:v>0.59599999999999997</c:v>
                </c:pt>
              </c:numCache>
            </c:numRef>
          </c:yVal>
          <c:smooth val="0"/>
          <c:extLst>
            <c:ext xmlns:c16="http://schemas.microsoft.com/office/drawing/2014/chart" uri="{C3380CC4-5D6E-409C-BE32-E72D297353CC}">
              <c16:uniqueId val="{00000002-4941-48B8-97CB-A3BD5DF8226B}"/>
            </c:ext>
          </c:extLst>
        </c:ser>
        <c:ser>
          <c:idx val="2"/>
          <c:order val="2"/>
          <c:tx>
            <c:strRef>
              <c:f>PrevDentOral_0105!$A$4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PrevDentOral_0105!$B$4:$I$4</c:f>
              <c:numCache>
                <c:formatCode>0.0%</c:formatCode>
                <c:ptCount val="8"/>
                <c:pt idx="0">
                  <c:v>0.36</c:v>
                </c:pt>
                <c:pt idx="1">
                  <c:v>0.42200000000000004</c:v>
                </c:pt>
                <c:pt idx="2">
                  <c:v>0.44400000000000001</c:v>
                </c:pt>
                <c:pt idx="3">
                  <c:v>0.55900000000000005</c:v>
                </c:pt>
                <c:pt idx="4">
                  <c:v>0.54100000000000004</c:v>
                </c:pt>
                <c:pt idx="5">
                  <c:v>0.58799999999999997</c:v>
                </c:pt>
                <c:pt idx="6">
                  <c:v>0.57599999999999996</c:v>
                </c:pt>
                <c:pt idx="7">
                  <c:v>0.57099999999999995</c:v>
                </c:pt>
              </c:numCache>
            </c:numRef>
          </c:yVal>
          <c:smooth val="0"/>
          <c:extLst>
            <c:ext xmlns:c16="http://schemas.microsoft.com/office/drawing/2014/chart" uri="{C3380CC4-5D6E-409C-BE32-E72D297353CC}">
              <c16:uniqueId val="{00000003-4941-48B8-97CB-A3BD5DF8226B}"/>
            </c:ext>
          </c:extLst>
        </c:ser>
        <c:ser>
          <c:idx val="3"/>
          <c:order val="3"/>
          <c:tx>
            <c:strRef>
              <c:f>PrevDentOral_0105!$A$5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PrevDentOral_0105!$B$5:$I$5</c:f>
              <c:numCache>
                <c:formatCode>0.0%</c:formatCode>
                <c:ptCount val="8"/>
                <c:pt idx="0">
                  <c:v>0.33200000000000002</c:v>
                </c:pt>
                <c:pt idx="1">
                  <c:v>0.35600000000000004</c:v>
                </c:pt>
                <c:pt idx="2">
                  <c:v>0.32700000000000001</c:v>
                </c:pt>
                <c:pt idx="3">
                  <c:v>0.42100000000000004</c:v>
                </c:pt>
                <c:pt idx="4">
                  <c:v>0.42399999999999999</c:v>
                </c:pt>
                <c:pt idx="5">
                  <c:v>0.47199999999999998</c:v>
                </c:pt>
                <c:pt idx="6">
                  <c:v>0.54500000000000004</c:v>
                </c:pt>
                <c:pt idx="7">
                  <c:v>0.51900000000000002</c:v>
                </c:pt>
              </c:numCache>
            </c:numRef>
          </c:yVal>
          <c:smooth val="0"/>
          <c:extLst>
            <c:ext xmlns:c16="http://schemas.microsoft.com/office/drawing/2014/chart" uri="{C3380CC4-5D6E-409C-BE32-E72D297353CC}">
              <c16:uniqueId val="{00000004-4941-48B8-97CB-A3BD5DF8226B}"/>
            </c:ext>
          </c:extLst>
        </c:ser>
        <c:ser>
          <c:idx val="4"/>
          <c:order val="4"/>
          <c:tx>
            <c:strRef>
              <c:f>PrevDentOral_0105!$A$6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PrevDentOral_0105!$B$6:$I$6</c:f>
              <c:numCache>
                <c:formatCode>0.0%</c:formatCode>
                <c:ptCount val="8"/>
                <c:pt idx="0">
                  <c:v>0.44700000000000006</c:v>
                </c:pt>
                <c:pt idx="1">
                  <c:v>0.42499999999999999</c:v>
                </c:pt>
                <c:pt idx="2">
                  <c:v>0.35299999999999998</c:v>
                </c:pt>
                <c:pt idx="3">
                  <c:v>0.45900000000000002</c:v>
                </c:pt>
                <c:pt idx="4">
                  <c:v>0.48200000000000004</c:v>
                </c:pt>
                <c:pt idx="5">
                  <c:v>0.60699999999999998</c:v>
                </c:pt>
                <c:pt idx="6">
                  <c:v>0.65700000000000003</c:v>
                </c:pt>
                <c:pt idx="7">
                  <c:v>0.63500000000000001</c:v>
                </c:pt>
              </c:numCache>
            </c:numRef>
          </c:yVal>
          <c:smooth val="0"/>
          <c:extLst>
            <c:ext xmlns:c16="http://schemas.microsoft.com/office/drawing/2014/chart" uri="{C3380CC4-5D6E-409C-BE32-E72D297353CC}">
              <c16:uniqueId val="{00000005-4941-48B8-97CB-A3BD5DF8226B}"/>
            </c:ext>
          </c:extLst>
        </c:ser>
        <c:ser>
          <c:idx val="5"/>
          <c:order val="5"/>
          <c:tx>
            <c:strRef>
              <c:f>PrevDentOral_0105!$A$7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PrevDentOral_0105!$B$7:$I$7</c:f>
              <c:numCache>
                <c:formatCode>0.0%</c:formatCode>
                <c:ptCount val="8"/>
                <c:pt idx="0">
                  <c:v>0.44</c:v>
                </c:pt>
                <c:pt idx="1">
                  <c:v>0.44</c:v>
                </c:pt>
                <c:pt idx="2">
                  <c:v>0.36100000000000004</c:v>
                </c:pt>
                <c:pt idx="3">
                  <c:v>0.45200000000000001</c:v>
                </c:pt>
                <c:pt idx="4">
                  <c:v>0.49</c:v>
                </c:pt>
                <c:pt idx="5">
                  <c:v>0.55100000000000005</c:v>
                </c:pt>
                <c:pt idx="6">
                  <c:v>0.60399999999999998</c:v>
                </c:pt>
                <c:pt idx="7">
                  <c:v>0.626</c:v>
                </c:pt>
              </c:numCache>
            </c:numRef>
          </c:yVal>
          <c:smooth val="0"/>
          <c:extLst>
            <c:ext xmlns:c16="http://schemas.microsoft.com/office/drawing/2014/chart" uri="{C3380CC4-5D6E-409C-BE32-E72D297353CC}">
              <c16:uniqueId val="{00000006-4941-48B8-97CB-A3BD5DF8226B}"/>
            </c:ext>
          </c:extLst>
        </c:ser>
        <c:ser>
          <c:idx val="6"/>
          <c:order val="6"/>
          <c:tx>
            <c:strRef>
              <c:f>PrevDentOral_0105!$A$8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PrevDentOral_0105!$B$8:$I$8</c:f>
              <c:numCache>
                <c:formatCode>0.0%</c:formatCode>
                <c:ptCount val="8"/>
                <c:pt idx="0">
                  <c:v>0.36700000000000005</c:v>
                </c:pt>
                <c:pt idx="1">
                  <c:v>0.41399999999999998</c:v>
                </c:pt>
                <c:pt idx="2">
                  <c:v>0.378</c:v>
                </c:pt>
                <c:pt idx="3">
                  <c:v>0.52500000000000002</c:v>
                </c:pt>
                <c:pt idx="4">
                  <c:v>0.53200000000000003</c:v>
                </c:pt>
                <c:pt idx="5">
                  <c:v>0.56799999999999995</c:v>
                </c:pt>
                <c:pt idx="6">
                  <c:v>0.622</c:v>
                </c:pt>
                <c:pt idx="7">
                  <c:v>0.65500000000000003</c:v>
                </c:pt>
              </c:numCache>
            </c:numRef>
          </c:yVal>
          <c:smooth val="0"/>
          <c:extLst>
            <c:ext xmlns:c16="http://schemas.microsoft.com/office/drawing/2014/chart" uri="{C3380CC4-5D6E-409C-BE32-E72D297353CC}">
              <c16:uniqueId val="{00000007-4941-48B8-97CB-A3BD5DF8226B}"/>
            </c:ext>
          </c:extLst>
        </c:ser>
        <c:ser>
          <c:idx val="7"/>
          <c:order val="7"/>
          <c:tx>
            <c:strRef>
              <c:f>PrevDentOral_0105!$A$9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PrevDentOral_0105!$B$9:$I$9</c:f>
              <c:numCache>
                <c:formatCode>0.0%</c:formatCode>
                <c:ptCount val="8"/>
                <c:pt idx="0">
                  <c:v>0.46</c:v>
                </c:pt>
                <c:pt idx="1">
                  <c:v>0.504</c:v>
                </c:pt>
                <c:pt idx="2">
                  <c:v>0.43100000000000005</c:v>
                </c:pt>
                <c:pt idx="3">
                  <c:v>0.47500000000000003</c:v>
                </c:pt>
                <c:pt idx="4">
                  <c:v>0.53600000000000003</c:v>
                </c:pt>
                <c:pt idx="5">
                  <c:v>0.60499999999999998</c:v>
                </c:pt>
                <c:pt idx="6">
                  <c:v>0.66600000000000004</c:v>
                </c:pt>
                <c:pt idx="7">
                  <c:v>0.66600000000000004</c:v>
                </c:pt>
              </c:numCache>
            </c:numRef>
          </c:yVal>
          <c:smooth val="0"/>
          <c:extLst>
            <c:ext xmlns:c16="http://schemas.microsoft.com/office/drawing/2014/chart" uri="{C3380CC4-5D6E-409C-BE32-E72D297353CC}">
              <c16:uniqueId val="{00000008-4941-48B8-97CB-A3BD5DF8226B}"/>
            </c:ext>
          </c:extLst>
        </c:ser>
        <c:ser>
          <c:idx val="8"/>
          <c:order val="8"/>
          <c:tx>
            <c:strRef>
              <c:f>PrevDentOral_0105!$A$10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PrevDentOral_0105!$B$10:$I$10</c:f>
              <c:numCache>
                <c:formatCode>0.0%</c:formatCode>
                <c:ptCount val="8"/>
                <c:pt idx="0">
                  <c:v>0.45200000000000001</c:v>
                </c:pt>
                <c:pt idx="1">
                  <c:v>0.46200000000000002</c:v>
                </c:pt>
                <c:pt idx="2">
                  <c:v>0.33799999999999997</c:v>
                </c:pt>
                <c:pt idx="3">
                  <c:v>0.435</c:v>
                </c:pt>
                <c:pt idx="4">
                  <c:v>0.48</c:v>
                </c:pt>
                <c:pt idx="5">
                  <c:v>0.58499999999999996</c:v>
                </c:pt>
                <c:pt idx="6">
                  <c:v>0.59399999999999997</c:v>
                </c:pt>
                <c:pt idx="7">
                  <c:v>0.58499999999999996</c:v>
                </c:pt>
              </c:numCache>
            </c:numRef>
          </c:yVal>
          <c:smooth val="0"/>
          <c:extLst>
            <c:ext xmlns:c16="http://schemas.microsoft.com/office/drawing/2014/chart" uri="{C3380CC4-5D6E-409C-BE32-E72D297353CC}">
              <c16:uniqueId val="{00000009-4941-48B8-97CB-A3BD5DF8226B}"/>
            </c:ext>
          </c:extLst>
        </c:ser>
        <c:ser>
          <c:idx val="9"/>
          <c:order val="9"/>
          <c:tx>
            <c:strRef>
              <c:f>PrevDentOral_0105!$A$11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PrevDentOral_0105!$B$11:$I$11</c:f>
              <c:numCache>
                <c:formatCode>0.0%</c:formatCode>
                <c:ptCount val="8"/>
                <c:pt idx="0">
                  <c:v>0.53300000000000003</c:v>
                </c:pt>
                <c:pt idx="1">
                  <c:v>0.51500000000000001</c:v>
                </c:pt>
                <c:pt idx="2">
                  <c:v>0.33700000000000002</c:v>
                </c:pt>
                <c:pt idx="3">
                  <c:v>0.40899999999999997</c:v>
                </c:pt>
                <c:pt idx="4">
                  <c:v>0.40899999999999997</c:v>
                </c:pt>
                <c:pt idx="5">
                  <c:v>0.5</c:v>
                </c:pt>
                <c:pt idx="6">
                  <c:v>0.51</c:v>
                </c:pt>
                <c:pt idx="7">
                  <c:v>0.58499999999999996</c:v>
                </c:pt>
              </c:numCache>
            </c:numRef>
          </c:yVal>
          <c:smooth val="0"/>
          <c:extLst>
            <c:ext xmlns:c16="http://schemas.microsoft.com/office/drawing/2014/chart" uri="{C3380CC4-5D6E-409C-BE32-E72D297353CC}">
              <c16:uniqueId val="{0000000A-4941-48B8-97CB-A3BD5DF8226B}"/>
            </c:ext>
          </c:extLst>
        </c:ser>
        <c:ser>
          <c:idx val="10"/>
          <c:order val="10"/>
          <c:tx>
            <c:strRef>
              <c:f>PrevDentOral_0105!$A$12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PrevDentOral_0105!$B$12:$I$12</c:f>
              <c:numCache>
                <c:formatCode>General</c:formatCode>
                <c:ptCount val="8"/>
                <c:pt idx="2" formatCode="0.0%">
                  <c:v>0.39900000000000002</c:v>
                </c:pt>
                <c:pt idx="3" formatCode="0.0%">
                  <c:v>0.53300000000000003</c:v>
                </c:pt>
                <c:pt idx="4" formatCode="0.0%">
                  <c:v>0.51</c:v>
                </c:pt>
                <c:pt idx="5" formatCode="0.0%">
                  <c:v>0.56000000000000005</c:v>
                </c:pt>
                <c:pt idx="6" formatCode="0.0%">
                  <c:v>0.627</c:v>
                </c:pt>
                <c:pt idx="7" formatCode="0.0%">
                  <c:v>0.69099999999999995</c:v>
                </c:pt>
              </c:numCache>
            </c:numRef>
          </c:yVal>
          <c:smooth val="0"/>
          <c:extLst>
            <c:ext xmlns:c16="http://schemas.microsoft.com/office/drawing/2014/chart" uri="{C3380CC4-5D6E-409C-BE32-E72D297353CC}">
              <c16:uniqueId val="{0000000B-4941-48B8-97CB-A3BD5DF8226B}"/>
            </c:ext>
          </c:extLst>
        </c:ser>
        <c:ser>
          <c:idx val="11"/>
          <c:order val="11"/>
          <c:tx>
            <c:strRef>
              <c:f>PrevDentOral_0105!$A$13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PrevDentOral_0105!$B$13:$I$13</c:f>
              <c:numCache>
                <c:formatCode>General</c:formatCode>
                <c:ptCount val="8"/>
                <c:pt idx="2" formatCode="0.0%">
                  <c:v>0.40299999999999997</c:v>
                </c:pt>
                <c:pt idx="3" formatCode="0.0%">
                  <c:v>0.501</c:v>
                </c:pt>
                <c:pt idx="4" formatCode="0.0%">
                  <c:v>0.52800000000000002</c:v>
                </c:pt>
                <c:pt idx="5" formatCode="0.0%">
                  <c:v>0.56200000000000006</c:v>
                </c:pt>
                <c:pt idx="6" formatCode="0.0%">
                  <c:v>0.63400000000000001</c:v>
                </c:pt>
                <c:pt idx="7" formatCode="0.0%">
                  <c:v>0.65500000000000003</c:v>
                </c:pt>
              </c:numCache>
            </c:numRef>
          </c:yVal>
          <c:smooth val="0"/>
          <c:extLst>
            <c:ext xmlns:c16="http://schemas.microsoft.com/office/drawing/2014/chart" uri="{C3380CC4-5D6E-409C-BE32-E72D297353CC}">
              <c16:uniqueId val="{0000000C-4941-48B8-97CB-A3BD5DF8226B}"/>
            </c:ext>
          </c:extLst>
        </c:ser>
        <c:ser>
          <c:idx val="13"/>
          <c:order val="12"/>
          <c:tx>
            <c:strRef>
              <c:f>PrevDentOral_0105!$A$14</c:f>
              <c:strCache>
                <c:ptCount val="1"/>
                <c:pt idx="0">
                  <c:v>Statewide</c:v>
                </c:pt>
              </c:strCache>
            </c:strRef>
          </c:tx>
          <c:spPr>
            <a:ln w="28575" cap="rnd">
              <a:solidFill>
                <a:schemeClr val="accent1">
                  <a:lumMod val="75000"/>
                </a:schemeClr>
              </a:solidFill>
              <a:round/>
            </a:ln>
            <a:effectLst/>
          </c:spPr>
          <c:marker>
            <c:symbol val="none"/>
          </c:marker>
          <c:dPt>
            <c:idx val="2"/>
            <c:marker>
              <c:symbol val="none"/>
            </c:marker>
            <c:bubble3D val="0"/>
            <c:extLst>
              <c:ext xmlns:c16="http://schemas.microsoft.com/office/drawing/2014/chart" uri="{C3380CC4-5D6E-409C-BE32-E72D297353CC}">
                <c16:uniqueId val="{0000000D-4941-48B8-97CB-A3BD5DF8226B}"/>
              </c:ext>
            </c:extLst>
          </c:dPt>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PrevDentOral_0105!$B$14:$I$14</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0E-4941-48B8-97CB-A3BD5DF8226B}"/>
            </c:ext>
          </c:extLst>
        </c:ser>
        <c:ser>
          <c:idx val="14"/>
          <c:order val="13"/>
          <c:tx>
            <c:strRef>
              <c:f>PrevDentOral_0105!$A$15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PrevDentOral_0105!$B$15:$I$15</c:f>
              <c:numCache>
                <c:formatCode>General</c:formatCode>
                <c:ptCount val="8"/>
                <c:pt idx="3" formatCode="0.0%">
                  <c:v>0.26100000000000001</c:v>
                </c:pt>
                <c:pt idx="4" formatCode="0.0%">
                  <c:v>0.33600000000000002</c:v>
                </c:pt>
                <c:pt idx="5" formatCode="0.0%">
                  <c:v>0.36799999999999999</c:v>
                </c:pt>
                <c:pt idx="6" formatCode="0.0%">
                  <c:v>0.433</c:v>
                </c:pt>
                <c:pt idx="7" formatCode="0.0%">
                  <c:v>0.50900000000000001</c:v>
                </c:pt>
              </c:numCache>
            </c:numRef>
          </c:yVal>
          <c:smooth val="0"/>
          <c:extLst>
            <c:ext xmlns:c16="http://schemas.microsoft.com/office/drawing/2014/chart" uri="{C3380CC4-5D6E-409C-BE32-E72D297353CC}">
              <c16:uniqueId val="{0000000F-4941-48B8-97CB-A3BD5DF8226B}"/>
            </c:ext>
          </c:extLst>
        </c:ser>
        <c:ser>
          <c:idx val="15"/>
          <c:order val="14"/>
          <c:tx>
            <c:strRef>
              <c:f>PrevDentOral_0105!$A$16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PrevDentOral_0105!$B$16:$I$16</c:f>
              <c:numCache>
                <c:formatCode>0.0%</c:formatCode>
                <c:ptCount val="8"/>
                <c:pt idx="0">
                  <c:v>0.43200000000000005</c:v>
                </c:pt>
                <c:pt idx="1">
                  <c:v>0.47000000000000003</c:v>
                </c:pt>
                <c:pt idx="2">
                  <c:v>0.35600000000000004</c:v>
                </c:pt>
                <c:pt idx="3">
                  <c:v>0.498</c:v>
                </c:pt>
                <c:pt idx="4">
                  <c:v>0.47000000000000003</c:v>
                </c:pt>
                <c:pt idx="5">
                  <c:v>0.55800000000000005</c:v>
                </c:pt>
                <c:pt idx="6">
                  <c:v>0.60899999999999999</c:v>
                </c:pt>
                <c:pt idx="7">
                  <c:v>0.63600000000000001</c:v>
                </c:pt>
              </c:numCache>
            </c:numRef>
          </c:yVal>
          <c:smooth val="0"/>
          <c:extLst>
            <c:ext xmlns:c16="http://schemas.microsoft.com/office/drawing/2014/chart" uri="{C3380CC4-5D6E-409C-BE32-E72D297353CC}">
              <c16:uniqueId val="{00000010-4941-48B8-97CB-A3BD5DF8226B}"/>
            </c:ext>
          </c:extLst>
        </c:ser>
        <c:ser>
          <c:idx val="16"/>
          <c:order val="15"/>
          <c:tx>
            <c:strRef>
              <c:f>PrevDentOral_0105!$A$17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PrevDentOral_0105!$B$17:$I$17</c:f>
              <c:numCache>
                <c:formatCode>0.0%</c:formatCode>
                <c:ptCount val="8"/>
                <c:pt idx="0">
                  <c:v>0.37200000000000005</c:v>
                </c:pt>
                <c:pt idx="1">
                  <c:v>0.45700000000000002</c:v>
                </c:pt>
                <c:pt idx="2">
                  <c:v>0.25600000000000001</c:v>
                </c:pt>
                <c:pt idx="3">
                  <c:v>0.40399999999999997</c:v>
                </c:pt>
                <c:pt idx="4">
                  <c:v>0.443</c:v>
                </c:pt>
                <c:pt idx="5">
                  <c:v>0.51</c:v>
                </c:pt>
                <c:pt idx="6">
                  <c:v>0.59599999999999997</c:v>
                </c:pt>
                <c:pt idx="7">
                  <c:v>0.59399999999999997</c:v>
                </c:pt>
              </c:numCache>
            </c:numRef>
          </c:yVal>
          <c:smooth val="0"/>
          <c:extLst>
            <c:ext xmlns:c16="http://schemas.microsoft.com/office/drawing/2014/chart" uri="{C3380CC4-5D6E-409C-BE32-E72D297353CC}">
              <c16:uniqueId val="{00000011-4941-48B8-97CB-A3BD5DF8226B}"/>
            </c:ext>
          </c:extLst>
        </c:ser>
        <c:ser>
          <c:idx val="17"/>
          <c:order val="17"/>
          <c:tx>
            <c:strRef>
              <c:f>PrevDentOral_0105!$A$19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PrevDentOral_0105!$B$19:$I$19</c:f>
              <c:numCache>
                <c:formatCode>0.0%</c:formatCode>
                <c:ptCount val="8"/>
                <c:pt idx="0">
                  <c:v>0.49200000000000005</c:v>
                </c:pt>
                <c:pt idx="1">
                  <c:v>0.51200000000000001</c:v>
                </c:pt>
                <c:pt idx="2">
                  <c:v>0.375</c:v>
                </c:pt>
                <c:pt idx="3">
                  <c:v>0.47200000000000003</c:v>
                </c:pt>
                <c:pt idx="4">
                  <c:v>0.499</c:v>
                </c:pt>
                <c:pt idx="5">
                  <c:v>0.56000000000000005</c:v>
                </c:pt>
                <c:pt idx="6">
                  <c:v>0.61099999999999999</c:v>
                </c:pt>
                <c:pt idx="7">
                  <c:v>0.627</c:v>
                </c:pt>
              </c:numCache>
            </c:numRef>
          </c:yVal>
          <c:smooth val="0"/>
          <c:extLst>
            <c:ext xmlns:c16="http://schemas.microsoft.com/office/drawing/2014/chart" uri="{C3380CC4-5D6E-409C-BE32-E72D297353CC}">
              <c16:uniqueId val="{00000012-4941-48B8-97CB-A3BD5DF8226B}"/>
            </c:ext>
          </c:extLst>
        </c:ser>
        <c:ser>
          <c:idx val="18"/>
          <c:order val="18"/>
          <c:tx>
            <c:strRef>
              <c:f>PrevDentOral_0105!$A$20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PrevDentOral_0105!$B$1:$I$1</c:f>
              <c:strCache>
                <c:ptCount val="8"/>
                <c:pt idx="0">
                  <c:v>'18</c:v>
                </c:pt>
                <c:pt idx="1">
                  <c:v>'19</c:v>
                </c:pt>
                <c:pt idx="2">
                  <c:v>'20</c:v>
                </c:pt>
                <c:pt idx="3">
                  <c:v>'21</c:v>
                </c:pt>
                <c:pt idx="4">
                  <c:v>'22</c:v>
                </c:pt>
                <c:pt idx="5">
                  <c:v>'23</c:v>
                </c:pt>
                <c:pt idx="6">
                  <c:v>'24</c:v>
                </c:pt>
                <c:pt idx="7">
                  <c:v>'25</c:v>
                </c:pt>
              </c:strCache>
            </c:strRef>
          </c:xVal>
          <c:yVal>
            <c:numRef>
              <c:f>PrevDentOral_0105!$B$20:$I$20</c:f>
              <c:numCache>
                <c:formatCode>General</c:formatCode>
                <c:ptCount val="8"/>
                <c:pt idx="2" formatCode="0.0%">
                  <c:v>0.54600000000000004</c:v>
                </c:pt>
                <c:pt idx="3" formatCode="0.0%">
                  <c:v>0.33700000000000002</c:v>
                </c:pt>
                <c:pt idx="4" formatCode="0.0%">
                  <c:v>0.43099999999999999</c:v>
                </c:pt>
                <c:pt idx="5" formatCode="0.0%">
                  <c:v>0.47199999999999998</c:v>
                </c:pt>
                <c:pt idx="6" formatCode="0.0%">
                  <c:v>0.52900000000000003</c:v>
                </c:pt>
                <c:pt idx="7" formatCode="0.0%">
                  <c:v>0.60599999999999998</c:v>
                </c:pt>
              </c:numCache>
            </c:numRef>
          </c:yVal>
          <c:smooth val="0"/>
          <c:extLst>
            <c:ext xmlns:c16="http://schemas.microsoft.com/office/drawing/2014/chart" uri="{C3380CC4-5D6E-409C-BE32-E72D297353CC}">
              <c16:uniqueId val="{00000013-4941-48B8-97CB-A3BD5DF8226B}"/>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1"/>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2"/>
          <c:order val="16"/>
          <c:tx>
            <c:strRef>
              <c:f>SEM!$A$18</c:f>
              <c:strCache>
                <c:ptCount val="1"/>
                <c:pt idx="0">
                  <c:v>Yamhill Community Care</c:v>
                </c:pt>
              </c:strCache>
            </c:strRef>
          </c:tx>
          <c:spPr>
            <a:ln w="25400" cap="rnd">
              <a:noFill/>
              <a:round/>
            </a:ln>
            <a:effectLst/>
          </c:spPr>
          <c:marker>
            <c:symbol val="circle"/>
            <c:size val="6"/>
            <c:spPr>
              <a:noFill/>
              <a:ln w="9525">
                <a:solidFill>
                  <a:srgbClr val="606060"/>
                </a:solidFill>
              </a:ln>
              <a:effectLst/>
            </c:spPr>
          </c:marker>
          <c:cat>
            <c:strRef>
              <c:f>SEM!$B$1:$C$1</c:f>
              <c:strCache>
                <c:ptCount val="2"/>
                <c:pt idx="0">
                  <c:v>'24</c:v>
                </c:pt>
                <c:pt idx="1">
                  <c:v>'25</c:v>
                </c:pt>
              </c:strCache>
            </c:strRef>
          </c:cat>
          <c:val>
            <c:numRef>
              <c:f>SEM!$B$18:$C$18</c:f>
              <c:numCache>
                <c:formatCode>0.0%</c:formatCode>
                <c:ptCount val="2"/>
                <c:pt idx="0">
                  <c:v>4.1000000000000002E-2</c:v>
                </c:pt>
                <c:pt idx="1">
                  <c:v>5.6000000000000001E-2</c:v>
                </c:pt>
              </c:numCache>
            </c:numRef>
          </c:val>
          <c:smooth val="0"/>
          <c:extLst>
            <c:ext xmlns:c16="http://schemas.microsoft.com/office/drawing/2014/chart" uri="{C3380CC4-5D6E-409C-BE32-E72D297353CC}">
              <c16:uniqueId val="{00000000-EE96-4F61-ACB5-BDB20FFE78AE}"/>
            </c:ext>
          </c:extLst>
        </c:ser>
        <c:dLbls>
          <c:showLegendKey val="0"/>
          <c:showVal val="0"/>
          <c:showCatName val="0"/>
          <c:showSerName val="0"/>
          <c:showPercent val="0"/>
          <c:showBubbleSize val="0"/>
        </c:dLbls>
        <c:marker val="1"/>
        <c:smooth val="0"/>
        <c:axId val="883618976"/>
        <c:axId val="883618648"/>
      </c:lineChart>
      <c:scatterChart>
        <c:scatterStyle val="lineMarker"/>
        <c:varyColors val="0"/>
        <c:ser>
          <c:idx val="0"/>
          <c:order val="0"/>
          <c:tx>
            <c:strRef>
              <c:f>SEM!$A$2</c:f>
              <c:strCache>
                <c:ptCount val="1"/>
                <c:pt idx="0">
                  <c:v>Advanced Health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SEM!$B$2:$C$2</c:f>
              <c:numCache>
                <c:formatCode>0.0%</c:formatCode>
                <c:ptCount val="2"/>
                <c:pt idx="0">
                  <c:v>4.1000000000000002E-2</c:v>
                </c:pt>
                <c:pt idx="1">
                  <c:v>7.1999999999999995E-2</c:v>
                </c:pt>
              </c:numCache>
            </c:numRef>
          </c:yVal>
          <c:smooth val="0"/>
          <c:extLst>
            <c:ext xmlns:c16="http://schemas.microsoft.com/office/drawing/2014/chart" uri="{C3380CC4-5D6E-409C-BE32-E72D297353CC}">
              <c16:uniqueId val="{00000001-EE96-4F61-ACB5-BDB20FFE78AE}"/>
            </c:ext>
          </c:extLst>
        </c:ser>
        <c:ser>
          <c:idx val="1"/>
          <c:order val="1"/>
          <c:tx>
            <c:strRef>
              <c:f>SEM!$A$3</c:f>
              <c:strCache>
                <c:ptCount val="1"/>
                <c:pt idx="0">
                  <c:v>AllCare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SEM!$B$3:$C$3</c:f>
              <c:numCache>
                <c:formatCode>0.0%</c:formatCode>
                <c:ptCount val="2"/>
                <c:pt idx="0">
                  <c:v>3.2000000000000001E-2</c:v>
                </c:pt>
                <c:pt idx="1">
                  <c:v>4.3999999999999997E-2</c:v>
                </c:pt>
              </c:numCache>
            </c:numRef>
          </c:yVal>
          <c:smooth val="0"/>
          <c:extLst>
            <c:ext xmlns:c16="http://schemas.microsoft.com/office/drawing/2014/chart" uri="{C3380CC4-5D6E-409C-BE32-E72D297353CC}">
              <c16:uniqueId val="{00000002-EE96-4F61-ACB5-BDB20FFE78AE}"/>
            </c:ext>
          </c:extLst>
        </c:ser>
        <c:ser>
          <c:idx val="2"/>
          <c:order val="2"/>
          <c:tx>
            <c:strRef>
              <c:f>SEM!$A$4</c:f>
              <c:strCache>
                <c:ptCount val="1"/>
                <c:pt idx="0">
                  <c:v>Cascade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SEM!$B$4:$C$4</c:f>
              <c:numCache>
                <c:formatCode>0.0%</c:formatCode>
                <c:ptCount val="2"/>
                <c:pt idx="0">
                  <c:v>4.2000000000000003E-2</c:v>
                </c:pt>
                <c:pt idx="1">
                  <c:v>4.7E-2</c:v>
                </c:pt>
              </c:numCache>
            </c:numRef>
          </c:yVal>
          <c:smooth val="0"/>
          <c:extLst>
            <c:ext xmlns:c16="http://schemas.microsoft.com/office/drawing/2014/chart" uri="{C3380CC4-5D6E-409C-BE32-E72D297353CC}">
              <c16:uniqueId val="{00000003-EE96-4F61-ACB5-BDB20FFE78AE}"/>
            </c:ext>
          </c:extLst>
        </c:ser>
        <c:ser>
          <c:idx val="3"/>
          <c:order val="3"/>
          <c:tx>
            <c:strRef>
              <c:f>SEM!$A$5</c:f>
              <c:strCache>
                <c:ptCount val="1"/>
                <c:pt idx="0">
                  <c:v>Columbia Pacific</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SEM!$B$5:$C$5</c:f>
              <c:numCache>
                <c:formatCode>0.0%</c:formatCode>
                <c:ptCount val="2"/>
                <c:pt idx="0">
                  <c:v>3.5999999999999997E-2</c:v>
                </c:pt>
                <c:pt idx="1">
                  <c:v>3.7999999999999999E-2</c:v>
                </c:pt>
              </c:numCache>
            </c:numRef>
          </c:yVal>
          <c:smooth val="0"/>
          <c:extLst>
            <c:ext xmlns:c16="http://schemas.microsoft.com/office/drawing/2014/chart" uri="{C3380CC4-5D6E-409C-BE32-E72D297353CC}">
              <c16:uniqueId val="{00000004-EE96-4F61-ACB5-BDB20FFE78AE}"/>
            </c:ext>
          </c:extLst>
        </c:ser>
        <c:ser>
          <c:idx val="4"/>
          <c:order val="4"/>
          <c:tx>
            <c:strRef>
              <c:f>SEM!$A$6</c:f>
              <c:strCache>
                <c:ptCount val="1"/>
                <c:pt idx="0">
                  <c:v>Eastern Oregon CCO</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SEM!$B$6:$C$6</c:f>
              <c:numCache>
                <c:formatCode>0.0%</c:formatCode>
                <c:ptCount val="2"/>
                <c:pt idx="0">
                  <c:v>3.1E-2</c:v>
                </c:pt>
                <c:pt idx="1">
                  <c:v>3.6999999999999998E-2</c:v>
                </c:pt>
              </c:numCache>
            </c:numRef>
          </c:yVal>
          <c:smooth val="0"/>
          <c:extLst>
            <c:ext xmlns:c16="http://schemas.microsoft.com/office/drawing/2014/chart" uri="{C3380CC4-5D6E-409C-BE32-E72D297353CC}">
              <c16:uniqueId val="{00000005-EE96-4F61-ACB5-BDB20FFE78AE}"/>
            </c:ext>
          </c:extLst>
        </c:ser>
        <c:ser>
          <c:idx val="5"/>
          <c:order val="5"/>
          <c:tx>
            <c:strRef>
              <c:f>SEM!$A$7</c:f>
              <c:strCache>
                <c:ptCount val="1"/>
                <c:pt idx="0">
                  <c:v>Health Share of Oregon</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SEM!$B$7:$C$7</c:f>
              <c:numCache>
                <c:formatCode>0.0%</c:formatCode>
                <c:ptCount val="2"/>
                <c:pt idx="0">
                  <c:v>5.3999999999999999E-2</c:v>
                </c:pt>
                <c:pt idx="1">
                  <c:v>7.1999999999999995E-2</c:v>
                </c:pt>
              </c:numCache>
            </c:numRef>
          </c:yVal>
          <c:smooth val="0"/>
          <c:extLst>
            <c:ext xmlns:c16="http://schemas.microsoft.com/office/drawing/2014/chart" uri="{C3380CC4-5D6E-409C-BE32-E72D297353CC}">
              <c16:uniqueId val="{00000006-EE96-4F61-ACB5-BDB20FFE78AE}"/>
            </c:ext>
          </c:extLst>
        </c:ser>
        <c:ser>
          <c:idx val="6"/>
          <c:order val="6"/>
          <c:tx>
            <c:strRef>
              <c:f>SEM!$A$8</c:f>
              <c:strCache>
                <c:ptCount val="1"/>
                <c:pt idx="0">
                  <c:v>InterCommunity Health Network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SEM!$B$8:$C$8</c:f>
              <c:numCache>
                <c:formatCode>0.0%</c:formatCode>
                <c:ptCount val="2"/>
                <c:pt idx="0">
                  <c:v>4.4999999999999998E-2</c:v>
                </c:pt>
                <c:pt idx="1">
                  <c:v>3.9E-2</c:v>
                </c:pt>
              </c:numCache>
            </c:numRef>
          </c:yVal>
          <c:smooth val="0"/>
          <c:extLst>
            <c:ext xmlns:c16="http://schemas.microsoft.com/office/drawing/2014/chart" uri="{C3380CC4-5D6E-409C-BE32-E72D297353CC}">
              <c16:uniqueId val="{00000007-EE96-4F61-ACB5-BDB20FFE78AE}"/>
            </c:ext>
          </c:extLst>
        </c:ser>
        <c:ser>
          <c:idx val="7"/>
          <c:order val="7"/>
          <c:tx>
            <c:strRef>
              <c:f>SEM!$A$9</c:f>
              <c:strCache>
                <c:ptCount val="1"/>
                <c:pt idx="0">
                  <c:v>Jackson Care Connect</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SEM!$B$9:$C$9</c:f>
              <c:numCache>
                <c:formatCode>0.0%</c:formatCode>
                <c:ptCount val="2"/>
                <c:pt idx="0">
                  <c:v>6.6000000000000003E-2</c:v>
                </c:pt>
                <c:pt idx="1">
                  <c:v>8.5000000000000006E-2</c:v>
                </c:pt>
              </c:numCache>
            </c:numRef>
          </c:yVal>
          <c:smooth val="0"/>
          <c:extLst>
            <c:ext xmlns:c16="http://schemas.microsoft.com/office/drawing/2014/chart" uri="{C3380CC4-5D6E-409C-BE32-E72D297353CC}">
              <c16:uniqueId val="{00000008-EE96-4F61-ACB5-BDB20FFE78AE}"/>
            </c:ext>
          </c:extLst>
        </c:ser>
        <c:ser>
          <c:idx val="8"/>
          <c:order val="8"/>
          <c:tx>
            <c:strRef>
              <c:f>SEM!$A$10</c:f>
              <c:strCache>
                <c:ptCount val="1"/>
                <c:pt idx="0">
                  <c:v>PacificSource Central</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SEM!$B$10:$C$10</c:f>
              <c:numCache>
                <c:formatCode>0.0%</c:formatCode>
                <c:ptCount val="2"/>
                <c:pt idx="0">
                  <c:v>8.1000000000000003E-2</c:v>
                </c:pt>
                <c:pt idx="1">
                  <c:v>9.0999999999999998E-2</c:v>
                </c:pt>
              </c:numCache>
            </c:numRef>
          </c:yVal>
          <c:smooth val="0"/>
          <c:extLst>
            <c:ext xmlns:c16="http://schemas.microsoft.com/office/drawing/2014/chart" uri="{C3380CC4-5D6E-409C-BE32-E72D297353CC}">
              <c16:uniqueId val="{00000009-EE96-4F61-ACB5-BDB20FFE78AE}"/>
            </c:ext>
          </c:extLst>
        </c:ser>
        <c:ser>
          <c:idx val="9"/>
          <c:order val="9"/>
          <c:tx>
            <c:strRef>
              <c:f>SEM!$A$11</c:f>
              <c:strCache>
                <c:ptCount val="1"/>
                <c:pt idx="0">
                  <c:v>PacificSource Gorge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SEM!$B$11:$C$11</c:f>
              <c:numCache>
                <c:formatCode>0.0%</c:formatCode>
                <c:ptCount val="2"/>
                <c:pt idx="0">
                  <c:v>3.4000000000000002E-2</c:v>
                </c:pt>
                <c:pt idx="1">
                  <c:v>6.8000000000000005E-2</c:v>
                </c:pt>
              </c:numCache>
            </c:numRef>
          </c:yVal>
          <c:smooth val="0"/>
          <c:extLst>
            <c:ext xmlns:c16="http://schemas.microsoft.com/office/drawing/2014/chart" uri="{C3380CC4-5D6E-409C-BE32-E72D297353CC}">
              <c16:uniqueId val="{0000000A-EE96-4F61-ACB5-BDB20FFE78AE}"/>
            </c:ext>
          </c:extLst>
        </c:ser>
        <c:ser>
          <c:idx val="10"/>
          <c:order val="10"/>
          <c:tx>
            <c:strRef>
              <c:f>SEM!$A$12</c:f>
              <c:strCache>
                <c:ptCount val="1"/>
                <c:pt idx="0">
                  <c:v>PacificSource Lane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SEM!$B$12:$C$12</c:f>
              <c:numCache>
                <c:formatCode>0.0%</c:formatCode>
                <c:ptCount val="2"/>
                <c:pt idx="0">
                  <c:v>6.7000000000000004E-2</c:v>
                </c:pt>
                <c:pt idx="1">
                  <c:v>8.6999999999999994E-2</c:v>
                </c:pt>
              </c:numCache>
            </c:numRef>
          </c:yVal>
          <c:smooth val="0"/>
          <c:extLst>
            <c:ext xmlns:c16="http://schemas.microsoft.com/office/drawing/2014/chart" uri="{C3380CC4-5D6E-409C-BE32-E72D297353CC}">
              <c16:uniqueId val="{0000000B-EE96-4F61-ACB5-BDB20FFE78AE}"/>
            </c:ext>
          </c:extLst>
        </c:ser>
        <c:ser>
          <c:idx val="11"/>
          <c:order val="11"/>
          <c:tx>
            <c:strRef>
              <c:f>SEM!$A$13</c:f>
              <c:strCache>
                <c:ptCount val="1"/>
                <c:pt idx="0">
                  <c:v>PacificSource Marion Polk</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SEM!$B$13:$C$13</c:f>
              <c:numCache>
                <c:formatCode>0.0%</c:formatCode>
                <c:ptCount val="2"/>
                <c:pt idx="0">
                  <c:v>3.9E-2</c:v>
                </c:pt>
                <c:pt idx="1">
                  <c:v>4.8000000000000001E-2</c:v>
                </c:pt>
              </c:numCache>
            </c:numRef>
          </c:yVal>
          <c:smooth val="0"/>
          <c:extLst>
            <c:ext xmlns:c16="http://schemas.microsoft.com/office/drawing/2014/chart" uri="{C3380CC4-5D6E-409C-BE32-E72D297353CC}">
              <c16:uniqueId val="{0000000C-EE96-4F61-ACB5-BDB20FFE78AE}"/>
            </c:ext>
          </c:extLst>
        </c:ser>
        <c:ser>
          <c:idx val="13"/>
          <c:order val="12"/>
          <c:tx>
            <c:strRef>
              <c:f>SEM!$A$14</c:f>
              <c:strCache>
                <c:ptCount val="1"/>
                <c:pt idx="0">
                  <c:v>Statewide</c:v>
                </c:pt>
              </c:strCache>
            </c:strRef>
          </c:tx>
          <c:spPr>
            <a:ln w="28575" cap="rnd">
              <a:solidFill>
                <a:schemeClr val="accent1">
                  <a:lumMod val="75000"/>
                </a:schemeClr>
              </a:solidFill>
              <a:round/>
            </a:ln>
            <a:effectLst/>
          </c:spPr>
          <c:marker>
            <c:symbol val="none"/>
          </c:marker>
          <c:xVal>
            <c:strRef>
              <c:f>SEM!$B$1:$C$1</c:f>
              <c:strCache>
                <c:ptCount val="2"/>
                <c:pt idx="0">
                  <c:v>'24</c:v>
                </c:pt>
                <c:pt idx="1">
                  <c:v>'25</c:v>
                </c:pt>
              </c:strCache>
            </c:strRef>
          </c:xVal>
          <c:yVal>
            <c:numRef>
              <c:f>SEM!$B$14:$C$14</c:f>
              <c:numCache>
                <c:formatCode>0.0%</c:formatCode>
                <c:ptCount val="2"/>
                <c:pt idx="0">
                  <c:v>0.05</c:v>
                </c:pt>
                <c:pt idx="1">
                  <c:v>6.3E-2</c:v>
                </c:pt>
              </c:numCache>
            </c:numRef>
          </c:yVal>
          <c:smooth val="0"/>
          <c:extLst>
            <c:ext xmlns:c16="http://schemas.microsoft.com/office/drawing/2014/chart" uri="{C3380CC4-5D6E-409C-BE32-E72D297353CC}">
              <c16:uniqueId val="{0000000D-EE96-4F61-ACB5-BDB20FFE78AE}"/>
            </c:ext>
          </c:extLst>
        </c:ser>
        <c:ser>
          <c:idx val="14"/>
          <c:order val="13"/>
          <c:tx>
            <c:strRef>
              <c:f>SEM!$A$15</c:f>
              <c:strCache>
                <c:ptCount val="1"/>
                <c:pt idx="0">
                  <c:v>Trillium North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SEM!$B$15:$C$15</c:f>
              <c:numCache>
                <c:formatCode>0.0%</c:formatCode>
                <c:ptCount val="2"/>
                <c:pt idx="0">
                  <c:v>6.8000000000000005E-2</c:v>
                </c:pt>
                <c:pt idx="1">
                  <c:v>7.1999999999999995E-2</c:v>
                </c:pt>
              </c:numCache>
            </c:numRef>
          </c:yVal>
          <c:smooth val="0"/>
          <c:extLst>
            <c:ext xmlns:c16="http://schemas.microsoft.com/office/drawing/2014/chart" uri="{C3380CC4-5D6E-409C-BE32-E72D297353CC}">
              <c16:uniqueId val="{0000000E-EE96-4F61-ACB5-BDB20FFE78AE}"/>
            </c:ext>
          </c:extLst>
        </c:ser>
        <c:ser>
          <c:idx val="15"/>
          <c:order val="14"/>
          <c:tx>
            <c:strRef>
              <c:f>SEM!$A$16</c:f>
              <c:strCache>
                <c:ptCount val="1"/>
                <c:pt idx="0">
                  <c:v>Trillium South</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SEM!$B$16:$C$16</c:f>
              <c:numCache>
                <c:formatCode>0.0%</c:formatCode>
                <c:ptCount val="2"/>
                <c:pt idx="0">
                  <c:v>3.1E-2</c:v>
                </c:pt>
                <c:pt idx="1">
                  <c:v>5.8999999999999997E-2</c:v>
                </c:pt>
              </c:numCache>
            </c:numRef>
          </c:yVal>
          <c:smooth val="0"/>
          <c:extLst>
            <c:ext xmlns:c16="http://schemas.microsoft.com/office/drawing/2014/chart" uri="{C3380CC4-5D6E-409C-BE32-E72D297353CC}">
              <c16:uniqueId val="{0000000F-EE96-4F61-ACB5-BDB20FFE78AE}"/>
            </c:ext>
          </c:extLst>
        </c:ser>
        <c:ser>
          <c:idx val="16"/>
          <c:order val="15"/>
          <c:tx>
            <c:strRef>
              <c:f>SEM!$A$17</c:f>
              <c:strCache>
                <c:ptCount val="1"/>
                <c:pt idx="0">
                  <c:v>Umpqua Health Alliance</c:v>
                </c:pt>
              </c:strCache>
            </c:strRef>
          </c:tx>
          <c:spPr>
            <a:ln w="25400" cap="rnd">
              <a:noFill/>
              <a:round/>
            </a:ln>
            <a:effectLst/>
          </c:spPr>
          <c:marker>
            <c:symbol val="circle"/>
            <c:size val="6"/>
            <c:spPr>
              <a:noFill/>
              <a:ln w="9525">
                <a:solidFill>
                  <a:srgbClr val="606060"/>
                </a:solidFill>
              </a:ln>
              <a:effectLst/>
            </c:spPr>
          </c:marker>
          <c:xVal>
            <c:strRef>
              <c:f>SEM!$B$1:$C$1</c:f>
              <c:strCache>
                <c:ptCount val="2"/>
                <c:pt idx="0">
                  <c:v>'24</c:v>
                </c:pt>
                <c:pt idx="1">
                  <c:v>'25</c:v>
                </c:pt>
              </c:strCache>
            </c:strRef>
          </c:xVal>
          <c:yVal>
            <c:numRef>
              <c:f>SEM!$B$17:$C$17</c:f>
              <c:numCache>
                <c:formatCode>0.0%</c:formatCode>
                <c:ptCount val="2"/>
                <c:pt idx="0">
                  <c:v>3.6999999999999998E-2</c:v>
                </c:pt>
                <c:pt idx="1">
                  <c:v>6.2E-2</c:v>
                </c:pt>
              </c:numCache>
            </c:numRef>
          </c:yVal>
          <c:smooth val="0"/>
          <c:extLst>
            <c:ext xmlns:c16="http://schemas.microsoft.com/office/drawing/2014/chart" uri="{C3380CC4-5D6E-409C-BE32-E72D297353CC}">
              <c16:uniqueId val="{00000010-EE96-4F61-ACB5-BDB20FFE78AE}"/>
            </c:ext>
          </c:extLst>
        </c:ser>
        <c:ser>
          <c:idx val="17"/>
          <c:order val="17"/>
          <c:tx>
            <c:strRef>
              <c:f>SEM!$A$19</c:f>
              <c:strCache>
                <c:ptCount val="1"/>
                <c:pt idx="0">
                  <c:v>Statewide (dots)</c:v>
                </c:pt>
              </c:strCache>
            </c:strRef>
          </c:tx>
          <c:spPr>
            <a:ln w="25400" cap="rnd">
              <a:noFill/>
              <a:round/>
            </a:ln>
            <a:effectLst/>
          </c:spPr>
          <c:marker>
            <c:symbol val="circle"/>
            <c:size val="7"/>
            <c:spPr>
              <a:solidFill>
                <a:schemeClr val="accent1">
                  <a:lumMod val="75000"/>
                </a:schemeClr>
              </a:solidFill>
              <a:ln w="9525">
                <a:solidFill>
                  <a:schemeClr val="accent1">
                    <a:lumMod val="75000"/>
                  </a:schemeClr>
                </a:solidFill>
              </a:ln>
              <a:effectLst/>
            </c:spPr>
          </c:marker>
          <c:xVal>
            <c:strRef>
              <c:f>SEM!$B$1:$C$1</c:f>
              <c:strCache>
                <c:ptCount val="2"/>
                <c:pt idx="0">
                  <c:v>'24</c:v>
                </c:pt>
                <c:pt idx="1">
                  <c:v>'25</c:v>
                </c:pt>
              </c:strCache>
            </c:strRef>
          </c:xVal>
          <c:yVal>
            <c:numRef>
              <c:f>SEM!$B$19:$C$19</c:f>
              <c:numCache>
                <c:formatCode>0.0%</c:formatCode>
                <c:ptCount val="2"/>
                <c:pt idx="0">
                  <c:v>0.05</c:v>
                </c:pt>
                <c:pt idx="1">
                  <c:v>6.3E-2</c:v>
                </c:pt>
              </c:numCache>
            </c:numRef>
          </c:yVal>
          <c:smooth val="0"/>
          <c:extLst>
            <c:ext xmlns:c16="http://schemas.microsoft.com/office/drawing/2014/chart" uri="{C3380CC4-5D6E-409C-BE32-E72D297353CC}">
              <c16:uniqueId val="{00000011-EE96-4F61-ACB5-BDB20FFE78AE}"/>
            </c:ext>
          </c:extLst>
        </c:ser>
        <c:ser>
          <c:idx val="18"/>
          <c:order val="18"/>
          <c:tx>
            <c:strRef>
              <c:f>SEM!$A$20</c:f>
              <c:strCache>
                <c:ptCount val="1"/>
                <c:pt idx="0">
                  <c:v>Benchmark</c:v>
                </c:pt>
              </c:strCache>
            </c:strRef>
          </c:tx>
          <c:spPr>
            <a:ln w="28575" cap="rnd">
              <a:noFill/>
              <a:round/>
            </a:ln>
            <a:effectLst/>
          </c:spPr>
          <c:marker>
            <c:symbol val="dash"/>
            <c:size val="14"/>
            <c:spPr>
              <a:solidFill>
                <a:schemeClr val="accent2">
                  <a:lumMod val="75000"/>
                </a:schemeClr>
              </a:solidFill>
              <a:ln w="9525">
                <a:solidFill>
                  <a:schemeClr val="bg1"/>
                </a:solidFill>
              </a:ln>
              <a:effectLst/>
            </c:spPr>
          </c:marker>
          <c:xVal>
            <c:strRef>
              <c:f>SEM!$B$1:$C$1</c:f>
              <c:strCache>
                <c:ptCount val="2"/>
                <c:pt idx="0">
                  <c:v>'24</c:v>
                </c:pt>
                <c:pt idx="1">
                  <c:v>'25</c:v>
                </c:pt>
              </c:strCache>
            </c:strRef>
          </c:xVal>
          <c:yVal>
            <c:numRef>
              <c:f>SEM!$B$20:$C$20</c:f>
              <c:numCache>
                <c:formatCode>0.0%</c:formatCode>
                <c:ptCount val="2"/>
                <c:pt idx="1">
                  <c:v>0.11</c:v>
                </c:pt>
              </c:numCache>
            </c:numRef>
          </c:yVal>
          <c:smooth val="0"/>
          <c:extLst>
            <c:ext xmlns:c16="http://schemas.microsoft.com/office/drawing/2014/chart" uri="{C3380CC4-5D6E-409C-BE32-E72D297353CC}">
              <c16:uniqueId val="{00000012-EE96-4F61-ACB5-BDB20FFE78AE}"/>
            </c:ext>
          </c:extLst>
        </c:ser>
        <c:dLbls>
          <c:showLegendKey val="0"/>
          <c:showVal val="0"/>
          <c:showCatName val="0"/>
          <c:showSerName val="0"/>
          <c:showPercent val="0"/>
          <c:showBubbleSize val="0"/>
        </c:dLbls>
        <c:axId val="883618976"/>
        <c:axId val="883618648"/>
      </c:scatterChart>
      <c:catAx>
        <c:axId val="88361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648"/>
        <c:crosses val="autoZero"/>
        <c:auto val="1"/>
        <c:lblAlgn val="ctr"/>
        <c:lblOffset val="100"/>
        <c:noMultiLvlLbl val="0"/>
      </c:catAx>
      <c:valAx>
        <c:axId val="883618648"/>
        <c:scaling>
          <c:orientation val="minMax"/>
          <c:max val="0.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Arial" panose="020B0604020202020204" pitchFamily="34" charset="0"/>
              </a:defRPr>
            </a:pPr>
            <a:endParaRPr lang="en-US"/>
          </a:p>
        </c:txPr>
        <c:crossAx val="883618976"/>
        <c:crosses val="autoZero"/>
        <c:crossBetween val="between"/>
        <c:majorUnit val="0.25"/>
        <c:min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0"/>
          <c:order val="0"/>
          <c:tx>
            <c:strRef>
              <c:f>'Prop met paid area'!$B$1</c:f>
              <c:strCache>
                <c:ptCount val="1"/>
                <c:pt idx="0">
                  <c:v>Met &lt;75%</c:v>
                </c:pt>
              </c:strCache>
            </c:strRef>
          </c:tx>
          <c:spPr>
            <a:solidFill>
              <a:srgbClr val="6799BF"/>
            </a:solidFill>
            <a:ln>
              <a:solidFill>
                <a:schemeClr val="bg1"/>
              </a:solidFill>
            </a:ln>
            <a:effectLst/>
          </c:spPr>
          <c:dLbls>
            <c:dLbl>
              <c:idx val="0"/>
              <c:layout>
                <c:manualLayout>
                  <c:x val="0.14722222222222214"/>
                  <c:y val="5.4223564520188318E-2"/>
                </c:manualLayout>
              </c:layout>
              <c:tx>
                <c:rich>
                  <a:bodyPr/>
                  <a:lstStyle/>
                  <a:p>
                    <a:r>
                      <a:rPr lang="en-US"/>
                      <a:t>&lt;75% cumplido</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area'!$B$2:$B$13</c:f>
              <c:numCache>
                <c:formatCode>0%</c:formatCode>
                <c:ptCount val="12"/>
                <c:pt idx="0">
                  <c:v>0.26666666700000002</c:v>
                </c:pt>
                <c:pt idx="1">
                  <c:v>0.1875</c:v>
                </c:pt>
                <c:pt idx="2">
                  <c:v>6.25E-2</c:v>
                </c:pt>
                <c:pt idx="3">
                  <c:v>0.5625</c:v>
                </c:pt>
                <c:pt idx="4">
                  <c:v>0.125</c:v>
                </c:pt>
                <c:pt idx="5">
                  <c:v>0.2</c:v>
                </c:pt>
                <c:pt idx="6">
                  <c:v>0.66666666699999999</c:v>
                </c:pt>
                <c:pt idx="7">
                  <c:v>0.25</c:v>
                </c:pt>
                <c:pt idx="8">
                  <c:v>0.25</c:v>
                </c:pt>
                <c:pt idx="9">
                  <c:v>0.6875</c:v>
                </c:pt>
                <c:pt idx="10">
                  <c:v>0.5</c:v>
                </c:pt>
                <c:pt idx="11">
                  <c:v>0.625</c:v>
                </c:pt>
              </c:numCache>
            </c:numRef>
          </c:val>
          <c:extLst>
            <c:ext xmlns:c16="http://schemas.microsoft.com/office/drawing/2014/chart" uri="{C3380CC4-5D6E-409C-BE32-E72D297353CC}">
              <c16:uniqueId val="{00000001-4B5A-4BBE-994C-B88B2FBF0F0B}"/>
            </c:ext>
          </c:extLst>
        </c:ser>
        <c:ser>
          <c:idx val="1"/>
          <c:order val="1"/>
          <c:tx>
            <c:strRef>
              <c:f>'Prop met paid area'!$C$1</c:f>
              <c:strCache>
                <c:ptCount val="1"/>
                <c:pt idx="0">
                  <c:v>Met 75-89%</c:v>
                </c:pt>
              </c:strCache>
            </c:strRef>
          </c:tx>
          <c:spPr>
            <a:solidFill>
              <a:srgbClr val="005595"/>
            </a:solidFill>
            <a:ln>
              <a:solidFill>
                <a:schemeClr val="bg1"/>
              </a:solidFill>
            </a:ln>
            <a:effectLst/>
          </c:spPr>
          <c:dLbls>
            <c:dLbl>
              <c:idx val="0"/>
              <c:layout>
                <c:manualLayout>
                  <c:x val="-5.8119658119658121E-2"/>
                  <c:y val="-7.0261309248108694E-2"/>
                </c:manualLayout>
              </c:layout>
              <c:tx>
                <c:rich>
                  <a:bodyPr/>
                  <a:lstStyle/>
                  <a:p>
                    <a:r>
                      <a:rPr lang="en-US"/>
                      <a:t>75% a 89% cumplido</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area'!$C$2:$C$13</c:f>
              <c:numCache>
                <c:formatCode>0%</c:formatCode>
                <c:ptCount val="12"/>
                <c:pt idx="0">
                  <c:v>0.73333333300000003</c:v>
                </c:pt>
                <c:pt idx="1">
                  <c:v>0.6875</c:v>
                </c:pt>
                <c:pt idx="2">
                  <c:v>0.8125</c:v>
                </c:pt>
                <c:pt idx="3">
                  <c:v>0.4375</c:v>
                </c:pt>
                <c:pt idx="4">
                  <c:v>0.8125</c:v>
                </c:pt>
                <c:pt idx="5">
                  <c:v>0.8</c:v>
                </c:pt>
                <c:pt idx="6">
                  <c:v>0.33333333300000001</c:v>
                </c:pt>
                <c:pt idx="7">
                  <c:v>0.25</c:v>
                </c:pt>
                <c:pt idx="8">
                  <c:v>0.6875</c:v>
                </c:pt>
                <c:pt idx="9">
                  <c:v>0.25</c:v>
                </c:pt>
                <c:pt idx="10">
                  <c:v>0.4375</c:v>
                </c:pt>
                <c:pt idx="11">
                  <c:v>0.3125</c:v>
                </c:pt>
              </c:numCache>
            </c:numRef>
          </c:val>
          <c:extLst>
            <c:ext xmlns:c16="http://schemas.microsoft.com/office/drawing/2014/chart" uri="{C3380CC4-5D6E-409C-BE32-E72D297353CC}">
              <c16:uniqueId val="{00000003-4B5A-4BBE-994C-B88B2FBF0F0B}"/>
            </c:ext>
          </c:extLst>
        </c:ser>
        <c:ser>
          <c:idx val="2"/>
          <c:order val="2"/>
          <c:tx>
            <c:strRef>
              <c:f>'Prop met paid area'!$D$1</c:f>
              <c:strCache>
                <c:ptCount val="1"/>
                <c:pt idx="0">
                  <c:v>Met 90-100%</c:v>
                </c:pt>
              </c:strCache>
            </c:strRef>
          </c:tx>
          <c:spPr>
            <a:solidFill>
              <a:srgbClr val="002B4A"/>
            </a:solidFill>
            <a:ln>
              <a:solidFill>
                <a:schemeClr val="bg1"/>
              </a:solidFill>
            </a:ln>
            <a:effectLst/>
          </c:spPr>
          <c:dLbls>
            <c:dLbl>
              <c:idx val="0"/>
              <c:layout>
                <c:manualLayout>
                  <c:x val="0.12649572649572641"/>
                  <c:y val="6.2278071405457852E-2"/>
                </c:manualLayout>
              </c:layout>
              <c:tx>
                <c:rich>
                  <a:bodyPr rot="0" spcFirstLastPara="1" vertOverflow="ellipsis" vert="horz" wrap="square" lIns="38100" tIns="19050" rIns="38100" bIns="19050" anchor="ctr" anchorCtr="1">
                    <a:noAutofit/>
                  </a:bodyPr>
                  <a:lstStyle/>
                  <a:p>
                    <a:pPr>
                      <a:defRPr sz="1100" b="0" i="0" u="none" strike="noStrike" kern="1200" baseline="0">
                        <a:solidFill>
                          <a:schemeClr val="bg1"/>
                        </a:solidFill>
                        <a:latin typeface="Arial Narrow" panose="020B0606020202030204" pitchFamily="34" charset="0"/>
                        <a:ea typeface="+mn-ea"/>
                        <a:cs typeface="+mn-cs"/>
                      </a:defRPr>
                    </a:pPr>
                    <a:r>
                      <a:rPr lang="en-US"/>
                      <a:t>90% a 100% cumplido</a:t>
                    </a:r>
                  </a:p>
                </c:rich>
              </c:tx>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bg1"/>
                      </a:solidFill>
                      <a:latin typeface="Arial Narrow" panose="020B0606020202030204" pitchFamily="34" charset="0"/>
                      <a:ea typeface="+mn-ea"/>
                      <a:cs typeface="+mn-cs"/>
                    </a:defRPr>
                  </a:pPr>
                  <a:endParaRPr lang="en-US"/>
                </a:p>
              </c:txPr>
              <c:showLegendKey val="0"/>
              <c:showVal val="0"/>
              <c:showCatName val="0"/>
              <c:showSerName val="1"/>
              <c:showPercent val="0"/>
              <c:showBubbleSize val="0"/>
              <c:extLst>
                <c:ext xmlns:c15="http://schemas.microsoft.com/office/drawing/2012/chart" uri="{CE6537A1-D6FC-4f65-9D91-7224C49458BB}">
                  <c15:layout>
                    <c:manualLayout>
                      <c:w val="0.12211538461538461"/>
                      <c:h val="0.16091324200913237"/>
                    </c:manualLayout>
                  </c15:layout>
                  <c15:showDataLabelsRange val="0"/>
                </c:ext>
                <c:ext xmlns:c16="http://schemas.microsoft.com/office/drawing/2014/chart" uri="{C3380CC4-5D6E-409C-BE32-E72D297353CC}">
                  <c16:uniqueId val="{00000004-4B5A-4BBE-994C-B88B2FBF0F0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Narrow" panose="020B0606020202030204" pitchFamily="34" charset="0"/>
                    <a:ea typeface="+mn-ea"/>
                    <a:cs typeface="+mn-cs"/>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'Prop met paid area'!$A$2:$A$13</c:f>
              <c:strCache>
                <c:ptCount val="12"/>
                <c:pt idx="0">
                  <c:v>'13</c:v>
                </c:pt>
                <c:pt idx="1">
                  <c:v>'14</c:v>
                </c:pt>
                <c:pt idx="2">
                  <c:v>'15</c:v>
                </c:pt>
                <c:pt idx="3">
                  <c:v>'16</c:v>
                </c:pt>
                <c:pt idx="4">
                  <c:v>'17</c:v>
                </c:pt>
                <c:pt idx="5">
                  <c:v>'18</c:v>
                </c:pt>
                <c:pt idx="6">
                  <c:v>'19</c:v>
                </c:pt>
                <c:pt idx="7">
                  <c:v>'21</c:v>
                </c:pt>
                <c:pt idx="8">
                  <c:v>'22</c:v>
                </c:pt>
                <c:pt idx="9">
                  <c:v>'23</c:v>
                </c:pt>
                <c:pt idx="10">
                  <c:v>'24</c:v>
                </c:pt>
                <c:pt idx="11">
                  <c:v>'25</c:v>
                </c:pt>
              </c:strCache>
            </c:strRef>
          </c:cat>
          <c:val>
            <c:numRef>
              <c:f>'Prop met paid area'!$D$2:$D$13</c:f>
              <c:numCache>
                <c:formatCode>0%</c:formatCode>
                <c:ptCount val="12"/>
                <c:pt idx="0">
                  <c:v>0</c:v>
                </c:pt>
                <c:pt idx="1">
                  <c:v>0.125</c:v>
                </c:pt>
                <c:pt idx="2">
                  <c:v>0.125</c:v>
                </c:pt>
                <c:pt idx="3">
                  <c:v>0</c:v>
                </c:pt>
                <c:pt idx="4">
                  <c:v>6.25E-2</c:v>
                </c:pt>
                <c:pt idx="5">
                  <c:v>0</c:v>
                </c:pt>
                <c:pt idx="6">
                  <c:v>0</c:v>
                </c:pt>
                <c:pt idx="7">
                  <c:v>0.5</c:v>
                </c:pt>
                <c:pt idx="8">
                  <c:v>6.25E-2</c:v>
                </c:pt>
                <c:pt idx="9">
                  <c:v>6.25E-2</c:v>
                </c:pt>
                <c:pt idx="10">
                  <c:v>6.25E-2</c:v>
                </c:pt>
                <c:pt idx="11">
                  <c:v>6.25E-2</c:v>
                </c:pt>
              </c:numCache>
            </c:numRef>
          </c:val>
          <c:extLst>
            <c:ext xmlns:c16="http://schemas.microsoft.com/office/drawing/2014/chart" uri="{C3380CC4-5D6E-409C-BE32-E72D297353CC}">
              <c16:uniqueId val="{00000005-4B5A-4BBE-994C-B88B2FBF0F0B}"/>
            </c:ext>
          </c:extLst>
        </c:ser>
        <c:dLbls>
          <c:showLegendKey val="0"/>
          <c:showVal val="1"/>
          <c:showCatName val="0"/>
          <c:showSerName val="0"/>
          <c:showPercent val="0"/>
          <c:showBubbleSize val="0"/>
        </c:dLbls>
        <c:axId val="398285112"/>
        <c:axId val="398278880"/>
      </c:areaChart>
      <c:catAx>
        <c:axId val="398285112"/>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398278880"/>
        <c:crosses val="autoZero"/>
        <c:auto val="1"/>
        <c:lblAlgn val="ctr"/>
        <c:lblOffset val="100"/>
        <c:noMultiLvlLbl val="0"/>
      </c:catAx>
      <c:valAx>
        <c:axId val="398278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bg1"/>
            </a:solidFill>
          </a:ln>
          <a:effectLst/>
        </c:spPr>
        <c:txPr>
          <a:bodyPr rot="-60000000" spcFirstLastPara="1" vertOverflow="ellipsis" vert="horz" wrap="square" anchor="ctr" anchorCtr="1"/>
          <a:lstStyle/>
          <a:p>
            <a:pPr>
              <a:defRPr sz="10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398285112"/>
        <c:crosses val="autoZero"/>
        <c:crossBetween val="midCat"/>
        <c:majorUnit val="0.2"/>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534211869349663"/>
          <c:y val="2.3504273504273504E-2"/>
          <c:w val="0.45252825167687372"/>
          <c:h val="0.95299145299145294"/>
        </c:manualLayout>
      </c:layout>
      <c:barChart>
        <c:barDir val="bar"/>
        <c:grouping val="stacked"/>
        <c:varyColors val="0"/>
        <c:ser>
          <c:idx val="1"/>
          <c:order val="1"/>
          <c:tx>
            <c:v>% de bono elegible obtenido en la Fase 1</c:v>
          </c:tx>
          <c:spPr>
            <a:solidFill>
              <a:srgbClr val="064276"/>
            </a:solidFill>
            <a:ln>
              <a:solidFill>
                <a:srgbClr val="064276"/>
              </a:solidFill>
            </a:ln>
            <a:effectLst/>
          </c:spPr>
          <c:invertIfNegative val="0"/>
          <c:cat>
            <c:strRef>
              <c:f>'Prop met paid bar_Spanish'!$A$4:$A$19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'Prop met paid bar_Spanish'!$E$4:$E$19</c:f>
              <c:numCache>
                <c:formatCode>0%</c:formatCode>
                <c:ptCount val="16"/>
                <c:pt idx="0">
                  <c:v>0.6</c:v>
                </c:pt>
                <c:pt idx="1">
                  <c:v>0.7</c:v>
                </c:pt>
                <c:pt idx="2">
                  <c:v>1</c:v>
                </c:pt>
                <c:pt idx="3">
                  <c:v>0.6</c:v>
                </c:pt>
                <c:pt idx="4">
                  <c:v>0.8</c:v>
                </c:pt>
                <c:pt idx="5">
                  <c:v>0.9</c:v>
                </c:pt>
                <c:pt idx="6">
                  <c:v>0.9</c:v>
                </c:pt>
                <c:pt idx="7">
                  <c:v>0.7</c:v>
                </c:pt>
                <c:pt idx="8">
                  <c:v>0.7</c:v>
                </c:pt>
                <c:pt idx="9">
                  <c:v>1</c:v>
                </c:pt>
                <c:pt idx="10">
                  <c:v>1</c:v>
                </c:pt>
                <c:pt idx="11">
                  <c:v>0.7</c:v>
                </c:pt>
                <c:pt idx="12">
                  <c:v>1</c:v>
                </c:pt>
                <c:pt idx="13">
                  <c:v>0.6</c:v>
                </c:pt>
                <c:pt idx="14">
                  <c:v>1</c:v>
                </c:pt>
                <c:pt idx="15">
                  <c:v>1</c:v>
                </c:pt>
              </c:numCache>
            </c:numRef>
          </c:val>
          <c:extLst>
            <c:ext xmlns:c16="http://schemas.microsoft.com/office/drawing/2014/chart" uri="{C3380CC4-5D6E-409C-BE32-E72D297353CC}">
              <c16:uniqueId val="{00000000-19B1-4846-AFA1-3556F5BFB3F9}"/>
            </c:ext>
          </c:extLst>
        </c:ser>
        <c:ser>
          <c:idx val="2"/>
          <c:order val="2"/>
          <c:tx>
            <c:v>% de bono elegible obtenido en la Fase 2</c:v>
          </c:tx>
          <c:spPr>
            <a:pattFill prst="pct70">
              <a:fgClr>
                <a:srgbClr val="064276"/>
              </a:fgClr>
              <a:bgClr>
                <a:schemeClr val="bg1"/>
              </a:bgClr>
            </a:pattFill>
            <a:ln w="9525">
              <a:solidFill>
                <a:srgbClr val="064276"/>
              </a:solidFill>
            </a:ln>
            <a:effectLst/>
          </c:spPr>
          <c:invertIfNegative val="0"/>
          <c:cat>
            <c:strRef>
              <c:f>'Prop met paid bar_Spanish'!$A$4:$A$19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'Prop met paid bar_Spanish'!$G$4:$G$19</c:f>
              <c:numCache>
                <c:formatCode>0%</c:formatCode>
                <c:ptCount val="16"/>
                <c:pt idx="0">
                  <c:v>9.0729469619239667E-2</c:v>
                </c:pt>
                <c:pt idx="1">
                  <c:v>0.19063471613922278</c:v>
                </c:pt>
                <c:pt idx="2">
                  <c:v>0.18839315134643786</c:v>
                </c:pt>
                <c:pt idx="3">
                  <c:v>9.0548497461353628E-2</c:v>
                </c:pt>
                <c:pt idx="4">
                  <c:v>0.20288868531585735</c:v>
                </c:pt>
                <c:pt idx="5">
                  <c:v>0.15154700439648383</c:v>
                </c:pt>
                <c:pt idx="6">
                  <c:v>0.20923602177372758</c:v>
                </c:pt>
                <c:pt idx="7">
                  <c:v>0.10976065426921455</c:v>
                </c:pt>
                <c:pt idx="8">
                  <c:v>0.15560046392501847</c:v>
                </c:pt>
                <c:pt idx="9">
                  <c:v>0.21373681571010295</c:v>
                </c:pt>
                <c:pt idx="10">
                  <c:v>0.22966157180275593</c:v>
                </c:pt>
                <c:pt idx="11">
                  <c:v>0.14998485829627217</c:v>
                </c:pt>
                <c:pt idx="12">
                  <c:v>0.2855258637874678</c:v>
                </c:pt>
                <c:pt idx="13">
                  <c:v>5.8914484531895295E-2</c:v>
                </c:pt>
                <c:pt idx="14">
                  <c:v>0.17827588403178196</c:v>
                </c:pt>
                <c:pt idx="15">
                  <c:v>0.14771443269828022</c:v>
                </c:pt>
              </c:numCache>
            </c:numRef>
          </c:val>
          <c:extLst xmlns:c15="http://schemas.microsoft.com/office/drawing/2012/chart">
            <c:ext xmlns:c16="http://schemas.microsoft.com/office/drawing/2014/chart" uri="{C3380CC4-5D6E-409C-BE32-E72D297353CC}">
              <c16:uniqueId val="{00000001-19B1-4846-AFA1-3556F5BFB3F9}"/>
            </c:ext>
          </c:extLst>
        </c:ser>
        <c:dLbls>
          <c:showLegendKey val="0"/>
          <c:showVal val="0"/>
          <c:showCatName val="0"/>
          <c:showSerName val="0"/>
          <c:showPercent val="0"/>
          <c:showBubbleSize val="0"/>
        </c:dLbls>
        <c:gapWidth val="50"/>
        <c:overlap val="100"/>
        <c:axId val="710797680"/>
        <c:axId val="710790136"/>
        <c:extLst/>
      </c:barChart>
      <c:barChart>
        <c:barDir val="bar"/>
        <c:grouping val="clustered"/>
        <c:varyColors val="0"/>
        <c:ser>
          <c:idx val="0"/>
          <c:order val="0"/>
          <c:tx>
            <c:v>% de medidas cumplidas</c:v>
          </c:tx>
          <c:spPr>
            <a:solidFill>
              <a:srgbClr val="F2F2F2"/>
            </a:solidFill>
            <a:ln>
              <a:solidFill>
                <a:srgbClr val="06427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2"/>
                    </a:solidFill>
                    <a:latin typeface="Aptos" panose="020B0004020202020204" pitchFamily="34"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'Prop met paid bar_Spanish'!$A$4:$A$19</c:f>
              <c:strCache>
                <c:ptCount val="16"/>
                <c:pt idx="0">
                  <c:v>Advanced Health</c:v>
                </c:pt>
                <c:pt idx="1">
                  <c:v>AllCare Health Plan</c:v>
                </c:pt>
                <c:pt idx="2">
                  <c:v>Cascade Health Alliance</c:v>
                </c:pt>
                <c:pt idx="3">
                  <c:v>Columbia Pacific</c:v>
                </c:pt>
                <c:pt idx="4">
                  <c:v>Eastern Oregon</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'Prop met paid bar_Spanish'!$D$4:$D$19</c:f>
              <c:numCache>
                <c:formatCode>0%</c:formatCode>
                <c:ptCount val="16"/>
                <c:pt idx="0">
                  <c:v>0.46</c:v>
                </c:pt>
                <c:pt idx="1">
                  <c:v>0.53</c:v>
                </c:pt>
                <c:pt idx="2">
                  <c:v>0.84</c:v>
                </c:pt>
                <c:pt idx="3">
                  <c:v>0.46</c:v>
                </c:pt>
                <c:pt idx="4">
                  <c:v>0.61</c:v>
                </c:pt>
                <c:pt idx="5">
                  <c:v>0.69</c:v>
                </c:pt>
                <c:pt idx="6">
                  <c:v>0.69</c:v>
                </c:pt>
                <c:pt idx="7">
                  <c:v>0.53</c:v>
                </c:pt>
                <c:pt idx="8">
                  <c:v>0.53</c:v>
                </c:pt>
                <c:pt idx="9">
                  <c:v>0.92</c:v>
                </c:pt>
                <c:pt idx="10">
                  <c:v>0.76</c:v>
                </c:pt>
                <c:pt idx="11">
                  <c:v>0.53</c:v>
                </c:pt>
                <c:pt idx="12">
                  <c:v>0.84</c:v>
                </c:pt>
                <c:pt idx="13">
                  <c:v>0.46</c:v>
                </c:pt>
                <c:pt idx="14">
                  <c:v>0.84</c:v>
                </c:pt>
                <c:pt idx="15">
                  <c:v>0.76</c:v>
                </c:pt>
              </c:numCache>
            </c:numRef>
          </c:val>
          <c:extLst>
            <c:ext xmlns:c16="http://schemas.microsoft.com/office/drawing/2014/chart" uri="{C3380CC4-5D6E-409C-BE32-E72D297353CC}">
              <c16:uniqueId val="{00000002-19B1-4846-AFA1-3556F5BFB3F9}"/>
            </c:ext>
          </c:extLst>
        </c:ser>
        <c:dLbls>
          <c:showLegendKey val="0"/>
          <c:showVal val="1"/>
          <c:showCatName val="0"/>
          <c:showSerName val="0"/>
          <c:showPercent val="0"/>
          <c:showBubbleSize val="0"/>
        </c:dLbls>
        <c:gapWidth val="125"/>
        <c:overlap val="-40"/>
        <c:axId val="710799320"/>
        <c:axId val="710795712"/>
      </c:barChart>
      <c:catAx>
        <c:axId val="710797680"/>
        <c:scaling>
          <c:orientation val="maxMin"/>
        </c:scaling>
        <c:delete val="0"/>
        <c:axPos val="l"/>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panose="020B0004020202020204" pitchFamily="34" charset="0"/>
                <a:ea typeface="+mn-ea"/>
                <a:cs typeface="Arial" panose="020B0604020202020204" pitchFamily="34" charset="0"/>
              </a:defRPr>
            </a:pPr>
            <a:endParaRPr lang="en-US"/>
          </a:p>
        </c:txPr>
        <c:crossAx val="710790136"/>
        <c:crosses val="autoZero"/>
        <c:auto val="1"/>
        <c:lblAlgn val="ctr"/>
        <c:lblOffset val="100"/>
        <c:noMultiLvlLbl val="0"/>
      </c:catAx>
      <c:valAx>
        <c:axId val="710790136"/>
        <c:scaling>
          <c:orientation val="minMax"/>
        </c:scaling>
        <c:delete val="1"/>
        <c:axPos val="t"/>
        <c:numFmt formatCode="0%" sourceLinked="1"/>
        <c:majorTickMark val="out"/>
        <c:minorTickMark val="none"/>
        <c:tickLblPos val="nextTo"/>
        <c:crossAx val="710797680"/>
        <c:crosses val="autoZero"/>
        <c:crossBetween val="between"/>
      </c:valAx>
      <c:valAx>
        <c:axId val="710795712"/>
        <c:scaling>
          <c:orientation val="minMax"/>
        </c:scaling>
        <c:delete val="1"/>
        <c:axPos val="b"/>
        <c:numFmt formatCode="0%" sourceLinked="1"/>
        <c:majorTickMark val="out"/>
        <c:minorTickMark val="none"/>
        <c:tickLblPos val="nextTo"/>
        <c:crossAx val="710799320"/>
        <c:crosses val="max"/>
        <c:crossBetween val="between"/>
      </c:valAx>
      <c:catAx>
        <c:axId val="710799320"/>
        <c:scaling>
          <c:orientation val="maxMin"/>
        </c:scaling>
        <c:delete val="1"/>
        <c:axPos val="r"/>
        <c:numFmt formatCode="General" sourceLinked="1"/>
        <c:majorTickMark val="out"/>
        <c:minorTickMark val="none"/>
        <c:tickLblPos val="nextTo"/>
        <c:crossAx val="710795712"/>
        <c:crosses val="max"/>
        <c:auto val="1"/>
        <c:lblAlgn val="ctr"/>
        <c:lblOffset val="100"/>
        <c:noMultiLvlLbl val="0"/>
      </c:catAx>
      <c:spPr>
        <a:noFill/>
        <a:ln>
          <a:noFill/>
        </a:ln>
        <a:effectLst/>
      </c:spPr>
    </c:plotArea>
    <c:legend>
      <c:legendPos val="tr"/>
      <c:layout>
        <c:manualLayout>
          <c:xMode val="edge"/>
          <c:yMode val="edge"/>
          <c:x val="0.7525292751867555"/>
          <c:y val="5.9829059829059832E-2"/>
          <c:w val="0.2474707248132445"/>
          <c:h val="0.27530702945253438"/>
        </c:manualLayout>
      </c:layout>
      <c:overlay val="1"/>
      <c:spPr>
        <a:noFill/>
        <a:ln>
          <a:noFill/>
        </a:ln>
        <a:effectLst/>
      </c:spPr>
      <c:txPr>
        <a:bodyPr rot="0" spcFirstLastPara="1" vertOverflow="ellipsis" vert="horz" wrap="square" anchor="ctr" anchorCtr="1"/>
        <a:lstStyle/>
        <a:p>
          <a:pPr>
            <a:defRPr sz="1100" b="0" i="0" u="none" strike="noStrike" kern="1200" baseline="0">
              <a:solidFill>
                <a:schemeClr val="tx1">
                  <a:lumMod val="50000"/>
                </a:schemeClr>
              </a:solidFill>
              <a:latin typeface="Aptos" panose="020B00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60814383460052757"/>
          <c:y val="2.5462962962962962E-2"/>
          <c:w val="0.34926812281142994"/>
          <c:h val="0.94907407407407407"/>
        </c:manualLayout>
      </c:layout>
      <c:barChart>
        <c:barDir val="bar"/>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 paid enrolled'!$A$3:$A$18</c:f>
              <c:strCache>
                <c:ptCount val="16"/>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'Total paid enrolled'!$J$3:$J$18</c:f>
              <c:numCache>
                <c:formatCode>#,##0</c:formatCode>
                <c:ptCount val="16"/>
                <c:pt idx="0">
                  <c:v>27153.096652585755</c:v>
                </c:pt>
                <c:pt idx="1">
                  <c:v>63084.463466461872</c:v>
                </c:pt>
                <c:pt idx="2">
                  <c:v>26415.566084229391</c:v>
                </c:pt>
                <c:pt idx="3">
                  <c:v>36036.344303635429</c:v>
                </c:pt>
                <c:pt idx="4">
                  <c:v>72315.507098054281</c:v>
                </c:pt>
                <c:pt idx="5">
                  <c:v>419106.74717741919</c:v>
                </c:pt>
                <c:pt idx="6">
                  <c:v>80955.78054915517</c:v>
                </c:pt>
                <c:pt idx="7">
                  <c:v>63047.595193292364</c:v>
                </c:pt>
                <c:pt idx="8">
                  <c:v>73692.544092421915</c:v>
                </c:pt>
                <c:pt idx="9">
                  <c:v>16598.042831541221</c:v>
                </c:pt>
                <c:pt idx="10">
                  <c:v>89240.752470558145</c:v>
                </c:pt>
                <c:pt idx="11">
                  <c:v>141653.09494367641</c:v>
                </c:pt>
                <c:pt idx="12">
                  <c:v>58487.021018945255</c:v>
                </c:pt>
                <c:pt idx="13">
                  <c:v>34554.552540962621</c:v>
                </c:pt>
                <c:pt idx="14">
                  <c:v>38941.871486175107</c:v>
                </c:pt>
                <c:pt idx="15">
                  <c:v>34589.82408474142</c:v>
                </c:pt>
              </c:numCache>
            </c:numRef>
          </c:val>
          <c:extLst>
            <c:ext xmlns:c16="http://schemas.microsoft.com/office/drawing/2014/chart" uri="{C3380CC4-5D6E-409C-BE32-E72D297353CC}">
              <c16:uniqueId val="{00000000-C747-1249-AB05-E9202EF5A643}"/>
            </c:ext>
          </c:extLst>
        </c:ser>
        <c:dLbls>
          <c:dLblPos val="outEnd"/>
          <c:showLegendKey val="0"/>
          <c:showVal val="1"/>
          <c:showCatName val="0"/>
          <c:showSerName val="0"/>
          <c:showPercent val="0"/>
          <c:showBubbleSize val="0"/>
        </c:dLbls>
        <c:gapWidth val="75"/>
        <c:axId val="209344344"/>
        <c:axId val="209344016"/>
      </c:barChart>
      <c:catAx>
        <c:axId val="209344344"/>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crossAx val="209344016"/>
        <c:crosses val="autoZero"/>
        <c:auto val="1"/>
        <c:lblAlgn val="ctr"/>
        <c:lblOffset val="100"/>
        <c:noMultiLvlLbl val="0"/>
      </c:catAx>
      <c:valAx>
        <c:axId val="209344016"/>
        <c:scaling>
          <c:orientation val="minMax"/>
        </c:scaling>
        <c:delete val="1"/>
        <c:axPos val="t"/>
        <c:numFmt formatCode="#,##0" sourceLinked="1"/>
        <c:majorTickMark val="out"/>
        <c:minorTickMark val="none"/>
        <c:tickLblPos val="nextTo"/>
        <c:crossAx val="20934434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236819160246527"/>
          <c:y val="2.5462962962962962E-2"/>
          <c:w val="0.42830665974238519"/>
          <c:h val="0.94907407407407407"/>
        </c:manualLayout>
      </c:layout>
      <c:barChart>
        <c:barDir val="bar"/>
        <c:grouping val="clustered"/>
        <c:varyColors val="0"/>
        <c:ser>
          <c:idx val="0"/>
          <c:order val="0"/>
          <c:spPr>
            <a:solidFill>
              <a:schemeClr val="accent1">
                <a:lumMod val="75000"/>
              </a:schemeClr>
            </a:solidFill>
            <a:ln>
              <a:noFill/>
            </a:ln>
            <a:effectLst/>
          </c:spPr>
          <c:invertIfNegative val="0"/>
          <c:dLbls>
            <c:spPr>
              <a:noFill/>
              <a:ln>
                <a:no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bg2">
                        <a:lumMod val="10000"/>
                      </a:schemeClr>
                    </a:solidFill>
                    <a:latin typeface="Aptos Display" panose="020B0004020202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 paid enrolled'!$A$3:$A$18</c:f>
              <c:strCache>
                <c:ptCount val="16"/>
                <c:pt idx="0">
                  <c:v>Advanced Health</c:v>
                </c:pt>
                <c:pt idx="1">
                  <c:v>AllCare CCO</c:v>
                </c:pt>
                <c:pt idx="2">
                  <c:v>Cascade Health Alliance</c:v>
                </c:pt>
                <c:pt idx="3">
                  <c:v>Columbia Pacific</c:v>
                </c:pt>
                <c:pt idx="4">
                  <c:v>Eastern Oregon CCO</c:v>
                </c:pt>
                <c:pt idx="5">
                  <c:v>Health Share of Oregon</c:v>
                </c:pt>
                <c:pt idx="6">
                  <c:v>InterCommunity Health Network</c:v>
                </c:pt>
                <c:pt idx="7">
                  <c:v>Jackson Care Connect</c:v>
                </c:pt>
                <c:pt idx="8">
                  <c:v>PacificSource Central</c:v>
                </c:pt>
                <c:pt idx="9">
                  <c:v>PacificSource Gorge</c:v>
                </c:pt>
                <c:pt idx="10">
                  <c:v>PacificSource Lane</c:v>
                </c:pt>
                <c:pt idx="11">
                  <c:v>PacificSource Marion Polk</c:v>
                </c:pt>
                <c:pt idx="12">
                  <c:v>Trillium North</c:v>
                </c:pt>
                <c:pt idx="13">
                  <c:v>Trillium South</c:v>
                </c:pt>
                <c:pt idx="14">
                  <c:v>Umpqua Health Alliance</c:v>
                </c:pt>
                <c:pt idx="15">
                  <c:v>Yamhill Community Care</c:v>
                </c:pt>
              </c:strCache>
            </c:strRef>
          </c:cat>
          <c:val>
            <c:numRef>
              <c:f>'Total paid enrolled'!$C$3:$C$18</c:f>
              <c:numCache>
                <c:formatCode>"$"#,##0</c:formatCode>
                <c:ptCount val="16"/>
                <c:pt idx="0">
                  <c:v>3752865.31</c:v>
                </c:pt>
                <c:pt idx="1">
                  <c:v>10014043.310000001</c:v>
                </c:pt>
                <c:pt idx="2">
                  <c:v>5661667.7000000002</c:v>
                </c:pt>
                <c:pt idx="3">
                  <c:v>5430834.6200000001</c:v>
                </c:pt>
                <c:pt idx="4">
                  <c:v>14954911.59</c:v>
                </c:pt>
                <c:pt idx="5">
                  <c:v>80322692.329999998</c:v>
                </c:pt>
                <c:pt idx="6">
                  <c:v>17955309.079999998</c:v>
                </c:pt>
                <c:pt idx="7">
                  <c:v>9191606.5</c:v>
                </c:pt>
                <c:pt idx="8">
                  <c:v>13768071.029999999</c:v>
                </c:pt>
                <c:pt idx="9">
                  <c:v>3943297.84</c:v>
                </c:pt>
                <c:pt idx="10">
                  <c:v>19990239.73</c:v>
                </c:pt>
                <c:pt idx="11">
                  <c:v>22172880.170000002</c:v>
                </c:pt>
                <c:pt idx="12">
                  <c:v>11016721.66</c:v>
                </c:pt>
                <c:pt idx="13">
                  <c:v>3978723.7</c:v>
                </c:pt>
                <c:pt idx="14">
                  <c:v>8745016.5</c:v>
                </c:pt>
                <c:pt idx="15">
                  <c:v>7423206.4000000004</c:v>
                </c:pt>
              </c:numCache>
            </c:numRef>
          </c:val>
          <c:extLst>
            <c:ext xmlns:c16="http://schemas.microsoft.com/office/drawing/2014/chart" uri="{C3380CC4-5D6E-409C-BE32-E72D297353CC}">
              <c16:uniqueId val="{00000000-A6CF-48A6-AB60-AFC38E95E68C}"/>
            </c:ext>
          </c:extLst>
        </c:ser>
        <c:dLbls>
          <c:showLegendKey val="0"/>
          <c:showVal val="0"/>
          <c:showCatName val="0"/>
          <c:showSerName val="0"/>
          <c:showPercent val="0"/>
          <c:showBubbleSize val="0"/>
        </c:dLbls>
        <c:gapWidth val="75"/>
        <c:axId val="209344344"/>
        <c:axId val="209344016"/>
      </c:barChart>
      <c:catAx>
        <c:axId val="209344344"/>
        <c:scaling>
          <c:orientation val="maxMin"/>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0" i="0" u="none" strike="noStrike" kern="1200" baseline="0">
                <a:solidFill>
                  <a:schemeClr val="tx1">
                    <a:lumMod val="50000"/>
                  </a:schemeClr>
                </a:solidFill>
                <a:latin typeface="Aptos Display" panose="020B0004020202020204" pitchFamily="34" charset="0"/>
                <a:ea typeface="+mn-ea"/>
                <a:cs typeface="Arial" panose="020B0604020202020204" pitchFamily="34" charset="0"/>
              </a:defRPr>
            </a:pPr>
            <a:endParaRPr lang="en-US"/>
          </a:p>
        </c:txPr>
        <c:crossAx val="209344016"/>
        <c:crosses val="autoZero"/>
        <c:auto val="1"/>
        <c:lblAlgn val="ctr"/>
        <c:lblOffset val="100"/>
        <c:noMultiLvlLbl val="0"/>
      </c:catAx>
      <c:valAx>
        <c:axId val="209344016"/>
        <c:scaling>
          <c:orientation val="minMax"/>
        </c:scaling>
        <c:delete val="1"/>
        <c:axPos val="t"/>
        <c:numFmt formatCode="&quot;$&quot;#,##0" sourceLinked="1"/>
        <c:majorTickMark val="out"/>
        <c:minorTickMark val="none"/>
        <c:tickLblPos val="nextTo"/>
        <c:crossAx val="20934434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702505398857316E-4"/>
          <c:y val="0.16879371093272294"/>
          <c:w val="0.99527044863981262"/>
          <c:h val="0.62290419947506559"/>
        </c:manualLayout>
      </c:layout>
      <c:scatterChart>
        <c:scatterStyle val="lineMarker"/>
        <c:varyColors val="0"/>
        <c:ser>
          <c:idx val="1"/>
          <c:order val="0"/>
          <c:tx>
            <c:strRef>
              <c:f>Sheet2!$B$2</c:f>
              <c:strCache>
                <c:ptCount val="1"/>
                <c:pt idx="0">
                  <c:v>2022</c:v>
                </c:pt>
              </c:strCache>
            </c:strRef>
          </c:tx>
          <c:spPr>
            <a:ln w="25400" cap="rnd">
              <a:noFill/>
              <a:round/>
            </a:ln>
            <a:effectLst/>
          </c:spPr>
          <c:marker>
            <c:symbol val="circle"/>
            <c:size val="25"/>
            <c:spPr>
              <a:no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Sheet2!$B$3</c:f>
              <c:numCache>
                <c:formatCode>0%</c:formatCode>
                <c:ptCount val="1"/>
                <c:pt idx="0">
                  <c:v>0.6</c:v>
                </c:pt>
              </c:numCache>
            </c:numRef>
          </c:xVal>
          <c:yVal>
            <c:numRef>
              <c:f>Sheet2!$D$3:$D$4</c:f>
              <c:numCache>
                <c:formatCode>General</c:formatCode>
                <c:ptCount val="2"/>
                <c:pt idx="0">
                  <c:v>1</c:v>
                </c:pt>
                <c:pt idx="1">
                  <c:v>2</c:v>
                </c:pt>
              </c:numCache>
            </c:numRef>
          </c:yVal>
          <c:smooth val="0"/>
          <c:extLst>
            <c:ext xmlns:c16="http://schemas.microsoft.com/office/drawing/2014/chart" uri="{C3380CC4-5D6E-409C-BE32-E72D297353CC}">
              <c16:uniqueId val="{00000000-C9F7-4290-8361-DD2EF717CCD9}"/>
            </c:ext>
          </c:extLst>
        </c:ser>
        <c:ser>
          <c:idx val="0"/>
          <c:order val="1"/>
          <c:tx>
            <c:strRef>
              <c:f>Sheet2!$C$2</c:f>
              <c:strCache>
                <c:ptCount val="1"/>
                <c:pt idx="0">
                  <c:v>2023</c:v>
                </c:pt>
              </c:strCache>
            </c:strRef>
          </c:tx>
          <c:spPr>
            <a:ln w="25400" cap="rnd">
              <a:noFill/>
              <a:round/>
            </a:ln>
            <a:effectLst/>
          </c:spPr>
          <c:marker>
            <c:symbol val="circle"/>
            <c:size val="20"/>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Sheet2!$C$3</c:f>
              <c:numCache>
                <c:formatCode>0%</c:formatCode>
                <c:ptCount val="1"/>
              </c:numCache>
            </c:numRef>
          </c:xVal>
          <c:yVal>
            <c:numRef>
              <c:f>Sheet2!$D$3</c:f>
              <c:numCache>
                <c:formatCode>General</c:formatCode>
                <c:ptCount val="1"/>
                <c:pt idx="0">
                  <c:v>1</c:v>
                </c:pt>
              </c:numCache>
            </c:numRef>
          </c:yVal>
          <c:smooth val="0"/>
          <c:extLst>
            <c:ext xmlns:c16="http://schemas.microsoft.com/office/drawing/2014/chart" uri="{C3380CC4-5D6E-409C-BE32-E72D297353CC}">
              <c16:uniqueId val="{00000001-C9F7-4290-8361-DD2EF717CCD9}"/>
            </c:ext>
          </c:extLst>
        </c:ser>
        <c:ser>
          <c:idx val="2"/>
          <c:order val="2"/>
          <c:tx>
            <c:strRef>
              <c:f>Sheet2!$E$2</c:f>
              <c:strCache>
                <c:ptCount val="1"/>
                <c:pt idx="0">
                  <c:v>Benchmark:</c:v>
                </c:pt>
              </c:strCache>
            </c:strRef>
          </c:tx>
          <c:spPr>
            <a:ln w="25400" cap="rnd">
              <a:solidFill>
                <a:schemeClr val="tx1"/>
              </a:solidFill>
              <a:round/>
            </a:ln>
            <a:effectLst/>
          </c:spPr>
          <c:marker>
            <c:symbol val="none"/>
          </c:marker>
          <c:dPt>
            <c:idx val="0"/>
            <c:bubble3D val="0"/>
            <c:extLst>
              <c:ext xmlns:c16="http://schemas.microsoft.com/office/drawing/2014/chart" uri="{C3380CC4-5D6E-409C-BE32-E72D297353CC}">
                <c16:uniqueId val="{00000002-C9F7-4290-8361-DD2EF717CCD9}"/>
              </c:ext>
            </c:extLst>
          </c:dPt>
          <c:xVal>
            <c:numRef>
              <c:f>Sheet2!$E$3:$E$5</c:f>
              <c:numCache>
                <c:formatCode>0%</c:formatCode>
                <c:ptCount val="3"/>
                <c:pt idx="0">
                  <c:v>1</c:v>
                </c:pt>
                <c:pt idx="1">
                  <c:v>1</c:v>
                </c:pt>
                <c:pt idx="2">
                  <c:v>1</c:v>
                </c:pt>
              </c:numCache>
            </c:numRef>
          </c:xVal>
          <c:yVal>
            <c:numRef>
              <c:f>Sheet2!$D$2:$D$5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5-C9F7-4290-8361-DD2EF717CCD9}"/>
            </c:ext>
          </c:extLst>
        </c:ser>
        <c:dLbls>
          <c:showLegendKey val="0"/>
          <c:showVal val="0"/>
          <c:showCatName val="0"/>
          <c:showSerName val="0"/>
          <c:showPercent val="0"/>
          <c:showBubbleSize val="0"/>
        </c:dLbls>
        <c:axId val="571361808"/>
        <c:axId val="571359512"/>
      </c:scatterChart>
      <c:valAx>
        <c:axId val="571361808"/>
        <c:scaling>
          <c:orientation val="minMax"/>
          <c:max val="1.1000000000000001"/>
          <c:min val="0.5"/>
        </c:scaling>
        <c:delete val="1"/>
        <c:axPos val="b"/>
        <c:numFmt formatCode="0%" sourceLinked="1"/>
        <c:majorTickMark val="out"/>
        <c:minorTickMark val="none"/>
        <c:tickLblPos val="nextTo"/>
        <c:crossAx val="571359512"/>
        <c:crosses val="autoZero"/>
        <c:crossBetween val="midCat"/>
        <c:majorUnit val="0.2"/>
      </c:valAx>
      <c:valAx>
        <c:axId val="571359512"/>
        <c:scaling>
          <c:orientation val="minMax"/>
          <c:max val="2"/>
          <c:min val="0"/>
        </c:scaling>
        <c:delete val="1"/>
        <c:axPos val="l"/>
        <c:majorGridlines>
          <c:spPr>
            <a:ln w="9525" cap="flat" cmpd="sng" algn="ctr">
              <a:noFill/>
              <a:round/>
            </a:ln>
            <a:effectLst/>
          </c:spPr>
        </c:majorGridlines>
        <c:numFmt formatCode="General" sourceLinked="1"/>
        <c:majorTickMark val="out"/>
        <c:minorTickMark val="none"/>
        <c:tickLblPos val="nextTo"/>
        <c:crossAx val="571361808"/>
        <c:crosses val="autoZero"/>
        <c:crossBetween val="midCat"/>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702505398857316E-4"/>
          <c:y val="0.16879371093272294"/>
          <c:w val="0.99527044863981262"/>
          <c:h val="0.62290419947506559"/>
        </c:manualLayout>
      </c:layout>
      <c:scatterChart>
        <c:scatterStyle val="lineMarker"/>
        <c:varyColors val="0"/>
        <c:ser>
          <c:idx val="1"/>
          <c:order val="0"/>
          <c:tx>
            <c:strRef>
              <c:f>'[Improvement target example.xlsx]Sheet2 (2)'!$B$2</c:f>
              <c:strCache>
                <c:ptCount val="1"/>
                <c:pt idx="0">
                  <c:v>2022</c:v>
                </c:pt>
              </c:strCache>
            </c:strRef>
          </c:tx>
          <c:spPr>
            <a:ln w="19050">
              <a:noFill/>
            </a:ln>
            <a:effectLst/>
          </c:spPr>
          <c:marker>
            <c:symbol val="circle"/>
            <c:size val="25"/>
            <c:spPr>
              <a:no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'[Improvement target example.xlsx]Sheet2 (2)'!$B$3</c:f>
              <c:numCache>
                <c:formatCode>0%</c:formatCode>
                <c:ptCount val="1"/>
                <c:pt idx="0">
                  <c:v>0.6</c:v>
                </c:pt>
              </c:numCache>
            </c:numRef>
          </c:xVal>
          <c:yVal>
            <c:numRef>
              <c:f>'[Improvement target example.xlsx]Sheet2 (2)'!$D$3:$D$4</c:f>
              <c:numCache>
                <c:formatCode>General</c:formatCode>
                <c:ptCount val="2"/>
                <c:pt idx="0">
                  <c:v>1</c:v>
                </c:pt>
                <c:pt idx="1">
                  <c:v>2</c:v>
                </c:pt>
              </c:numCache>
            </c:numRef>
          </c:yVal>
          <c:smooth val="0"/>
          <c:extLst>
            <c:ext xmlns:c16="http://schemas.microsoft.com/office/drawing/2014/chart" uri="{C3380CC4-5D6E-409C-BE32-E72D297353CC}">
              <c16:uniqueId val="{00000000-FDD0-4B94-80B0-7F81255385C8}"/>
            </c:ext>
          </c:extLst>
        </c:ser>
        <c:ser>
          <c:idx val="0"/>
          <c:order val="1"/>
          <c:tx>
            <c:strRef>
              <c:f>'[Improvement target example.xlsx]Sheet2 (2)'!$C$2</c:f>
              <c:strCache>
                <c:ptCount val="1"/>
                <c:pt idx="0">
                  <c:v>2023</c:v>
                </c:pt>
              </c:strCache>
            </c:strRef>
          </c:tx>
          <c:spPr>
            <a:ln w="19050">
              <a:noFill/>
            </a:ln>
            <a:effectLst/>
          </c:spPr>
          <c:marker>
            <c:symbol val="circle"/>
            <c:size val="2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'[Improvement target example.xlsx]Sheet2 (2)'!$C$3</c:f>
              <c:numCache>
                <c:formatCode>0%</c:formatCode>
                <c:ptCount val="1"/>
                <c:pt idx="0">
                  <c:v>0.65</c:v>
                </c:pt>
              </c:numCache>
            </c:numRef>
          </c:xVal>
          <c:yVal>
            <c:numRef>
              <c:f>'[Improvement target example.xlsx]Sheet2 (2)'!$D$3</c:f>
              <c:numCache>
                <c:formatCode>General</c:formatCode>
                <c:ptCount val="1"/>
                <c:pt idx="0">
                  <c:v>1</c:v>
                </c:pt>
              </c:numCache>
            </c:numRef>
          </c:yVal>
          <c:smooth val="0"/>
          <c:extLst>
            <c:ext xmlns:c16="http://schemas.microsoft.com/office/drawing/2014/chart" uri="{C3380CC4-5D6E-409C-BE32-E72D297353CC}">
              <c16:uniqueId val="{00000001-FDD0-4B94-80B0-7F81255385C8}"/>
            </c:ext>
          </c:extLst>
        </c:ser>
        <c:ser>
          <c:idx val="3"/>
          <c:order val="2"/>
          <c:tx>
            <c:v>Improvement target</c:v>
          </c:tx>
          <c:spPr>
            <a:ln w="25400" cmpd="sng">
              <a:solidFill>
                <a:schemeClr val="accent1"/>
              </a:solidFill>
              <a:prstDash val="sysDash"/>
            </a:ln>
          </c:spPr>
          <c:marker>
            <c:symbol val="none"/>
          </c:marker>
          <c:dLbls>
            <c:dLbl>
              <c:idx val="2"/>
              <c:layout>
                <c:manualLayout>
                  <c:x val="-6.0217362046878558E-3"/>
                  <c:y val="1.4641397464613109E-2"/>
                </c:manualLayout>
              </c:layout>
              <c:tx>
                <c:rich>
                  <a:bodyPr wrap="square" lIns="38100" tIns="19050" rIns="38100" bIns="19050" anchor="ctr">
                    <a:noAutofit/>
                  </a:bodyPr>
                  <a:lstStyle/>
                  <a:p>
                    <a:pPr>
                      <a:defRPr>
                        <a:solidFill>
                          <a:sysClr val="windowText" lastClr="000000"/>
                        </a:solidFill>
                      </a:defRPr>
                    </a:pPr>
                    <a:r>
                      <a:rPr lang="en-US">
                        <a:solidFill>
                          <a:sysClr val="windowText" lastClr="000000"/>
                        </a:solidFill>
                      </a:rPr>
                      <a:t>Objetivo de mejora: 64%</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3071304090752512"/>
                      <c:h val="0.54945118335344634"/>
                    </c:manualLayout>
                  </c15:layout>
                  <c15:showDataLabelsRange val="0"/>
                </c:ext>
                <c:ext xmlns:c16="http://schemas.microsoft.com/office/drawing/2014/chart" uri="{C3380CC4-5D6E-409C-BE32-E72D297353CC}">
                  <c16:uniqueId val="{00000002-FDD0-4B94-80B0-7F81255385C8}"/>
                </c:ext>
              </c:extLst>
            </c:dLbl>
            <c:spPr>
              <a:noFill/>
              <a:ln>
                <a:noFill/>
              </a:ln>
              <a:effectLst/>
            </c:spPr>
            <c:txPr>
              <a:bodyPr wrap="square" lIns="38100" tIns="19050" rIns="38100" bIns="19050" anchor="ctr">
                <a:spAutoFit/>
              </a:bodyPr>
              <a:lstStyle/>
              <a:p>
                <a:pPr>
                  <a:defRPr>
                    <a:solidFill>
                      <a:sysClr val="windowText" lastClr="000000"/>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'[Improvement target example.xlsx]Sheet2 (2)'!$F$3:$F$5</c:f>
              <c:numCache>
                <c:formatCode>0%</c:formatCode>
                <c:ptCount val="3"/>
                <c:pt idx="0">
                  <c:v>0.64</c:v>
                </c:pt>
                <c:pt idx="1">
                  <c:v>0.64</c:v>
                </c:pt>
                <c:pt idx="2">
                  <c:v>0.64</c:v>
                </c:pt>
              </c:numCache>
            </c:numRef>
          </c:xVal>
          <c:yVal>
            <c:numRef>
              <c:f>'[Improvement target example.xlsx]Sheet2 (2)'!$D$2:$D$5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3-FDD0-4B94-80B0-7F81255385C8}"/>
            </c:ext>
          </c:extLst>
        </c:ser>
        <c:ser>
          <c:idx val="2"/>
          <c:order val="3"/>
          <c:tx>
            <c:strRef>
              <c:f>'[Improvement target example.xlsx]Sheet2 (2)'!$E$2</c:f>
              <c:strCache>
                <c:ptCount val="1"/>
                <c:pt idx="0">
                  <c:v>Benchmark:</c:v>
                </c:pt>
              </c:strCache>
            </c:strRef>
          </c:tx>
          <c:spPr>
            <a:ln w="25400">
              <a:solidFill>
                <a:schemeClr val="tx1"/>
              </a:solidFill>
            </a:ln>
            <a:effectLst/>
          </c:spPr>
          <c:marker>
            <c:symbol val="none"/>
          </c:marker>
          <c:dPt>
            <c:idx val="0"/>
            <c:bubble3D val="0"/>
            <c:extLst>
              <c:ext xmlns:c16="http://schemas.microsoft.com/office/drawing/2014/chart" uri="{C3380CC4-5D6E-409C-BE32-E72D297353CC}">
                <c16:uniqueId val="{00000004-FDD0-4B94-80B0-7F81255385C8}"/>
              </c:ext>
            </c:extLst>
          </c:dPt>
          <c:xVal>
            <c:numRef>
              <c:f>'[Improvement target example.xlsx]Sheet2 (2)'!$E$3:$E$5</c:f>
              <c:numCache>
                <c:formatCode>0%</c:formatCode>
                <c:ptCount val="3"/>
                <c:pt idx="0">
                  <c:v>1</c:v>
                </c:pt>
                <c:pt idx="1">
                  <c:v>1</c:v>
                </c:pt>
                <c:pt idx="2">
                  <c:v>1</c:v>
                </c:pt>
              </c:numCache>
            </c:numRef>
          </c:xVal>
          <c:yVal>
            <c:numRef>
              <c:f>'[Improvement target example.xlsx]Sheet2 (2)'!$D$2:$D$5</c:f>
              <c:numCache>
                <c:formatCode>General</c:formatCode>
                <c:ptCount val="4"/>
                <c:pt idx="0">
                  <c:v>0</c:v>
                </c:pt>
                <c:pt idx="1">
                  <c:v>1</c:v>
                </c:pt>
                <c:pt idx="2">
                  <c:v>2</c:v>
                </c:pt>
              </c:numCache>
            </c:numRef>
          </c:yVal>
          <c:smooth val="0"/>
          <c:extLst>
            <c:ext xmlns:c16="http://schemas.microsoft.com/office/drawing/2014/chart" uri="{C3380CC4-5D6E-409C-BE32-E72D297353CC}">
              <c16:uniqueId val="{00000007-FDD0-4B94-80B0-7F81255385C8}"/>
            </c:ext>
          </c:extLst>
        </c:ser>
        <c:dLbls>
          <c:showLegendKey val="0"/>
          <c:showVal val="0"/>
          <c:showCatName val="0"/>
          <c:showSerName val="0"/>
          <c:showPercent val="0"/>
          <c:showBubbleSize val="0"/>
        </c:dLbls>
        <c:axId val="571361808"/>
        <c:axId val="571359512"/>
      </c:scatterChart>
      <c:valAx>
        <c:axId val="571361808"/>
        <c:scaling>
          <c:orientation val="minMax"/>
          <c:max val="1.2"/>
          <c:min val="0.4"/>
        </c:scaling>
        <c:delete val="1"/>
        <c:axPos val="b"/>
        <c:numFmt formatCode="0%" sourceLinked="1"/>
        <c:majorTickMark val="out"/>
        <c:minorTickMark val="none"/>
        <c:tickLblPos val="nextTo"/>
        <c:crossAx val="571359512"/>
        <c:crosses val="autoZero"/>
        <c:crossBetween val="midCat"/>
        <c:majorUnit val="0.2"/>
      </c:valAx>
      <c:valAx>
        <c:axId val="571359512"/>
        <c:scaling>
          <c:orientation val="minMax"/>
          <c:max val="2"/>
          <c:min val="0"/>
        </c:scaling>
        <c:delete val="1"/>
        <c:axPos val="l"/>
        <c:majorGridlines>
          <c:spPr>
            <a:ln w="9525" cap="flat" cmpd="sng" algn="ctr">
              <a:noFill/>
              <a:round/>
            </a:ln>
            <a:effectLst/>
          </c:spPr>
        </c:majorGridlines>
        <c:numFmt formatCode="General" sourceLinked="1"/>
        <c:majorTickMark val="out"/>
        <c:minorTickMark val="none"/>
        <c:tickLblPos val="nextTo"/>
        <c:crossAx val="571361808"/>
        <c:crosses val="autoZero"/>
        <c:crossBetween val="midCat"/>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0.05208</cdr:x>
      <cdr:y>0.91667</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0.05208</cdr:x>
      <cdr:y>0.91667</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0.05208</cdr:x>
      <cdr:y>0.91667</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r>
            <a:rPr lang="es-419" sz="1100" b="1" kern="100">
              <a:effectLst/>
              <a:latin typeface="Aptos" panose="020B0004020202020204" pitchFamily="34" charset="0"/>
              <a:ea typeface="Aptos" panose="020B0004020202020204" pitchFamily="34" charset="0"/>
              <a:cs typeface="Aptos" panose="020B0004020202020204" pitchFamily="34" charset="0"/>
            </a:rPr>
            <a:t>      </a:t>
          </a:r>
          <a:r>
            <a:rPr lang="es-419" sz="1100" b="1" kern="100">
              <a:solidFill>
                <a:srgbClr val="606060"/>
              </a:solidFill>
              <a:effectLst/>
              <a:latin typeface="Aptos" panose="020B0004020202020204" pitchFamily="34" charset="0"/>
              <a:ea typeface="Aptos" panose="020B0004020202020204" pitchFamily="34" charset="0"/>
              <a:cs typeface="Aptos" panose="020B0004020202020204" pitchFamily="34" charset="0"/>
            </a:rPr>
            <a:t>¦ </a:t>
          </a:r>
          <a:r>
            <a:rPr lang="es-419" sz="1100" kern="100">
              <a:solidFill>
                <a:srgbClr val="000000"/>
              </a:solidFill>
              <a:effectLst/>
              <a:latin typeface="Aptos" panose="020B0004020202020204" pitchFamily="34" charset="0"/>
              <a:ea typeface="Aptos" panose="020B0004020202020204" pitchFamily="34" charset="0"/>
              <a:cs typeface="Aptos" panose="020B0004020202020204" pitchFamily="34" charset="0"/>
            </a:rPr>
            <a:t>Cambio de medida</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0.05208</cdr:x>
      <cdr:y>0.91667</cdr:y>
    </cdr:from>
    <cdr:to>
      <cdr:x>1</cdr:x>
      <cdr:y>1</cdr:y>
    </cdr:to>
    <cdr:sp macro="" textlink="">
      <cdr:nvSpPr>
        <cdr:cNvPr id="3"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r>
            <a:rPr lang="es-419" sz="1100" b="1" kern="100">
              <a:effectLst/>
              <a:latin typeface="Aptos" panose="020B0004020202020204" pitchFamily="34" charset="0"/>
              <a:ea typeface="Aptos" panose="020B0004020202020204" pitchFamily="34" charset="0"/>
              <a:cs typeface="Aptos" panose="020B0004020202020204" pitchFamily="34" charset="0"/>
            </a:rPr>
            <a:t>      </a:t>
          </a:r>
          <a:r>
            <a:rPr lang="es-419" sz="1100" b="1" kern="100">
              <a:solidFill>
                <a:srgbClr val="606060"/>
              </a:solidFill>
              <a:effectLst/>
              <a:latin typeface="Aptos" panose="020B0004020202020204" pitchFamily="34" charset="0"/>
              <a:ea typeface="Aptos" panose="020B0004020202020204" pitchFamily="34" charset="0"/>
              <a:cs typeface="Aptos" panose="020B0004020202020204" pitchFamily="34" charset="0"/>
            </a:rPr>
            <a:t>¦ </a:t>
          </a:r>
          <a:r>
            <a:rPr lang="es-419" sz="1100" kern="100">
              <a:solidFill>
                <a:srgbClr val="000000"/>
              </a:solidFill>
              <a:effectLst/>
              <a:latin typeface="Aptos" panose="020B0004020202020204" pitchFamily="34" charset="0"/>
              <a:ea typeface="Aptos" panose="020B0004020202020204" pitchFamily="34" charset="0"/>
              <a:cs typeface="Aptos" panose="020B0004020202020204" pitchFamily="34" charset="0"/>
            </a:rPr>
            <a:t>Cambio de medida</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3"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r>
            <a:rPr lang="es-419" sz="1100" b="1" kern="100">
              <a:effectLst/>
              <a:latin typeface="Aptos" panose="020B0004020202020204" pitchFamily="34" charset="0"/>
              <a:ea typeface="Aptos" panose="020B0004020202020204" pitchFamily="34" charset="0"/>
              <a:cs typeface="Aptos" panose="020B0004020202020204" pitchFamily="34" charset="0"/>
            </a:rPr>
            <a:t>      </a:t>
          </a:r>
          <a:r>
            <a:rPr lang="es-419" sz="1100" b="1" kern="100">
              <a:solidFill>
                <a:srgbClr val="606060"/>
              </a:solidFill>
              <a:effectLst/>
              <a:latin typeface="Aptos" panose="020B0004020202020204" pitchFamily="34" charset="0"/>
              <a:ea typeface="Aptos" panose="020B0004020202020204" pitchFamily="34" charset="0"/>
              <a:cs typeface="Aptos" panose="020B0004020202020204" pitchFamily="34" charset="0"/>
            </a:rPr>
            <a:t>¦ </a:t>
          </a:r>
          <a:r>
            <a:rPr lang="es-419" sz="1100" kern="100">
              <a:solidFill>
                <a:srgbClr val="000000"/>
              </a:solidFill>
              <a:effectLst/>
              <a:latin typeface="Aptos" panose="020B0004020202020204" pitchFamily="34" charset="0"/>
              <a:ea typeface="Aptos" panose="020B0004020202020204" pitchFamily="34" charset="0"/>
              <a:cs typeface="Aptos" panose="020B0004020202020204" pitchFamily="34" charset="0"/>
            </a:rPr>
            <a:t>Cambio de medida</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0.05208</cdr:x>
      <cdr:y>0.91162</cdr:y>
    </cdr:from>
    <cdr:to>
      <cdr:x>1</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1765300" y="6308725"/>
          <a:ext cx="4333875" cy="26670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Aft>
              <a:spcPts val="800"/>
            </a:spcAft>
            <a:buNone/>
          </a:pPr>
          <a:r>
            <a:rPr lang="es-419" sz="1100" kern="100">
              <a:solidFill>
                <a:srgbClr val="104862"/>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100" kern="100">
              <a:effectLst/>
              <a:latin typeface="Aptos" panose="020B0004020202020204" pitchFamily="34" charset="0"/>
              <a:ea typeface="Aptos" panose="020B0004020202020204" pitchFamily="34" charset="0"/>
              <a:cs typeface="Aptos" panose="020B0004020202020204" pitchFamily="34" charset="0"/>
            </a:rPr>
            <a:t> CCO a nivel estatal      </a:t>
          </a:r>
          <a:r>
            <a:rPr lang="es-419" sz="1000" kern="100">
              <a:solidFill>
                <a:srgbClr val="595959"/>
              </a:solidFill>
              <a:effectLst/>
              <a:latin typeface="Aptos" panose="020B0004020202020204" pitchFamily="34" charset="0"/>
              <a:ea typeface="Aptos" panose="020B0004020202020204" pitchFamily="34" charset="0"/>
              <a:cs typeface="Aptos" panose="020B0004020202020204" pitchFamily="34" charset="0"/>
              <a:sym typeface="Wingdings" panose="05000000000000000000" pitchFamily="2" charset="2"/>
            </a:rPr>
            <a:t></a:t>
          </a:r>
          <a:r>
            <a:rPr lang="es-419" sz="1000" kern="100">
              <a:effectLst/>
              <a:latin typeface="Aptos" panose="020B0004020202020204" pitchFamily="34" charset="0"/>
              <a:ea typeface="Aptos" panose="020B0004020202020204" pitchFamily="34" charset="0"/>
              <a:cs typeface="Aptos" panose="020B0004020202020204" pitchFamily="34" charset="0"/>
            </a:rPr>
            <a:t> </a:t>
          </a:r>
          <a:r>
            <a:rPr lang="es-419" sz="1100" kern="100">
              <a:effectLst/>
              <a:latin typeface="Aptos" panose="020B0004020202020204" pitchFamily="34" charset="0"/>
              <a:ea typeface="Aptos" panose="020B0004020202020204" pitchFamily="34" charset="0"/>
              <a:cs typeface="Aptos" panose="020B0004020202020204" pitchFamily="34" charset="0"/>
            </a:rPr>
            <a:t>CCO individuales</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0.83495</cdr:x>
      <cdr:y>0.05425</cdr:y>
    </cdr:from>
    <cdr:to>
      <cdr:x>1</cdr:x>
      <cdr:y>0.84677</cdr:y>
    </cdr:to>
    <cdr:sp macro="" textlink="">
      <cdr:nvSpPr>
        <cdr:cNvPr id="2" name="Text Box 2"/>
        <cdr:cNvSpPr txBox="1">
          <a:spLocks xmlns:a="http://schemas.openxmlformats.org/drawingml/2006/main" noChangeArrowheads="1"/>
        </cdr:cNvSpPr>
      </cdr:nvSpPr>
      <cdr:spPr bwMode="auto">
        <a:xfrm xmlns:a="http://schemas.openxmlformats.org/drawingml/2006/main">
          <a:off x="4095750" y="46990"/>
          <a:ext cx="809625" cy="6864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gn="ctr">
            <a:lnSpc>
              <a:spcPct val="107000"/>
            </a:lnSpc>
            <a:spcAft>
              <a:spcPts val="0"/>
            </a:spcAft>
            <a:buNone/>
          </a:pPr>
          <a:r>
            <a:rPr lang="es-419" sz="1000" kern="100">
              <a:effectLst/>
              <a:latin typeface="Aptos" panose="020B0004020202020204" pitchFamily="34" charset="0"/>
              <a:ea typeface="Aptos" panose="020B0004020202020204" pitchFamily="34" charset="0"/>
              <a:cs typeface="Arial" panose="020B0604020202020204" pitchFamily="34" charset="0"/>
            </a:rPr>
            <a:t>Punto de referencia:</a:t>
          </a:r>
          <a:endParaRPr lang="en-US" sz="1200" kern="100">
            <a:effectLst/>
            <a:latin typeface="Aptos" panose="020B0004020202020204" pitchFamily="34" charset="0"/>
            <a:ea typeface="Aptos" panose="020B0004020202020204" pitchFamily="34" charset="0"/>
            <a:cs typeface="Arial" panose="020B0604020202020204" pitchFamily="34" charset="0"/>
          </a:endParaRPr>
        </a:p>
        <a:p xmlns:a="http://schemas.openxmlformats.org/drawingml/2006/main">
          <a:pPr marL="0" marR="0" algn="ctr">
            <a:lnSpc>
              <a:spcPct val="107000"/>
            </a:lnSpc>
            <a:spcAft>
              <a:spcPts val="0"/>
            </a:spcAft>
            <a:buNone/>
          </a:pPr>
          <a:r>
            <a:rPr lang="es-419" sz="1000" kern="100">
              <a:effectLst/>
              <a:latin typeface="Aptos" panose="020B0004020202020204" pitchFamily="34" charset="0"/>
              <a:ea typeface="Aptos" panose="020B0004020202020204" pitchFamily="34" charset="0"/>
              <a:cs typeface="Arial" panose="020B0604020202020204" pitchFamily="34" charset="0"/>
            </a:rPr>
            <a:t>100%</a:t>
          </a:r>
          <a:endParaRPr lang="en-US" sz="1200" kern="100">
            <a:effectLst/>
            <a:latin typeface="Aptos" panose="020B0004020202020204" pitchFamily="34" charset="0"/>
            <a:ea typeface="Aptos" panose="020B000402020202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conOverlay xmlns="http://schemas.microsoft.com/sharepoint/v4" xsi:nil="true"/>
    <URL xmlns="http://schemas.microsoft.com/sharepoint/v3">
      <Url xsi:nil="true"/>
      <Description xsi:nil="true"/>
    </URL>
    <IASubtopic xmlns="59da1016-2a1b-4f8a-9768-d7a4932f6f16" xsi:nil="true"/>
    <cqkp xmlns="05671de4-15dc-4c59-967d-4538e6edcd8f" xsi:nil="true"/>
    <Meta_x0020_Keywords xmlns="05671de4-15dc-4c59-967d-4538e6edcd8f" xsi:nil="true"/>
    <Meta_x0020_Description xmlns="05671de4-15dc-4c59-967d-4538e6edcd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F7E6828B21CD429B32949F799B911B" ma:contentTypeVersion="13" ma:contentTypeDescription="Create a new document." ma:contentTypeScope="" ma:versionID="08b2d7f50ebc417c56fb0626388ae034">
  <xsd:schema xmlns:xsd="http://www.w3.org/2001/XMLSchema" xmlns:xs="http://www.w3.org/2001/XMLSchema" xmlns:p="http://schemas.microsoft.com/office/2006/metadata/properties" xmlns:ns1="http://schemas.microsoft.com/sharepoint/v3" xmlns:ns2="05671de4-15dc-4c59-967d-4538e6edcd8f" xmlns:ns3="59da1016-2a1b-4f8a-9768-d7a4932f6f16" xmlns:ns4="http://schemas.microsoft.com/sharepoint/v4" targetNamespace="http://schemas.microsoft.com/office/2006/metadata/properties" ma:root="true" ma:fieldsID="4a0353332d375fbf1725e5715ab4b387" ns1:_="" ns2:_="" ns3:_="" ns4:_="">
    <xsd:import namespace="http://schemas.microsoft.com/sharepoint/v3"/>
    <xsd:import namespace="05671de4-15dc-4c59-967d-4538e6edcd8f"/>
    <xsd:import namespace="59da1016-2a1b-4f8a-9768-d7a4932f6f16"/>
    <xsd:import namespace="http://schemas.microsoft.com/sharepoint/v4"/>
    <xsd:element name="properties">
      <xsd:complexType>
        <xsd:sequence>
          <xsd:element name="documentManagement">
            <xsd:complexType>
              <xsd:all>
                <xsd:element ref="ns1:URL" minOccurs="0"/>
                <xsd:element ref="ns2:cqkp" minOccurs="0"/>
                <xsd:element ref="ns3:IACategory" minOccurs="0"/>
                <xsd:element ref="ns3:IATopic" minOccurs="0"/>
                <xsd:element ref="ns3:IASubtopic" minOccurs="0"/>
                <xsd:element ref="ns3:DocumentExpirationDate"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71de4-15dc-4c59-967d-4538e6edcd8f" elementFormDefault="qualified">
    <xsd:import namespace="http://schemas.microsoft.com/office/2006/documentManagement/types"/>
    <xsd:import namespace="http://schemas.microsoft.com/office/infopath/2007/PartnerControls"/>
    <xsd:element name="cqkp" ma:index="9" nillable="true" ma:displayName="Text" ma:internalName="cqkp" ma:readOnly="false">
      <xsd:simpleType>
        <xsd:restriction base="dms:Text"/>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D1619-5107-4F8E-AFCD-94813FA53C72}">
  <ds:schemaRefs>
    <ds:schemaRef ds:uri="http://schemas.microsoft.com/office/2006/metadata/properties"/>
    <ds:schemaRef ds:uri="http://schemas.microsoft.com/office/infopath/2007/PartnerControls"/>
    <ds:schemaRef ds:uri="6e43baa5-3773-4733-b4ea-10eb4a43a979"/>
    <ds:schemaRef ds:uri="4eb7cf43-ddc3-4e41-9162-60860e6e12b4"/>
  </ds:schemaRefs>
</ds:datastoreItem>
</file>

<file path=customXml/itemProps2.xml><?xml version="1.0" encoding="utf-8"?>
<ds:datastoreItem xmlns:ds="http://schemas.openxmlformats.org/officeDocument/2006/customXml" ds:itemID="{AA013842-BEB3-4D68-A875-439DA3FE8335}">
  <ds:schemaRefs>
    <ds:schemaRef ds:uri="http://schemas.openxmlformats.org/officeDocument/2006/bibliography"/>
  </ds:schemaRefs>
</ds:datastoreItem>
</file>

<file path=customXml/itemProps3.xml><?xml version="1.0" encoding="utf-8"?>
<ds:datastoreItem xmlns:ds="http://schemas.openxmlformats.org/officeDocument/2006/customXml" ds:itemID="{B6C2C584-7184-4824-A705-FEA86B283554}"/>
</file>

<file path=customXml/itemProps4.xml><?xml version="1.0" encoding="utf-8"?>
<ds:datastoreItem xmlns:ds="http://schemas.openxmlformats.org/officeDocument/2006/customXml" ds:itemID="{1C33BAF8-FBC3-49B6-9D37-7BA6E170A54E}">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55</TotalTime>
  <Pages>49</Pages>
  <Words>11665</Words>
  <Characters>66496</Characters>
  <Application>Microsoft Office Word</Application>
  <DocSecurity>8</DocSecurity>
  <Lines>554</Lines>
  <Paragraphs>156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Final de Indicadores de las CCO 2025</vt:lpstr>
      <vt:lpstr>CCO Metrics 2025 Final Report</vt:lpstr>
    </vt:vector>
  </TitlesOfParts>
  <Company>Oregon Health Authority (OHA)</Company>
  <LinksUpToDate>false</LinksUpToDate>
  <CharactersWithSpaces>78005</CharactersWithSpaces>
  <SharedDoc>false</SharedDoc>
  <HLinks>
    <vt:vector size="348" baseType="variant">
      <vt:variant>
        <vt:i4>3145771</vt:i4>
      </vt:variant>
      <vt:variant>
        <vt:i4>237</vt:i4>
      </vt:variant>
      <vt:variant>
        <vt:i4>0</vt:i4>
      </vt:variant>
      <vt:variant>
        <vt:i4>5</vt:i4>
      </vt:variant>
      <vt:variant>
        <vt:lpwstr>https://www.oregon.gov/oha/HPA/ANALYTICS/Pages/Quality-Metrics.aspx</vt:lpwstr>
      </vt:variant>
      <vt:variant>
        <vt:lpwstr/>
      </vt:variant>
      <vt:variant>
        <vt:i4>3145756</vt:i4>
      </vt:variant>
      <vt:variant>
        <vt:i4>234</vt:i4>
      </vt:variant>
      <vt:variant>
        <vt:i4>0</vt:i4>
      </vt:variant>
      <vt:variant>
        <vt:i4>5</vt:i4>
      </vt:variant>
      <vt:variant>
        <vt:lpwstr>mailto:Metrics.Questions@odhsoha.oregon.gov</vt:lpwstr>
      </vt:variant>
      <vt:variant>
        <vt:lpwstr/>
      </vt:variant>
      <vt:variant>
        <vt:i4>3145756</vt:i4>
      </vt:variant>
      <vt:variant>
        <vt:i4>231</vt:i4>
      </vt:variant>
      <vt:variant>
        <vt:i4>0</vt:i4>
      </vt:variant>
      <vt:variant>
        <vt:i4>5</vt:i4>
      </vt:variant>
      <vt:variant>
        <vt:lpwstr>mailto:Metrics.Questions@odhsoha.oregon.gov</vt:lpwstr>
      </vt:variant>
      <vt:variant>
        <vt:lpwstr/>
      </vt:variant>
      <vt:variant>
        <vt:i4>3670135</vt:i4>
      </vt:variant>
      <vt:variant>
        <vt:i4>228</vt:i4>
      </vt:variant>
      <vt:variant>
        <vt:i4>0</vt:i4>
      </vt:variant>
      <vt:variant>
        <vt:i4>5</vt:i4>
      </vt:variant>
      <vt:variant>
        <vt:lpwstr>https://www.cdc.gov/diabetes/hcp/clinical-guidance/how-to-promote-oral-health-for-people-with-diabetes.html</vt:lpwstr>
      </vt:variant>
      <vt:variant>
        <vt:lpwstr/>
      </vt:variant>
      <vt:variant>
        <vt:i4>6160396</vt:i4>
      </vt:variant>
      <vt:variant>
        <vt:i4>225</vt:i4>
      </vt:variant>
      <vt:variant>
        <vt:i4>0</vt:i4>
      </vt:variant>
      <vt:variant>
        <vt:i4>5</vt:i4>
      </vt:variant>
      <vt:variant>
        <vt:lpwstr>https://www.who.int/news-room/fact-sheets/detail/diabetes</vt:lpwstr>
      </vt:variant>
      <vt:variant>
        <vt:lpwstr/>
      </vt:variant>
      <vt:variant>
        <vt:i4>458833</vt:i4>
      </vt:variant>
      <vt:variant>
        <vt:i4>222</vt:i4>
      </vt:variant>
      <vt:variant>
        <vt:i4>0</vt:i4>
      </vt:variant>
      <vt:variant>
        <vt:i4>5</vt:i4>
      </vt:variant>
      <vt:variant>
        <vt:lpwstr>https://www.oregon.gov/oha/HSD/Medicaid-Policy/Pages/Waiver-Renewal.aspx</vt:lpwstr>
      </vt:variant>
      <vt:variant>
        <vt:lpwstr/>
      </vt:variant>
      <vt:variant>
        <vt:i4>983053</vt:i4>
      </vt:variant>
      <vt:variant>
        <vt:i4>219</vt:i4>
      </vt:variant>
      <vt:variant>
        <vt:i4>0</vt:i4>
      </vt:variant>
      <vt:variant>
        <vt:i4>5</vt:i4>
      </vt:variant>
      <vt:variant>
        <vt:lpwstr>https://www.oregon.gov/oha/HSD/Medicaid-Policy/Documents/2012-2017-Evaluation.pdf</vt:lpwstr>
      </vt:variant>
      <vt:variant>
        <vt:lpwstr/>
      </vt:variant>
      <vt:variant>
        <vt:i4>5439601</vt:i4>
      </vt:variant>
      <vt:variant>
        <vt:i4>216</vt:i4>
      </vt:variant>
      <vt:variant>
        <vt:i4>0</vt:i4>
      </vt:variant>
      <vt:variant>
        <vt:i4>5</vt:i4>
      </vt:variant>
      <vt:variant>
        <vt:lpwstr>https://www.oregon.gov/oha/HPA/ANALYTICS/CCOMetrics/2025-Reference-Instructions-(Quality-Pool-Methodology)_final.pdf</vt:lpwstr>
      </vt:variant>
      <vt:variant>
        <vt:lpwstr/>
      </vt:variant>
      <vt:variant>
        <vt:i4>8323099</vt:i4>
      </vt:variant>
      <vt:variant>
        <vt:i4>213</vt:i4>
      </vt:variant>
      <vt:variant>
        <vt:i4>0</vt:i4>
      </vt:variant>
      <vt:variant>
        <vt:i4>5</vt:i4>
      </vt:variant>
      <vt:variant>
        <vt:lpwstr/>
      </vt:variant>
      <vt:variant>
        <vt:lpwstr>_Quality_Pool_decreased,</vt:lpwstr>
      </vt:variant>
      <vt:variant>
        <vt:i4>6094939</vt:i4>
      </vt:variant>
      <vt:variant>
        <vt:i4>210</vt:i4>
      </vt:variant>
      <vt:variant>
        <vt:i4>0</vt:i4>
      </vt:variant>
      <vt:variant>
        <vt:i4>5</vt:i4>
      </vt:variant>
      <vt:variant>
        <vt:lpwstr/>
      </vt:variant>
      <vt:variant>
        <vt:lpwstr>_Appendix_B:_How_1</vt:lpwstr>
      </vt:variant>
      <vt:variant>
        <vt:i4>5505031</vt:i4>
      </vt:variant>
      <vt:variant>
        <vt:i4>207</vt:i4>
      </vt:variant>
      <vt:variant>
        <vt:i4>0</vt:i4>
      </vt:variant>
      <vt:variant>
        <vt:i4>5</vt:i4>
      </vt:variant>
      <vt:variant>
        <vt:lpwstr>https://www.oregon.gov/oha/HPA/ANALYTICS/Pages/Metrics-Scoring-Committee.aspx</vt:lpwstr>
      </vt:variant>
      <vt:variant>
        <vt:lpwstr/>
      </vt:variant>
      <vt:variant>
        <vt:i4>589830</vt:i4>
      </vt:variant>
      <vt:variant>
        <vt:i4>204</vt:i4>
      </vt:variant>
      <vt:variant>
        <vt:i4>0</vt:i4>
      </vt:variant>
      <vt:variant>
        <vt:i4>5</vt:i4>
      </vt:variant>
      <vt:variant>
        <vt:lpwstr>https://oregon-pip.org/current-projects/health-aspects-of-kindergarten-readiness/</vt:lpwstr>
      </vt:variant>
      <vt:variant>
        <vt:lpwstr/>
      </vt:variant>
      <vt:variant>
        <vt:i4>786531</vt:i4>
      </vt:variant>
      <vt:variant>
        <vt:i4>201</vt:i4>
      </vt:variant>
      <vt:variant>
        <vt:i4>0</vt:i4>
      </vt:variant>
      <vt:variant>
        <vt:i4>5</vt:i4>
      </vt:variant>
      <vt:variant>
        <vt:lpwstr/>
      </vt:variant>
      <vt:variant>
        <vt:lpwstr>_Appendix_E:_Citations</vt:lpwstr>
      </vt:variant>
      <vt:variant>
        <vt:i4>5898267</vt:i4>
      </vt:variant>
      <vt:variant>
        <vt:i4>198</vt:i4>
      </vt:variant>
      <vt:variant>
        <vt:i4>0</vt:i4>
      </vt:variant>
      <vt:variant>
        <vt:i4>5</vt:i4>
      </vt:variant>
      <vt:variant>
        <vt:lpwstr>https://www.oregon.gov/oha/hpa/dsi/pages/performance-improvement-project.aspx</vt:lpwstr>
      </vt:variant>
      <vt:variant>
        <vt:lpwstr/>
      </vt:variant>
      <vt:variant>
        <vt:i4>786531</vt:i4>
      </vt:variant>
      <vt:variant>
        <vt:i4>195</vt:i4>
      </vt:variant>
      <vt:variant>
        <vt:i4>0</vt:i4>
      </vt:variant>
      <vt:variant>
        <vt:i4>5</vt:i4>
      </vt:variant>
      <vt:variant>
        <vt:lpwstr/>
      </vt:variant>
      <vt:variant>
        <vt:lpwstr>_Appendix_E:_Citations</vt:lpwstr>
      </vt:variant>
      <vt:variant>
        <vt:i4>5439556</vt:i4>
      </vt:variant>
      <vt:variant>
        <vt:i4>192</vt:i4>
      </vt:variant>
      <vt:variant>
        <vt:i4>0</vt:i4>
      </vt:variant>
      <vt:variant>
        <vt:i4>5</vt:i4>
      </vt:variant>
      <vt:variant>
        <vt:lpwstr/>
      </vt:variant>
      <vt:variant>
        <vt:lpwstr>_Kindergarten_Readiness</vt:lpwstr>
      </vt:variant>
      <vt:variant>
        <vt:i4>589830</vt:i4>
      </vt:variant>
      <vt:variant>
        <vt:i4>189</vt:i4>
      </vt:variant>
      <vt:variant>
        <vt:i4>0</vt:i4>
      </vt:variant>
      <vt:variant>
        <vt:i4>5</vt:i4>
      </vt:variant>
      <vt:variant>
        <vt:lpwstr>https://oregon-pip.org/current-projects/health-aspects-of-kindergarten-readiness/</vt:lpwstr>
      </vt:variant>
      <vt:variant>
        <vt:lpwstr/>
      </vt:variant>
      <vt:variant>
        <vt:i4>5439556</vt:i4>
      </vt:variant>
      <vt:variant>
        <vt:i4>186</vt:i4>
      </vt:variant>
      <vt:variant>
        <vt:i4>0</vt:i4>
      </vt:variant>
      <vt:variant>
        <vt:i4>5</vt:i4>
      </vt:variant>
      <vt:variant>
        <vt:lpwstr/>
      </vt:variant>
      <vt:variant>
        <vt:lpwstr>_Kindergarten_Readiness</vt:lpwstr>
      </vt:variant>
      <vt:variant>
        <vt:i4>5505036</vt:i4>
      </vt:variant>
      <vt:variant>
        <vt:i4>183</vt:i4>
      </vt:variant>
      <vt:variant>
        <vt:i4>0</vt:i4>
      </vt:variant>
      <vt:variant>
        <vt:i4>5</vt:i4>
      </vt:variant>
      <vt:variant>
        <vt:lpwstr>https://secure.sos.state.or.us/oard/displayDivisionRules.action?selectedDivision=7797</vt:lpwstr>
      </vt:variant>
      <vt:variant>
        <vt:lpwstr/>
      </vt:variant>
      <vt:variant>
        <vt:i4>5439556</vt:i4>
      </vt:variant>
      <vt:variant>
        <vt:i4>180</vt:i4>
      </vt:variant>
      <vt:variant>
        <vt:i4>0</vt:i4>
      </vt:variant>
      <vt:variant>
        <vt:i4>5</vt:i4>
      </vt:variant>
      <vt:variant>
        <vt:lpwstr/>
      </vt:variant>
      <vt:variant>
        <vt:lpwstr>_Kindergarten_Readiness</vt:lpwstr>
      </vt:variant>
      <vt:variant>
        <vt:i4>131076</vt:i4>
      </vt:variant>
      <vt:variant>
        <vt:i4>177</vt:i4>
      </vt:variant>
      <vt:variant>
        <vt:i4>0</vt:i4>
      </vt:variant>
      <vt:variant>
        <vt:i4>5</vt:i4>
      </vt:variant>
      <vt:variant>
        <vt:lpwstr>https://www.oregon.gov/oha/erd/pages/oha-works-to-protect-quality-health-care-across-oregon.aspx</vt:lpwstr>
      </vt:variant>
      <vt:variant>
        <vt:lpwstr/>
      </vt:variant>
      <vt:variant>
        <vt:i4>786531</vt:i4>
      </vt:variant>
      <vt:variant>
        <vt:i4>174</vt:i4>
      </vt:variant>
      <vt:variant>
        <vt:i4>0</vt:i4>
      </vt:variant>
      <vt:variant>
        <vt:i4>5</vt:i4>
      </vt:variant>
      <vt:variant>
        <vt:lpwstr/>
      </vt:variant>
      <vt:variant>
        <vt:lpwstr>_Appendix_E:_Citations</vt:lpwstr>
      </vt:variant>
      <vt:variant>
        <vt:i4>786531</vt:i4>
      </vt:variant>
      <vt:variant>
        <vt:i4>171</vt:i4>
      </vt:variant>
      <vt:variant>
        <vt:i4>0</vt:i4>
      </vt:variant>
      <vt:variant>
        <vt:i4>5</vt:i4>
      </vt:variant>
      <vt:variant>
        <vt:lpwstr/>
      </vt:variant>
      <vt:variant>
        <vt:lpwstr>_Appendix_E:_Citations</vt:lpwstr>
      </vt:variant>
      <vt:variant>
        <vt:i4>7274600</vt:i4>
      </vt:variant>
      <vt:variant>
        <vt:i4>168</vt:i4>
      </vt:variant>
      <vt:variant>
        <vt:i4>0</vt:i4>
      </vt:variant>
      <vt:variant>
        <vt:i4>5</vt:i4>
      </vt:variant>
      <vt:variant>
        <vt:lpwstr>https://www.oregon.gov/oha/HPA/ANALYTICS/CCOMetrics/2025 Health Equity Meaningful Access 2024.12.31.pdf</vt:lpwstr>
      </vt:variant>
      <vt:variant>
        <vt:lpwstr/>
      </vt:variant>
      <vt:variant>
        <vt:i4>2818095</vt:i4>
      </vt:variant>
      <vt:variant>
        <vt:i4>165</vt:i4>
      </vt:variant>
      <vt:variant>
        <vt:i4>0</vt:i4>
      </vt:variant>
      <vt:variant>
        <vt:i4>5</vt:i4>
      </vt:variant>
      <vt:variant>
        <vt:lpwstr>https://www.oregon.gov/oha/hsd/medicaid-policy/pages/hrsn.aspx</vt:lpwstr>
      </vt:variant>
      <vt:variant>
        <vt:lpwstr/>
      </vt:variant>
      <vt:variant>
        <vt:i4>65630</vt:i4>
      </vt:variant>
      <vt:variant>
        <vt:i4>162</vt:i4>
      </vt:variant>
      <vt:variant>
        <vt:i4>0</vt:i4>
      </vt:variant>
      <vt:variant>
        <vt:i4>5</vt:i4>
      </vt:variant>
      <vt:variant>
        <vt:lpwstr>https://www.oregon.gov/oha/hpa/dsi-tc/pages/sdoh-metric.aspx</vt:lpwstr>
      </vt:variant>
      <vt:variant>
        <vt:lpwstr/>
      </vt:variant>
      <vt:variant>
        <vt:i4>7405683</vt:i4>
      </vt:variant>
      <vt:variant>
        <vt:i4>159</vt:i4>
      </vt:variant>
      <vt:variant>
        <vt:i4>0</vt:i4>
      </vt:variant>
      <vt:variant>
        <vt:i4>5</vt:i4>
      </vt:variant>
      <vt:variant>
        <vt:lpwstr>https://www.oregon.gov/oha/HPA/ANALYTICS/CCOMetrics/2025 specs SDOH 2024.12.31.pdf</vt:lpwstr>
      </vt:variant>
      <vt:variant>
        <vt:lpwstr/>
      </vt:variant>
      <vt:variant>
        <vt:i4>589830</vt:i4>
      </vt:variant>
      <vt:variant>
        <vt:i4>156</vt:i4>
      </vt:variant>
      <vt:variant>
        <vt:i4>0</vt:i4>
      </vt:variant>
      <vt:variant>
        <vt:i4>5</vt:i4>
      </vt:variant>
      <vt:variant>
        <vt:lpwstr>https://oregon-pip.org/current-projects/health-aspects-of-kindergarten-readiness/</vt:lpwstr>
      </vt:variant>
      <vt:variant>
        <vt:lpwstr/>
      </vt:variant>
      <vt:variant>
        <vt:i4>3604519</vt:i4>
      </vt:variant>
      <vt:variant>
        <vt:i4>153</vt:i4>
      </vt:variant>
      <vt:variant>
        <vt:i4>0</vt:i4>
      </vt:variant>
      <vt:variant>
        <vt:i4>5</vt:i4>
      </vt:variant>
      <vt:variant>
        <vt:lpwstr>https://www.medicaid.gov/medicaid/quality-of-care/performance-measurement/adult-and-child-health-care-quality-measures</vt:lpwstr>
      </vt:variant>
      <vt:variant>
        <vt:lpwstr/>
      </vt:variant>
      <vt:variant>
        <vt:i4>393311</vt:i4>
      </vt:variant>
      <vt:variant>
        <vt:i4>150</vt:i4>
      </vt:variant>
      <vt:variant>
        <vt:i4>0</vt:i4>
      </vt:variant>
      <vt:variant>
        <vt:i4>5</vt:i4>
      </vt:variant>
      <vt:variant>
        <vt:lpwstr>https://olis.oregonlegislature.gov/liz/2023R1/Downloads/MeasureDocument/SB966</vt:lpwstr>
      </vt:variant>
      <vt:variant>
        <vt:lpwstr/>
      </vt:variant>
      <vt:variant>
        <vt:i4>131076</vt:i4>
      </vt:variant>
      <vt:variant>
        <vt:i4>147</vt:i4>
      </vt:variant>
      <vt:variant>
        <vt:i4>0</vt:i4>
      </vt:variant>
      <vt:variant>
        <vt:i4>5</vt:i4>
      </vt:variant>
      <vt:variant>
        <vt:lpwstr>https://www.oregon.gov/oha/erd/pages/oha-works-to-protect-quality-health-care-across-oregon.aspx</vt:lpwstr>
      </vt:variant>
      <vt:variant>
        <vt:lpwstr/>
      </vt:variant>
      <vt:variant>
        <vt:i4>3145756</vt:i4>
      </vt:variant>
      <vt:variant>
        <vt:i4>144</vt:i4>
      </vt:variant>
      <vt:variant>
        <vt:i4>0</vt:i4>
      </vt:variant>
      <vt:variant>
        <vt:i4>5</vt:i4>
      </vt:variant>
      <vt:variant>
        <vt:lpwstr>mailto:metrics.questions@odhsoha.oregon.gov</vt:lpwstr>
      </vt:variant>
      <vt:variant>
        <vt:lpwstr/>
      </vt:variant>
      <vt:variant>
        <vt:i4>5111894</vt:i4>
      </vt:variant>
      <vt:variant>
        <vt:i4>141</vt:i4>
      </vt:variant>
      <vt:variant>
        <vt:i4>0</vt:i4>
      </vt:variant>
      <vt:variant>
        <vt:i4>5</vt:i4>
      </vt:variant>
      <vt:variant>
        <vt:lpwstr>https://www.oregon.gov/oha/hpa/analytics/pages/metrics-reporting.aspx</vt:lpwstr>
      </vt:variant>
      <vt:variant>
        <vt:lpwstr/>
      </vt:variant>
      <vt:variant>
        <vt:i4>1245241</vt:i4>
      </vt:variant>
      <vt:variant>
        <vt:i4>134</vt:i4>
      </vt:variant>
      <vt:variant>
        <vt:i4>0</vt:i4>
      </vt:variant>
      <vt:variant>
        <vt:i4>5</vt:i4>
      </vt:variant>
      <vt:variant>
        <vt:lpwstr/>
      </vt:variant>
      <vt:variant>
        <vt:lpwstr>_Toc235090774</vt:lpwstr>
      </vt:variant>
      <vt:variant>
        <vt:i4>1245241</vt:i4>
      </vt:variant>
      <vt:variant>
        <vt:i4>128</vt:i4>
      </vt:variant>
      <vt:variant>
        <vt:i4>0</vt:i4>
      </vt:variant>
      <vt:variant>
        <vt:i4>5</vt:i4>
      </vt:variant>
      <vt:variant>
        <vt:lpwstr/>
      </vt:variant>
      <vt:variant>
        <vt:lpwstr>_Toc235090773</vt:lpwstr>
      </vt:variant>
      <vt:variant>
        <vt:i4>1245241</vt:i4>
      </vt:variant>
      <vt:variant>
        <vt:i4>122</vt:i4>
      </vt:variant>
      <vt:variant>
        <vt:i4>0</vt:i4>
      </vt:variant>
      <vt:variant>
        <vt:i4>5</vt:i4>
      </vt:variant>
      <vt:variant>
        <vt:lpwstr/>
      </vt:variant>
      <vt:variant>
        <vt:lpwstr>_Toc235090772</vt:lpwstr>
      </vt:variant>
      <vt:variant>
        <vt:i4>1245241</vt:i4>
      </vt:variant>
      <vt:variant>
        <vt:i4>116</vt:i4>
      </vt:variant>
      <vt:variant>
        <vt:i4>0</vt:i4>
      </vt:variant>
      <vt:variant>
        <vt:i4>5</vt:i4>
      </vt:variant>
      <vt:variant>
        <vt:lpwstr/>
      </vt:variant>
      <vt:variant>
        <vt:lpwstr>_Toc235090771</vt:lpwstr>
      </vt:variant>
      <vt:variant>
        <vt:i4>1245241</vt:i4>
      </vt:variant>
      <vt:variant>
        <vt:i4>110</vt:i4>
      </vt:variant>
      <vt:variant>
        <vt:i4>0</vt:i4>
      </vt:variant>
      <vt:variant>
        <vt:i4>5</vt:i4>
      </vt:variant>
      <vt:variant>
        <vt:lpwstr/>
      </vt:variant>
      <vt:variant>
        <vt:lpwstr>_Toc235090770</vt:lpwstr>
      </vt:variant>
      <vt:variant>
        <vt:i4>1179705</vt:i4>
      </vt:variant>
      <vt:variant>
        <vt:i4>104</vt:i4>
      </vt:variant>
      <vt:variant>
        <vt:i4>0</vt:i4>
      </vt:variant>
      <vt:variant>
        <vt:i4>5</vt:i4>
      </vt:variant>
      <vt:variant>
        <vt:lpwstr/>
      </vt:variant>
      <vt:variant>
        <vt:lpwstr>_Toc235090769</vt:lpwstr>
      </vt:variant>
      <vt:variant>
        <vt:i4>1179705</vt:i4>
      </vt:variant>
      <vt:variant>
        <vt:i4>98</vt:i4>
      </vt:variant>
      <vt:variant>
        <vt:i4>0</vt:i4>
      </vt:variant>
      <vt:variant>
        <vt:i4>5</vt:i4>
      </vt:variant>
      <vt:variant>
        <vt:lpwstr/>
      </vt:variant>
      <vt:variant>
        <vt:lpwstr>_Toc235090768</vt:lpwstr>
      </vt:variant>
      <vt:variant>
        <vt:i4>1179705</vt:i4>
      </vt:variant>
      <vt:variant>
        <vt:i4>92</vt:i4>
      </vt:variant>
      <vt:variant>
        <vt:i4>0</vt:i4>
      </vt:variant>
      <vt:variant>
        <vt:i4>5</vt:i4>
      </vt:variant>
      <vt:variant>
        <vt:lpwstr/>
      </vt:variant>
      <vt:variant>
        <vt:lpwstr>_Toc235090767</vt:lpwstr>
      </vt:variant>
      <vt:variant>
        <vt:i4>1179705</vt:i4>
      </vt:variant>
      <vt:variant>
        <vt:i4>86</vt:i4>
      </vt:variant>
      <vt:variant>
        <vt:i4>0</vt:i4>
      </vt:variant>
      <vt:variant>
        <vt:i4>5</vt:i4>
      </vt:variant>
      <vt:variant>
        <vt:lpwstr/>
      </vt:variant>
      <vt:variant>
        <vt:lpwstr>_Toc235090766</vt:lpwstr>
      </vt:variant>
      <vt:variant>
        <vt:i4>1179705</vt:i4>
      </vt:variant>
      <vt:variant>
        <vt:i4>80</vt:i4>
      </vt:variant>
      <vt:variant>
        <vt:i4>0</vt:i4>
      </vt:variant>
      <vt:variant>
        <vt:i4>5</vt:i4>
      </vt:variant>
      <vt:variant>
        <vt:lpwstr/>
      </vt:variant>
      <vt:variant>
        <vt:lpwstr>_Toc235090765</vt:lpwstr>
      </vt:variant>
      <vt:variant>
        <vt:i4>1179705</vt:i4>
      </vt:variant>
      <vt:variant>
        <vt:i4>74</vt:i4>
      </vt:variant>
      <vt:variant>
        <vt:i4>0</vt:i4>
      </vt:variant>
      <vt:variant>
        <vt:i4>5</vt:i4>
      </vt:variant>
      <vt:variant>
        <vt:lpwstr/>
      </vt:variant>
      <vt:variant>
        <vt:lpwstr>_Toc235090764</vt:lpwstr>
      </vt:variant>
      <vt:variant>
        <vt:i4>1179705</vt:i4>
      </vt:variant>
      <vt:variant>
        <vt:i4>68</vt:i4>
      </vt:variant>
      <vt:variant>
        <vt:i4>0</vt:i4>
      </vt:variant>
      <vt:variant>
        <vt:i4>5</vt:i4>
      </vt:variant>
      <vt:variant>
        <vt:lpwstr/>
      </vt:variant>
      <vt:variant>
        <vt:lpwstr>_Toc235090763</vt:lpwstr>
      </vt:variant>
      <vt:variant>
        <vt:i4>1179705</vt:i4>
      </vt:variant>
      <vt:variant>
        <vt:i4>62</vt:i4>
      </vt:variant>
      <vt:variant>
        <vt:i4>0</vt:i4>
      </vt:variant>
      <vt:variant>
        <vt:i4>5</vt:i4>
      </vt:variant>
      <vt:variant>
        <vt:lpwstr/>
      </vt:variant>
      <vt:variant>
        <vt:lpwstr>_Toc235090762</vt:lpwstr>
      </vt:variant>
      <vt:variant>
        <vt:i4>1179705</vt:i4>
      </vt:variant>
      <vt:variant>
        <vt:i4>56</vt:i4>
      </vt:variant>
      <vt:variant>
        <vt:i4>0</vt:i4>
      </vt:variant>
      <vt:variant>
        <vt:i4>5</vt:i4>
      </vt:variant>
      <vt:variant>
        <vt:lpwstr/>
      </vt:variant>
      <vt:variant>
        <vt:lpwstr>_Toc235090761</vt:lpwstr>
      </vt:variant>
      <vt:variant>
        <vt:i4>1179705</vt:i4>
      </vt:variant>
      <vt:variant>
        <vt:i4>50</vt:i4>
      </vt:variant>
      <vt:variant>
        <vt:i4>0</vt:i4>
      </vt:variant>
      <vt:variant>
        <vt:i4>5</vt:i4>
      </vt:variant>
      <vt:variant>
        <vt:lpwstr/>
      </vt:variant>
      <vt:variant>
        <vt:lpwstr>_Toc235090760</vt:lpwstr>
      </vt:variant>
      <vt:variant>
        <vt:i4>1114169</vt:i4>
      </vt:variant>
      <vt:variant>
        <vt:i4>44</vt:i4>
      </vt:variant>
      <vt:variant>
        <vt:i4>0</vt:i4>
      </vt:variant>
      <vt:variant>
        <vt:i4>5</vt:i4>
      </vt:variant>
      <vt:variant>
        <vt:lpwstr/>
      </vt:variant>
      <vt:variant>
        <vt:lpwstr>_Toc235090759</vt:lpwstr>
      </vt:variant>
      <vt:variant>
        <vt:i4>1114169</vt:i4>
      </vt:variant>
      <vt:variant>
        <vt:i4>38</vt:i4>
      </vt:variant>
      <vt:variant>
        <vt:i4>0</vt:i4>
      </vt:variant>
      <vt:variant>
        <vt:i4>5</vt:i4>
      </vt:variant>
      <vt:variant>
        <vt:lpwstr/>
      </vt:variant>
      <vt:variant>
        <vt:lpwstr>_Toc235090758</vt:lpwstr>
      </vt:variant>
      <vt:variant>
        <vt:i4>1114169</vt:i4>
      </vt:variant>
      <vt:variant>
        <vt:i4>32</vt:i4>
      </vt:variant>
      <vt:variant>
        <vt:i4>0</vt:i4>
      </vt:variant>
      <vt:variant>
        <vt:i4>5</vt:i4>
      </vt:variant>
      <vt:variant>
        <vt:lpwstr/>
      </vt:variant>
      <vt:variant>
        <vt:lpwstr>_Toc235090757</vt:lpwstr>
      </vt:variant>
      <vt:variant>
        <vt:i4>1114169</vt:i4>
      </vt:variant>
      <vt:variant>
        <vt:i4>26</vt:i4>
      </vt:variant>
      <vt:variant>
        <vt:i4>0</vt:i4>
      </vt:variant>
      <vt:variant>
        <vt:i4>5</vt:i4>
      </vt:variant>
      <vt:variant>
        <vt:lpwstr/>
      </vt:variant>
      <vt:variant>
        <vt:lpwstr>_Toc235090756</vt:lpwstr>
      </vt:variant>
      <vt:variant>
        <vt:i4>1114169</vt:i4>
      </vt:variant>
      <vt:variant>
        <vt:i4>20</vt:i4>
      </vt:variant>
      <vt:variant>
        <vt:i4>0</vt:i4>
      </vt:variant>
      <vt:variant>
        <vt:i4>5</vt:i4>
      </vt:variant>
      <vt:variant>
        <vt:lpwstr/>
      </vt:variant>
      <vt:variant>
        <vt:lpwstr>_Toc235090755</vt:lpwstr>
      </vt:variant>
      <vt:variant>
        <vt:i4>1114169</vt:i4>
      </vt:variant>
      <vt:variant>
        <vt:i4>14</vt:i4>
      </vt:variant>
      <vt:variant>
        <vt:i4>0</vt:i4>
      </vt:variant>
      <vt:variant>
        <vt:i4>5</vt:i4>
      </vt:variant>
      <vt:variant>
        <vt:lpwstr/>
      </vt:variant>
      <vt:variant>
        <vt:lpwstr>_Toc235090754</vt:lpwstr>
      </vt:variant>
      <vt:variant>
        <vt:i4>1114169</vt:i4>
      </vt:variant>
      <vt:variant>
        <vt:i4>8</vt:i4>
      </vt:variant>
      <vt:variant>
        <vt:i4>0</vt:i4>
      </vt:variant>
      <vt:variant>
        <vt:i4>5</vt:i4>
      </vt:variant>
      <vt:variant>
        <vt:lpwstr/>
      </vt:variant>
      <vt:variant>
        <vt:lpwstr>_Toc235090753</vt:lpwstr>
      </vt:variant>
      <vt:variant>
        <vt:i4>1114169</vt:i4>
      </vt:variant>
      <vt:variant>
        <vt:i4>2</vt:i4>
      </vt:variant>
      <vt:variant>
        <vt:i4>0</vt:i4>
      </vt:variant>
      <vt:variant>
        <vt:i4>5</vt:i4>
      </vt:variant>
      <vt:variant>
        <vt:lpwstr/>
      </vt:variant>
      <vt:variant>
        <vt:lpwstr>_Toc235090752</vt:lpwstr>
      </vt:variant>
      <vt:variant>
        <vt:i4>5505036</vt:i4>
      </vt:variant>
      <vt:variant>
        <vt:i4>3</vt:i4>
      </vt:variant>
      <vt:variant>
        <vt:i4>0</vt:i4>
      </vt:variant>
      <vt:variant>
        <vt:i4>5</vt:i4>
      </vt:variant>
      <vt:variant>
        <vt:lpwstr>https://secure.sos.state.or.us/oard/displayDivisionRules.action?selectedDivision=7797</vt:lpwstr>
      </vt:variant>
      <vt:variant>
        <vt:lpwstr/>
      </vt:variant>
      <vt:variant>
        <vt:i4>5505036</vt:i4>
      </vt:variant>
      <vt:variant>
        <vt:i4>0</vt:i4>
      </vt:variant>
      <vt:variant>
        <vt:i4>0</vt:i4>
      </vt:variant>
      <vt:variant>
        <vt:i4>5</vt:i4>
      </vt:variant>
      <vt:variant>
        <vt:lpwstr>https://secure.sos.state.or.us/oard/displayDivisionRules.action?selectedDivision=7797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de Indicadores de las CCO 2025</dc:title>
  <dc:subject/>
  <dc:creator>Oregon Health Authority (OHA)</dc:creator>
  <cp:keywords/>
  <dc:description/>
  <cp:lastModifiedBy>Carly Castaneda (she/her)</cp:lastModifiedBy>
  <cp:revision>43</cp:revision>
  <cp:lastPrinted>2026-10-02T18:42:00Z</cp:lastPrinted>
  <dcterms:created xsi:type="dcterms:W3CDTF">2026-10-15T17:57:00Z</dcterms:created>
  <dcterms:modified xsi:type="dcterms:W3CDTF">2026-10-15T18:56:00Z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0x01010013F7E6828B21CD429B32949F799B911B</vt:lpwstr>
  </property>
  <property fmtid="{D5CDD505-2E9C-101B-9397-08002B2CF9AE}" pid="3" name="MediaServiceImageTags">
    <vt:lpwstr/>
  </property>
</Properties>
</file>