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D3B06" w14:textId="367A2D05" w:rsidR="00051C8D" w:rsidRDefault="00C32C04" w:rsidP="00B571D6">
      <w:pPr>
        <w:pStyle w:val="DivisionName"/>
        <w:spacing w:before="120"/>
      </w:pPr>
      <w:bookmarkStart w:id="0" w:name="_Hlk224303924"/>
      <w:r>
        <w:rPr>
          <w:lang w:bidi="es-419"/>
        </w:rPr>
        <w:t>D</w:t>
      </w:r>
      <w:bookmarkEnd w:id="0"/>
      <w:r>
        <w:rPr>
          <w:lang w:bidi="es-419"/>
        </w:rPr>
        <w:t>ivisión de Políticas de Salud y Análisis</w:t>
      </w:r>
    </w:p>
    <w:bookmarkStart w:id="1" w:name="_Hlk224303938"/>
    <w:p w14:paraId="78AE12D8" w14:textId="3F8C1185" w:rsidR="00DE11EC" w:rsidRPr="00C81E16" w:rsidRDefault="00CE1F36" w:rsidP="00B571D6">
      <w:pPr>
        <w:pStyle w:val="ProgramName"/>
        <w:spacing w:before="120"/>
        <w:ind w:left="187"/>
      </w:pPr>
      <w:r w:rsidRPr="00E90B39">
        <w:rPr>
          <w:noProof/>
          <w:lang w:bidi="es-419"/>
        </w:rPr>
        <mc:AlternateContent>
          <mc:Choice Requires="wps">
            <w:drawing>
              <wp:anchor distT="0" distB="0" distL="114300" distR="114300" simplePos="0" relativeHeight="251661312" behindDoc="1" locked="0" layoutInCell="1" allowOverlap="1" wp14:anchorId="79BD56DC" wp14:editId="2486F51C">
                <wp:simplePos x="0" y="0"/>
                <wp:positionH relativeFrom="margin">
                  <wp:posOffset>9525</wp:posOffset>
                </wp:positionH>
                <wp:positionV relativeFrom="paragraph">
                  <wp:posOffset>3175</wp:posOffset>
                </wp:positionV>
                <wp:extent cx="6172200" cy="266700"/>
                <wp:effectExtent l="0" t="0" r="0" b="0"/>
                <wp:wrapNone/>
                <wp:docPr id="38418525"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72200" cy="266700"/>
                        </a:xfrm>
                        <a:prstGeom prst="rect">
                          <a:avLst/>
                        </a:prstGeom>
                        <a:ln>
                          <a:noFill/>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xmlns:v="urn:schemas-microsoft-com:vml" w14:anchorId="2582BB58" id="Rectangle 1" o:spid="_x0000_s1026" alt="&quot;&quot;" style="position:absolute;margin-left:.75pt;margin-top:.25pt;width:486pt;height:21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5ypYwIAAB8FAAAOAAAAZHJzL2Uyb0RvYy54bWysVMFu2zAMvQ/YPwi6r46DNN2COkWQosOA&#10;oi3WDj2rslQbk0WNUuJkXz9Kcpyu6y7DLjIlko/U06PPL3adYVuFvgVb8fJkwpmyEurWPlf828PV&#10;h4+c+SBsLQxYVfG98vxi+f7dee8WagoNmFohIxDrF72reBOCWxSFl43qhD8Bpyw5NWAnAm3xuahR&#10;9ITemWI6mcyLHrB2CFJ5T6eX2cmXCV9rJcOt1l4FZipOvYW0Ylqf4losz8XiGYVrWjm0If6hi060&#10;loqOUJciCLbB9g+orpUIHnQ4kdAVoHUrVboD3aacvLrNfSOcSnchcrwbafL/D1bebO/dHRINvfML&#10;T2a8xU5jF7/UH9slsvYjWWoXmKTDeXk2pRfgTJJvOp+fkU0wxTHboQ+fFXQsGhVHeozEkdhe+5BD&#10;DyGxmLFxtXDVGpO98aQ49pWssDcqR39VmrU1dTJNqEkyam2QbQU9dv29zMeNqFU+Kk8nY49jdOrY&#10;WAKLqJpqj7gDQJTi77i5uyE2pqmktDFx8reGcuIYnSqCDWNi11rAt5JNKAdydY4/EJPpiMw8Qb2/&#10;Q4aQNe6dvGqJ92vhw51AEjU9FQ1quKVFG+grDoPFWQP4863zGE9aIy9nPQ1Jxf2PjUDFmfliSYWf&#10;ytksTlXazE7PprTBl56nlx676dZAT1PSL8HJZMb4YA6mRugeaZ5XsSq5hJVUu+Iy4GGzDnl46Y8g&#10;1WqVwmiSnAjX9t7JCB5Zjbp62D0KdIP4Asn2Bg4DJRavNJhjY6aF1SaAbpNAj7wOfNMUJsEMf4w4&#10;5i/3Ker4X1v+AgAA//8DAFBLAwQUAAYACAAAACEAzjeJmNkAAAAFAQAADwAAAGRycy9kb3ducmV2&#10;LnhtbEyOwU7DMBBE70j9B2srcaMOhbQljVNVRfSISuED3HhrR8TrKHbawNeznOCymtGMZl+5GX0r&#10;LtjHJpCC+1kGAqkOpiGr4OP95W4FIiZNRreBUMEXRthUk5tSFyZc6Q0vx2QFj1AstAKXUldIGWuH&#10;XsdZ6JA4O4fe68S2t9L0+srjvpXzLFtIrxviD053uHNYfx4Hr+B7b/BgVtI6Xz/vG5u/5ovloNTt&#10;dNyuQSQc018ZfvEZHSpmOoWBTBQt+5yLCvhy+LR8YHFS8DjPQVal/E9f/QAAAP//AwBQSwECLQAU&#10;AAYACAAAACEAtoM4kv4AAADhAQAAEwAAAAAAAAAAAAAAAAAAAAAAW0NvbnRlbnRfVHlwZXNdLnht&#10;bFBLAQItABQABgAIAAAAIQA4/SH/1gAAAJQBAAALAAAAAAAAAAAAAAAAAC8BAABfcmVscy8ucmVs&#10;c1BLAQItABQABgAIAAAAIQAMP5ypYwIAAB8FAAAOAAAAAAAAAAAAAAAAAC4CAABkcnMvZTJvRG9j&#10;LnhtbFBLAQItABQABgAIAAAAIQDON4mY2QAAAAUBAAAPAAAAAAAAAAAAAAAAAL0EAABkcnMvZG93&#10;bnJldi54bWxQSwUGAAAAAAQABADzAAAAwwUAAAAA&#10;" fillcolor="#064276 [3200]" stroked="f" strokeweight="1pt">
                <w10:wrap xmlns:w10="urn:schemas-microsoft-com:office:word" anchorx="margin"/>
              </v:rect>
            </w:pict>
          </mc:Fallback>
        </mc:AlternateContent>
      </w:r>
      <w:r w:rsidR="00C32C04">
        <w:rPr>
          <w:lang w:bidi="es-419"/>
        </w:rPr>
        <w:t>P</w:t>
      </w:r>
      <w:bookmarkEnd w:id="1"/>
      <w:r w:rsidR="00C32C04">
        <w:rPr>
          <w:lang w:bidi="es-419"/>
        </w:rPr>
        <w:t>rograma de Incentivos de Calidad de las CCO</w:t>
      </w:r>
    </w:p>
    <w:p w14:paraId="4915D51D" w14:textId="77777777" w:rsidR="00CA6BFD" w:rsidRDefault="004E14A1" w:rsidP="00B571D6">
      <w:pPr>
        <w:pStyle w:val="LogoStyle"/>
        <w:sectPr w:rsidR="00CA6BFD" w:rsidSect="003A6DFD">
          <w:footerReference w:type="default" r:id="rId11"/>
          <w:footerReference w:type="first" r:id="rId12"/>
          <w:type w:val="continuous"/>
          <w:pgSz w:w="12240" w:h="15840" w:code="1"/>
          <w:pgMar w:top="576" w:right="634" w:bottom="720" w:left="720" w:header="576" w:footer="576" w:gutter="0"/>
          <w:cols w:num="2" w:space="0" w:equalWidth="0">
            <w:col w:w="8010" w:space="2"/>
            <w:col w:w="2874"/>
          </w:cols>
          <w:docGrid w:linePitch="360"/>
        </w:sectPr>
      </w:pPr>
      <w:r w:rsidRPr="008C3A9A">
        <w:rPr>
          <w:lang w:bidi="es-419"/>
        </w:rPr>
        <w:drawing>
          <wp:inline distT="0" distB="0" distL="0" distR="0" wp14:anchorId="7A89ACDD" wp14:editId="262D08D6">
            <wp:extent cx="1819275" cy="643478"/>
            <wp:effectExtent l="0" t="0" r="0" b="4445"/>
            <wp:docPr id="11" name="Picture 11" descr="Oregon Health Authority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Oregon Health Authority logo.">
                      <a:extLst>
                        <a:ext uri="{C183D7F6-B498-43B3-948B-1728B52AA6E4}">
                          <adec:decorative xmlns:adec="http://schemas.microsoft.com/office/drawing/2017/decorative" val="0"/>
                        </a:ext>
                      </a:extLst>
                    </pic:cNvPr>
                    <pic:cNvPicPr/>
                  </pic:nvPicPr>
                  <pic:blipFill rotWithShape="1">
                    <a:blip r:embed="rId13" cstate="print">
                      <a:extLst>
                        <a:ext uri="{28A0092B-C50C-407E-A947-70E740481C1C}">
                          <a14:useLocalDpi xmlns:a14="http://schemas.microsoft.com/office/drawing/2010/main" val="0"/>
                        </a:ext>
                      </a:extLst>
                    </a:blip>
                    <a:srcRect l="-997" t="8700" r="997" b="8700"/>
                    <a:stretch/>
                  </pic:blipFill>
                  <pic:spPr bwMode="auto">
                    <a:xfrm>
                      <a:off x="0" y="0"/>
                      <a:ext cx="1819275" cy="643478"/>
                    </a:xfrm>
                    <a:prstGeom prst="rect">
                      <a:avLst/>
                    </a:prstGeom>
                    <a:ln>
                      <a:noFill/>
                    </a:ln>
                    <a:effectLst>
                      <a:softEdge rad="12700"/>
                    </a:effectLst>
                    <a:extLst>
                      <a:ext uri="{53640926-AAD7-44D8-BBD7-CCE9431645EC}">
                        <a14:shadowObscured xmlns:a14="http://schemas.microsoft.com/office/drawing/2010/main"/>
                      </a:ext>
                    </a:extLst>
                  </pic:spPr>
                </pic:pic>
              </a:graphicData>
            </a:graphic>
          </wp:inline>
        </w:drawing>
      </w:r>
      <w:bookmarkStart w:id="2" w:name="_Hlk224303222"/>
    </w:p>
    <w:p w14:paraId="659DA20F" w14:textId="77777777" w:rsidR="00606C15" w:rsidRPr="00A13963" w:rsidRDefault="00606C15" w:rsidP="00430470">
      <w:pPr>
        <w:pStyle w:val="AltStatementHeading"/>
        <w:ind w:left="450" w:right="452"/>
      </w:pPr>
      <w:r w:rsidRPr="003A6DFD">
        <w:rPr>
          <w:lang w:bidi="es-419"/>
        </w:rPr>
        <w:t>Otros formatos e idiomas</w:t>
      </w:r>
    </w:p>
    <w:bookmarkEnd w:id="2"/>
    <w:p w14:paraId="6B5F0232" w14:textId="47E41F8D" w:rsidR="00606C15" w:rsidRPr="00D07BCA" w:rsidRDefault="00606C15" w:rsidP="00430470">
      <w:pPr>
        <w:pStyle w:val="AltStatement"/>
        <w:tabs>
          <w:tab w:val="left" w:pos="9720"/>
        </w:tabs>
        <w:ind w:left="450" w:right="452"/>
      </w:pPr>
      <w:r w:rsidRPr="00D07BCA">
        <w:rPr>
          <w:lang w:bidi="es-419"/>
        </w:rPr>
        <w:t xml:space="preserve">Puede obtener este documento en otros idiomas, en letra grande, en braille o en el formato que prefiera de forma gratuita. Comuníquese con el Programa de Indicadores de Calidad de las CCO al correo electrónico </w:t>
      </w:r>
      <w:hyperlink r:id="rId14" w:history="1">
        <w:r w:rsidR="000A5C8B" w:rsidRPr="00696F94">
          <w:rPr>
            <w:rStyle w:val="Hyperlink"/>
            <w:lang w:bidi="es-419"/>
          </w:rPr>
          <w:t>Metrics.Questions@odhsoha.oregon.gov</w:t>
        </w:r>
      </w:hyperlink>
      <w:r w:rsidRPr="00D07BCA">
        <w:rPr>
          <w:lang w:bidi="es-419"/>
        </w:rPr>
        <w:t xml:space="preserve"> o al número 503-201-1949 (por teléfono/mensaje de texto). Aceptamos todas las llamadas de retransmisión.</w:t>
      </w:r>
    </w:p>
    <w:p w14:paraId="36E435D2" w14:textId="57058142" w:rsidR="007B6AFF" w:rsidRPr="00A51D09" w:rsidRDefault="00C32C04" w:rsidP="00B571D6">
      <w:pPr>
        <w:pStyle w:val="Heading1"/>
        <w:ind w:right="27"/>
        <w:rPr>
          <w:rFonts w:hint="eastAsia"/>
        </w:rPr>
      </w:pPr>
      <w:r>
        <w:rPr>
          <w:lang w:bidi="es-419"/>
        </w:rPr>
        <w:t xml:space="preserve">Resumen Ejecutivo de Indicadores de las CCO </w:t>
      </w:r>
      <w:r w:rsidR="00B571D6">
        <w:rPr>
          <w:lang w:bidi="es-419"/>
        </w:rPr>
        <w:br/>
      </w:r>
      <w:r>
        <w:rPr>
          <w:lang w:bidi="es-419"/>
        </w:rPr>
        <w:t>de 2025</w:t>
      </w:r>
    </w:p>
    <w:p w14:paraId="10498870" w14:textId="4DE458E1" w:rsidR="00FB7F24" w:rsidRPr="004E262C" w:rsidRDefault="00BA0C16" w:rsidP="00B571D6">
      <w:pPr>
        <w:pStyle w:val="Heading2"/>
        <w:rPr>
          <w:rFonts w:hint="eastAsia"/>
          <w:bCs/>
        </w:rPr>
      </w:pPr>
      <w:r w:rsidRPr="004E262C">
        <w:rPr>
          <w:bCs/>
          <w:lang w:bidi="es-419"/>
        </w:rPr>
        <w:t xml:space="preserve">Para 2025, las Organizaciones de Atención Coordinada (CCO) de </w:t>
      </w:r>
      <w:proofErr w:type="spellStart"/>
      <w:r w:rsidRPr="004E262C">
        <w:rPr>
          <w:bCs/>
          <w:lang w:bidi="es-419"/>
        </w:rPr>
        <w:t>Oregon</w:t>
      </w:r>
      <w:proofErr w:type="spellEnd"/>
      <w:r w:rsidRPr="004E262C">
        <w:rPr>
          <w:bCs/>
          <w:lang w:bidi="es-419"/>
        </w:rPr>
        <w:t xml:space="preserve"> obtuvieron colectivamente más de $238 millones a través del Programa de Incentivos de Calidad de las CCO, un programa de pago por rendimiento que recompensa la calidad de la atención.</w:t>
      </w:r>
    </w:p>
    <w:p w14:paraId="3C42068F" w14:textId="68E9BC83" w:rsidR="00BA0C16" w:rsidRDefault="00BA0C16" w:rsidP="00430470">
      <w:pPr>
        <w:ind w:right="452"/>
      </w:pPr>
      <w:r>
        <w:rPr>
          <w:lang w:bidi="es-419"/>
        </w:rPr>
        <w:t>El objetivo del Programa de Incentivos de Calidad de las Organizaciones de Atención Coordinada (</w:t>
      </w:r>
      <w:proofErr w:type="spellStart"/>
      <w:r>
        <w:rPr>
          <w:lang w:bidi="es-419"/>
        </w:rPr>
        <w:t>Coordinated</w:t>
      </w:r>
      <w:proofErr w:type="spellEnd"/>
      <w:r>
        <w:rPr>
          <w:lang w:bidi="es-419"/>
        </w:rPr>
        <w:t xml:space="preserve"> Care </w:t>
      </w:r>
      <w:proofErr w:type="spellStart"/>
      <w:r>
        <w:rPr>
          <w:lang w:bidi="es-419"/>
        </w:rPr>
        <w:t>Organizations</w:t>
      </w:r>
      <w:proofErr w:type="spellEnd"/>
      <w:r>
        <w:rPr>
          <w:lang w:bidi="es-419"/>
        </w:rPr>
        <w:t xml:space="preserve">, CCO, por sus siglas en inglés) es mejorar la calidad de la atención para los miembros del Plan de Salud de </w:t>
      </w:r>
      <w:proofErr w:type="spellStart"/>
      <w:r>
        <w:rPr>
          <w:lang w:bidi="es-419"/>
        </w:rPr>
        <w:t>Oregon</w:t>
      </w:r>
      <w:proofErr w:type="spellEnd"/>
      <w:r>
        <w:rPr>
          <w:lang w:bidi="es-419"/>
        </w:rPr>
        <w:t xml:space="preserve"> (</w:t>
      </w:r>
      <w:proofErr w:type="spellStart"/>
      <w:r>
        <w:rPr>
          <w:lang w:bidi="es-419"/>
        </w:rPr>
        <w:t>Oregon</w:t>
      </w:r>
      <w:proofErr w:type="spellEnd"/>
      <w:r>
        <w:rPr>
          <w:lang w:bidi="es-419"/>
        </w:rPr>
        <w:t xml:space="preserve"> Health Plan, OHP, por sus siglas en inglés). Para obtener bonos del Programa de Incentivos de Calidad de las CCO, las mismas deben proporcionar una mejor atención cada año. Los bonos se suman a los pagos mensuales que cubren el costo de la atención, llamados pagos por miembro al mes (per-</w:t>
      </w:r>
      <w:proofErr w:type="spellStart"/>
      <w:r>
        <w:rPr>
          <w:lang w:bidi="es-419"/>
        </w:rPr>
        <w:t>member</w:t>
      </w:r>
      <w:proofErr w:type="spellEnd"/>
      <w:r>
        <w:rPr>
          <w:lang w:bidi="es-419"/>
        </w:rPr>
        <w:t xml:space="preserve"> per-</w:t>
      </w:r>
      <w:proofErr w:type="spellStart"/>
      <w:r>
        <w:rPr>
          <w:lang w:bidi="es-419"/>
        </w:rPr>
        <w:t>month</w:t>
      </w:r>
      <w:proofErr w:type="spellEnd"/>
      <w:r>
        <w:rPr>
          <w:lang w:bidi="es-419"/>
        </w:rPr>
        <w:t xml:space="preserve">, PMPM, por sus siglas en inglés) o tasas de capitación. </w:t>
      </w:r>
    </w:p>
    <w:p w14:paraId="4C02630E" w14:textId="447A6542" w:rsidR="00BA0C16" w:rsidRDefault="00BA0C16" w:rsidP="00B571D6">
      <w:pPr>
        <w:ind w:right="877"/>
      </w:pPr>
      <w:r>
        <w:rPr>
          <w:lang w:bidi="es-419"/>
        </w:rPr>
        <w:t xml:space="preserve">En 2025, el total del fondo de incentivos por calidad de las CCO se estableció en el 3% de pagos PMPM agregados de ese año para las CCO. Aunque este porcentaje fue una reducción con respecto a años anteriores, representó un total de dinero en dólares mayor que algunos años anteriores del programa. </w:t>
      </w:r>
      <w:r w:rsidR="00430470">
        <w:rPr>
          <w:lang w:bidi="es-419"/>
        </w:rPr>
        <w:br/>
      </w:r>
      <w:r>
        <w:rPr>
          <w:lang w:bidi="es-419"/>
        </w:rPr>
        <w:t>La reducción en el porcentaje se realizó parcialmente para compensar los aumentos en las tasas de capitación, que fueron mucho más altos de lo presupuestado para 2026.</w:t>
      </w:r>
    </w:p>
    <w:p w14:paraId="551231DA" w14:textId="77777777" w:rsidR="00900939" w:rsidRDefault="00900939" w:rsidP="00900939">
      <w:pPr>
        <w:ind w:right="594"/>
        <w:rPr>
          <w:lang w:bidi="es-419"/>
        </w:rPr>
        <w:sectPr w:rsidR="00900939" w:rsidSect="00900939">
          <w:type w:val="continuous"/>
          <w:pgSz w:w="12240" w:h="15840" w:code="1"/>
          <w:pgMar w:top="720" w:right="720" w:bottom="720" w:left="720" w:header="576" w:footer="576" w:gutter="0"/>
          <w:cols w:space="720"/>
          <w:titlePg/>
          <w:docGrid w:linePitch="360"/>
        </w:sectPr>
      </w:pPr>
    </w:p>
    <w:p w14:paraId="7607B868" w14:textId="7414EF8E" w:rsidR="00A25366" w:rsidRPr="00D213DE" w:rsidRDefault="00BA0C16" w:rsidP="00B571D6">
      <w:pPr>
        <w:pStyle w:val="Heading2"/>
        <w:rPr>
          <w:rFonts w:hint="eastAsia"/>
          <w:bCs/>
        </w:rPr>
      </w:pPr>
      <w:r w:rsidRPr="00D213DE">
        <w:rPr>
          <w:bCs/>
          <w:lang w:bidi="es-419"/>
        </w:rPr>
        <w:lastRenderedPageBreak/>
        <w:t>El rendimiento a nivel estatal de las CCO se mantuvo est</w:t>
      </w:r>
      <w:permStart w:id="1565813535" w:edGrp="everyone"/>
      <w:permEnd w:id="1565813535"/>
      <w:r w:rsidRPr="00D213DE">
        <w:rPr>
          <w:bCs/>
          <w:lang w:bidi="es-419"/>
        </w:rPr>
        <w:t>able o mejoró en todas las medidas de incentivos de 2024 a 2025.</w:t>
      </w:r>
    </w:p>
    <w:p w14:paraId="64718658" w14:textId="123745E3" w:rsidR="00B571D6" w:rsidRDefault="00BA0C16" w:rsidP="00B571D6">
      <w:pPr>
        <w:ind w:right="877"/>
        <w:rPr>
          <w:lang w:bidi="es-419"/>
        </w:rPr>
      </w:pPr>
      <w:r w:rsidRPr="00516119">
        <w:rPr>
          <w:lang w:bidi="es-419"/>
        </w:rPr>
        <w:t xml:space="preserve">Las CCO mejoraron más en la medida de acceso significativo al idioma (equidad en salud), que tiene como objetivo aumentar el uso de servicios lingüísticos de alta calidad para los miembros que necesitan un intérprete. Las CCO a nivel estatal aumentaron los servicios lingüísticos calificados del 14.4% de las visitas en 2024 al </w:t>
      </w:r>
      <w:r w:rsidR="004005AC">
        <w:rPr>
          <w:lang w:bidi="es-419"/>
        </w:rPr>
        <w:t>17.7</w:t>
      </w:r>
      <w:r w:rsidRPr="00516119">
        <w:rPr>
          <w:lang w:bidi="es-419"/>
        </w:rPr>
        <w:t>% en 2025. Sin embargo, el acceso significativo al idioma (equidad en salud) tuvo uno de los rendimientos más bajos de las CCO en comparación con otras medidas de incentivos.</w:t>
      </w:r>
    </w:p>
    <w:p w14:paraId="5D028913" w14:textId="77777777" w:rsidR="00430470" w:rsidRDefault="00430470" w:rsidP="00430470">
      <w:r>
        <w:rPr>
          <w:lang w:bidi="es-419"/>
        </w:rPr>
        <w:t>Las tasas a nivel estatal de las CCO alcanzaron niveles previos a la pandemia por primera vez en dos medidas:</w:t>
      </w:r>
    </w:p>
    <w:p w14:paraId="45517EC9" w14:textId="77777777" w:rsidR="00430470" w:rsidRDefault="00430470" w:rsidP="00430470">
      <w:pPr>
        <w:pStyle w:val="ListBullet"/>
      </w:pPr>
      <w:r w:rsidRPr="00BA0C16">
        <w:rPr>
          <w:lang w:bidi="es-419"/>
        </w:rPr>
        <w:t>Cuidados de la diabetes: control deficiente de la hemoglobina A1c (HbA1c).</w:t>
      </w:r>
    </w:p>
    <w:p w14:paraId="6279B989" w14:textId="77777777" w:rsidR="00430470" w:rsidRDefault="00430470" w:rsidP="00430470">
      <w:pPr>
        <w:pStyle w:val="ListBullet"/>
      </w:pPr>
      <w:r w:rsidRPr="00BA0C16">
        <w:rPr>
          <w:lang w:bidi="es-419"/>
        </w:rPr>
        <w:t>Vacunación para adolescentes: combinación 2.</w:t>
      </w:r>
    </w:p>
    <w:p w14:paraId="72CFB8C6" w14:textId="77777777" w:rsidR="00430470" w:rsidRPr="0037248F" w:rsidRDefault="00430470" w:rsidP="00430470">
      <w:pPr>
        <w:ind w:left="1008"/>
      </w:pPr>
      <w:r w:rsidRPr="00BA0C16">
        <w:rPr>
          <w:lang w:bidi="es-419"/>
        </w:rPr>
        <w:t xml:space="preserve">Las CCO lograron avances notables en el cuidado de la diabetes: control deficiente de la hemoglobina A1c (HbA1c). El 2025 tuvo el mejor rendimiento a nivel estatal para las CCO desde que esta medida se incentivó por primera vez en 2014. </w:t>
      </w:r>
      <w:r w:rsidRPr="00BA0C16">
        <w:rPr>
          <w:lang w:bidi="es-419"/>
        </w:rPr>
        <w:tab/>
      </w:r>
    </w:p>
    <w:p w14:paraId="25F07560" w14:textId="77777777" w:rsidR="00430470" w:rsidRPr="00D213DE" w:rsidRDefault="00430470" w:rsidP="00430470">
      <w:pPr>
        <w:pStyle w:val="Heading2"/>
        <w:rPr>
          <w:rFonts w:hint="eastAsia"/>
          <w:bCs/>
        </w:rPr>
      </w:pPr>
      <w:r w:rsidRPr="00D213DE">
        <w:rPr>
          <w:bCs/>
          <w:lang w:bidi="es-419"/>
        </w:rPr>
        <w:t>Las CCO aún tienen margen de mejora en cinco medidas.</w:t>
      </w:r>
    </w:p>
    <w:p w14:paraId="14D397A7" w14:textId="77777777" w:rsidR="00430470" w:rsidRDefault="00430470" w:rsidP="00430470">
      <w:r>
        <w:rPr>
          <w:lang w:bidi="es-419"/>
        </w:rPr>
        <w:t xml:space="preserve">De todas las medidas de incentivos de programas anteriores a 2020, dos aún no han alcanzado los niveles previos a la pandemia: </w:t>
      </w:r>
    </w:p>
    <w:p w14:paraId="146DA8DA" w14:textId="77777777" w:rsidR="00430470" w:rsidRPr="00BA0C16" w:rsidRDefault="00430470" w:rsidP="00430470">
      <w:pPr>
        <w:pStyle w:val="ListParagraph"/>
      </w:pPr>
      <w:r>
        <w:rPr>
          <w:lang w:bidi="es-419"/>
        </w:rPr>
        <w:t xml:space="preserve">Servicios de salud dental u oral preventivos (niños de 6 a 14 </w:t>
      </w:r>
      <w:proofErr w:type="gramStart"/>
      <w:r>
        <w:rPr>
          <w:lang w:bidi="es-419"/>
        </w:rPr>
        <w:t>años de edad</w:t>
      </w:r>
      <w:proofErr w:type="gramEnd"/>
      <w:r>
        <w:rPr>
          <w:lang w:bidi="es-419"/>
        </w:rPr>
        <w:t>).</w:t>
      </w:r>
    </w:p>
    <w:p w14:paraId="4DF37C1A" w14:textId="77777777" w:rsidR="00430470" w:rsidRPr="00BA0C16" w:rsidRDefault="00430470" w:rsidP="00430470">
      <w:pPr>
        <w:pStyle w:val="ListParagraph"/>
      </w:pPr>
      <w:r>
        <w:rPr>
          <w:lang w:bidi="es-419"/>
        </w:rPr>
        <w:t>Adultos con diabetes: evaluación oral.</w:t>
      </w:r>
    </w:p>
    <w:p w14:paraId="10ECC12C" w14:textId="6C0759D3" w:rsidR="00430470" w:rsidRDefault="00430470" w:rsidP="00430470">
      <w:r>
        <w:rPr>
          <w:lang w:bidi="es-419"/>
        </w:rPr>
        <w:t xml:space="preserve">Ambos están relacionados con los servicios dentales, que fueron los más afectados durante la pandemia del COVID-19. En 2025, las tasas de las CCO a nivel estatal estuvieron solo ligeramente por debajo de los niveles previos a </w:t>
      </w:r>
      <w:r>
        <w:rPr>
          <w:lang w:bidi="es-419"/>
        </w:rPr>
        <w:br/>
        <w:t>la pandemia.</w:t>
      </w:r>
    </w:p>
    <w:p w14:paraId="65BB72A6" w14:textId="5BFF83FA" w:rsidR="00430470" w:rsidRDefault="00430470" w:rsidP="00430470">
      <w:pPr>
        <w:ind w:left="902" w:right="902"/>
      </w:pPr>
      <w:r>
        <w:rPr>
          <w:lang w:bidi="es-419"/>
        </w:rPr>
        <w:t>Aunque se encuentran por encima de las tasas previas a la pandemia, este es el estado de vacunación infantil: la combinación 3 no vio las mismas ganancias que la vacunación para adolescentes de: la combinación 2 respecto a los datos de 2024 a 2025. De manera similar, para el inicio y participación en el tratamiento del trastorno por consumo de sustancias (</w:t>
      </w:r>
      <w:proofErr w:type="spellStart"/>
      <w:r>
        <w:rPr>
          <w:lang w:bidi="es-419"/>
        </w:rPr>
        <w:t>Substance</w:t>
      </w:r>
      <w:proofErr w:type="spellEnd"/>
      <w:r>
        <w:rPr>
          <w:lang w:bidi="es-419"/>
        </w:rPr>
        <w:t xml:space="preserve"> Use </w:t>
      </w:r>
      <w:proofErr w:type="spellStart"/>
      <w:r>
        <w:rPr>
          <w:lang w:bidi="es-419"/>
        </w:rPr>
        <w:t>Disorder</w:t>
      </w:r>
      <w:proofErr w:type="spellEnd"/>
      <w:r>
        <w:rPr>
          <w:lang w:bidi="es-419"/>
        </w:rPr>
        <w:t>, SUD, por su</w:t>
      </w:r>
      <w:r w:rsidR="00757B34">
        <w:rPr>
          <w:lang w:bidi="es-419"/>
        </w:rPr>
        <w:t>s</w:t>
      </w:r>
      <w:r>
        <w:rPr>
          <w:lang w:bidi="es-419"/>
        </w:rPr>
        <w:t xml:space="preserve"> siglas en inglés), las tasas de inicio se mantuvieron estables y no tuvieron las mismas mejoras relativas que las tasas de participación.</w:t>
      </w:r>
    </w:p>
    <w:p w14:paraId="632A36F3" w14:textId="77777777" w:rsidR="00430470" w:rsidRDefault="00430470" w:rsidP="00430470">
      <w:r>
        <w:rPr>
          <w:lang w:bidi="es-419"/>
        </w:rPr>
        <w:t>Por último, aunque mostró la mayor mejora respecto a los datos de 2024 a 2025, el acceso significativo al idioma (equidad en salud) sigue siendo un área de mejora.</w:t>
      </w:r>
    </w:p>
    <w:p w14:paraId="658AF0A7" w14:textId="77777777" w:rsidR="00430470" w:rsidRPr="003F1D62" w:rsidRDefault="00430470" w:rsidP="00430470">
      <w:pPr>
        <w:pStyle w:val="Heading2"/>
        <w:rPr>
          <w:rFonts w:hint="eastAsia"/>
          <w:bCs/>
        </w:rPr>
      </w:pPr>
      <w:r w:rsidRPr="003F1D62">
        <w:rPr>
          <w:bCs/>
          <w:lang w:bidi="es-419"/>
        </w:rPr>
        <w:lastRenderedPageBreak/>
        <w:t>La OHA y las CCO continúan desarrollando medidas preventivas que abordan los factores determinantes sociales de la salud.</w:t>
      </w:r>
    </w:p>
    <w:p w14:paraId="1E3F117C" w14:textId="77777777" w:rsidR="00430470" w:rsidRDefault="00430470" w:rsidP="00430470">
      <w:pPr>
        <w:ind w:right="452"/>
      </w:pPr>
      <w:r>
        <w:rPr>
          <w:lang w:bidi="es-419"/>
        </w:rPr>
        <w:t>El 2025 fue el primer año de incentivos para los servicios de intervención o tratamiento centrados en problemas socioemocionales para niños pequeños, reemplazando la medida a nivel de sistema. Para los niños pequeños, las CCO a nivel estatal aumentaron las intervenciones breves y los servicios de tratamiento del 5.0% en 2024 al 6.3% en 2025. Dado que no todos los niños tienen problemas socioemocionales, esperamos que las tasas sean más bajas en comparación con otras medidas.</w:t>
      </w:r>
    </w:p>
    <w:p w14:paraId="378FC291" w14:textId="77777777" w:rsidR="00430470" w:rsidRDefault="00430470" w:rsidP="00430470">
      <w:pPr>
        <w:ind w:right="594"/>
        <w:rPr>
          <w:lang w:bidi="es-419"/>
        </w:rPr>
      </w:pPr>
      <w:r>
        <w:rPr>
          <w:lang w:bidi="es-419"/>
        </w:rPr>
        <w:t xml:space="preserve">El 2025 también fue el primer año del informe de muestra para los factores determinantes sociales de la salud (Social </w:t>
      </w:r>
      <w:proofErr w:type="spellStart"/>
      <w:r>
        <w:rPr>
          <w:lang w:bidi="es-419"/>
        </w:rPr>
        <w:t>Determinants</w:t>
      </w:r>
      <w:proofErr w:type="spellEnd"/>
      <w:r>
        <w:rPr>
          <w:lang w:bidi="es-419"/>
        </w:rPr>
        <w:t xml:space="preserve"> </w:t>
      </w:r>
      <w:proofErr w:type="spellStart"/>
      <w:r>
        <w:rPr>
          <w:lang w:bidi="es-419"/>
        </w:rPr>
        <w:t>of</w:t>
      </w:r>
      <w:proofErr w:type="spellEnd"/>
      <w:r>
        <w:rPr>
          <w:lang w:bidi="es-419"/>
        </w:rPr>
        <w:t xml:space="preserve"> Health, SDOH, por sus siglas en inglés): las pruebas de detección de necesidades sociales y remisiones, que se centran en la inseguridad de vivienda, la inseguridad alimentaria y las necesidades de transporte de los miembros.</w:t>
      </w:r>
    </w:p>
    <w:p w14:paraId="7B62125F" w14:textId="77777777" w:rsidR="00430470" w:rsidRDefault="00430470" w:rsidP="00430470">
      <w:r>
        <w:rPr>
          <w:lang w:bidi="es-419"/>
        </w:rPr>
        <w:t xml:space="preserve">Por último, la </w:t>
      </w:r>
      <w:proofErr w:type="spellStart"/>
      <w:r>
        <w:rPr>
          <w:lang w:bidi="es-419"/>
        </w:rPr>
        <w:t>Oregon</w:t>
      </w:r>
      <w:proofErr w:type="spellEnd"/>
      <w:r>
        <w:rPr>
          <w:lang w:bidi="es-419"/>
        </w:rPr>
        <w:t xml:space="preserve"> Health </w:t>
      </w:r>
      <w:proofErr w:type="spellStart"/>
      <w:r>
        <w:rPr>
          <w:lang w:bidi="es-419"/>
        </w:rPr>
        <w:t>Authority</w:t>
      </w:r>
      <w:proofErr w:type="spellEnd"/>
      <w:r>
        <w:rPr>
          <w:lang w:bidi="es-419"/>
        </w:rPr>
        <w:t xml:space="preserve"> (OHA) trabajó con las CCO en cambios para la medida de acceso significativo al idioma (equidad en salud). Los cambios incluyeron:</w:t>
      </w:r>
    </w:p>
    <w:p w14:paraId="7C67BBEC" w14:textId="77777777" w:rsidR="00430470" w:rsidRPr="00BA0C16" w:rsidRDefault="00430470" w:rsidP="00430470">
      <w:pPr>
        <w:pStyle w:val="ListParagraph"/>
      </w:pPr>
      <w:r>
        <w:rPr>
          <w:lang w:bidi="es-419"/>
        </w:rPr>
        <w:t>Ampliar la definición de quién califica como proveedor del idioma.</w:t>
      </w:r>
    </w:p>
    <w:p w14:paraId="32A13EDA" w14:textId="77777777" w:rsidR="00430470" w:rsidRPr="00BA0C16" w:rsidRDefault="00430470" w:rsidP="00430470">
      <w:pPr>
        <w:pStyle w:val="ListParagraph"/>
      </w:pPr>
      <w:r>
        <w:rPr>
          <w:lang w:bidi="es-419"/>
        </w:rPr>
        <w:t>Eliminar el requisito de volver a evaluar el dominio del idioma.</w:t>
      </w:r>
    </w:p>
    <w:p w14:paraId="6EF4FD3F" w14:textId="77777777" w:rsidR="00430470" w:rsidRPr="00BA0C16" w:rsidRDefault="00430470" w:rsidP="00430470">
      <w:pPr>
        <w:pStyle w:val="ListParagraph"/>
      </w:pPr>
      <w:r>
        <w:rPr>
          <w:lang w:bidi="es-419"/>
        </w:rPr>
        <w:t xml:space="preserve">Permitir que las CCO excluyan las visitas en las que un miembro rechazó los servicios de un intérprete. Esto no excluye otras visitas del mismo miembro. </w:t>
      </w:r>
    </w:p>
    <w:p w14:paraId="47A441BD" w14:textId="77777777" w:rsidR="00430470" w:rsidRDefault="00430470" w:rsidP="00430470">
      <w:pPr>
        <w:spacing w:after="480"/>
      </w:pPr>
      <w:r>
        <w:rPr>
          <w:lang w:bidi="es-419"/>
        </w:rPr>
        <w:t xml:space="preserve">La OHA está comprometida en garantizar que los recursos se dirijan a donde tengan el mayor impacto y que los miembros del Plan de Salud de </w:t>
      </w:r>
      <w:proofErr w:type="spellStart"/>
      <w:r>
        <w:rPr>
          <w:lang w:bidi="es-419"/>
        </w:rPr>
        <w:t>Oregon</w:t>
      </w:r>
      <w:proofErr w:type="spellEnd"/>
      <w:r>
        <w:rPr>
          <w:lang w:bidi="es-419"/>
        </w:rPr>
        <w:t xml:space="preserve"> reciban interpretación de idiomas de alta calidad.</w:t>
      </w:r>
    </w:p>
    <w:p w14:paraId="037AC036" w14:textId="77777777" w:rsidR="00430470" w:rsidRPr="00D86A75" w:rsidRDefault="00430470" w:rsidP="00430470">
      <w:pPr>
        <w:pStyle w:val="BlueInfoBoxHeading"/>
      </w:pPr>
      <w:r w:rsidRPr="00D86A75">
        <w:rPr>
          <w:lang w:bidi="es-419"/>
        </w:rPr>
        <w:drawing>
          <wp:anchor distT="0" distB="0" distL="114300" distR="114300" simplePos="0" relativeHeight="251663360" behindDoc="0" locked="0" layoutInCell="1" allowOverlap="1" wp14:anchorId="18BCFE72" wp14:editId="257A181C">
            <wp:simplePos x="0" y="0"/>
            <wp:positionH relativeFrom="margin">
              <wp:posOffset>5165090</wp:posOffset>
            </wp:positionH>
            <wp:positionV relativeFrom="paragraph">
              <wp:posOffset>217805</wp:posOffset>
            </wp:positionV>
            <wp:extent cx="1604645" cy="52070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a:ext>
                      </a:extLst>
                    </a:blip>
                    <a:stretch>
                      <a:fillRect/>
                    </a:stretch>
                  </pic:blipFill>
                  <pic:spPr>
                    <a:xfrm>
                      <a:off x="0" y="0"/>
                      <a:ext cx="1604645" cy="520700"/>
                    </a:xfrm>
                    <a:prstGeom prst="rect">
                      <a:avLst/>
                    </a:prstGeom>
                  </pic:spPr>
                </pic:pic>
              </a:graphicData>
            </a:graphic>
            <wp14:sizeRelV relativeFrom="margin">
              <wp14:pctHeight>0</wp14:pctHeight>
            </wp14:sizeRelV>
          </wp:anchor>
        </w:drawing>
      </w:r>
      <w:r>
        <w:rPr>
          <w:b/>
          <w:lang w:bidi="es-419"/>
        </w:rPr>
        <w:t>División de Políticas de Salud y Análisis</w:t>
      </w:r>
    </w:p>
    <w:p w14:paraId="172C9536" w14:textId="77777777" w:rsidR="00430470" w:rsidRDefault="00430470" w:rsidP="00430470">
      <w:pPr>
        <w:pStyle w:val="BlueInfoBox"/>
      </w:pPr>
      <w:r>
        <w:rPr>
          <w:lang w:bidi="es-419"/>
        </w:rPr>
        <w:t>Programa de Incentivos de Calidad de las CCO</w:t>
      </w:r>
    </w:p>
    <w:p w14:paraId="2464F7EF" w14:textId="77777777" w:rsidR="00430470" w:rsidRPr="00B571D6" w:rsidRDefault="00430470" w:rsidP="00430470">
      <w:pPr>
        <w:pStyle w:val="BlueInfoBox"/>
      </w:pPr>
      <w:hyperlink r:id="rId16" w:history="1">
        <w:r w:rsidRPr="00B571D6">
          <w:rPr>
            <w:rStyle w:val="Hyperlink"/>
            <w:color w:val="FFFFFF" w:themeColor="background1"/>
            <w:lang w:bidi="es-419"/>
          </w:rPr>
          <w:t>Metrics.Questions@odhsoha.oregon.gov</w:t>
        </w:r>
      </w:hyperlink>
    </w:p>
    <w:p w14:paraId="14F33B78" w14:textId="57FBA297" w:rsidR="00430470" w:rsidRPr="00430470" w:rsidRDefault="00430470" w:rsidP="00430470">
      <w:pPr>
        <w:pStyle w:val="BlueInfoBox"/>
        <w:rPr>
          <w:u w:val="single"/>
          <w:lang w:bidi="es-419"/>
        </w:rPr>
      </w:pPr>
      <w:hyperlink r:id="rId17" w:history="1">
        <w:r w:rsidRPr="00EC33FE">
          <w:rPr>
            <w:rStyle w:val="Hyperlink"/>
            <w:color w:val="FFFFFF" w:themeColor="background1"/>
            <w:lang w:bidi="es-419"/>
          </w:rPr>
          <w:t>Indicadores de Calidad de las CCO</w:t>
        </w:r>
      </w:hyperlink>
    </w:p>
    <w:p w14:paraId="100A6F72" w14:textId="77777777" w:rsidR="00430470" w:rsidRDefault="00430470" w:rsidP="00430470">
      <w:pPr>
        <w:ind w:right="594"/>
        <w:rPr>
          <w:lang w:bidi="es-419"/>
        </w:rPr>
      </w:pPr>
    </w:p>
    <w:p w14:paraId="5F2428D7" w14:textId="25E9B497" w:rsidR="00B571D6" w:rsidRPr="00751A6B" w:rsidRDefault="00B571D6" w:rsidP="00430470">
      <w:pPr>
        <w:ind w:left="0"/>
        <w:rPr>
          <w:u w:val="single"/>
          <w:lang w:bidi="es-419"/>
        </w:rPr>
      </w:pPr>
    </w:p>
    <w:sectPr w:rsidR="00B571D6" w:rsidRPr="00751A6B" w:rsidSect="00B571D6">
      <w:headerReference w:type="first" r:id="rId18"/>
      <w:pgSz w:w="12240" w:h="15840" w:code="1"/>
      <w:pgMar w:top="720" w:right="720" w:bottom="720" w:left="72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4DD44" w14:textId="77777777" w:rsidR="00895CB9" w:rsidRDefault="00895CB9" w:rsidP="00D07BCA">
      <w:r>
        <w:separator/>
      </w:r>
    </w:p>
    <w:p w14:paraId="04795618" w14:textId="77777777" w:rsidR="00895CB9" w:rsidRDefault="00895CB9" w:rsidP="00D07BCA"/>
  </w:endnote>
  <w:endnote w:type="continuationSeparator" w:id="0">
    <w:p w14:paraId="1CD3D44C" w14:textId="77777777" w:rsidR="00895CB9" w:rsidRDefault="00895CB9" w:rsidP="00D07BCA">
      <w:r>
        <w:continuationSeparator/>
      </w:r>
    </w:p>
    <w:p w14:paraId="05841C37" w14:textId="77777777" w:rsidR="00895CB9" w:rsidRDefault="00895CB9" w:rsidP="00D07BCA"/>
  </w:endnote>
  <w:endnote w:type="continuationNotice" w:id="1">
    <w:p w14:paraId="4C174382" w14:textId="77777777" w:rsidR="00895CB9" w:rsidRDefault="00895CB9" w:rsidP="00D07BCA"/>
    <w:p w14:paraId="3385A613" w14:textId="77777777" w:rsidR="00895CB9" w:rsidRDefault="00895CB9" w:rsidP="00D07B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panose1 w:val="020B0502040504020204"/>
    <w:charset w:val="00"/>
    <w:family w:val="swiss"/>
    <w:pitch w:val="variable"/>
    <w:sig w:usb0="E00082FF" w:usb1="400078FF" w:usb2="08000029"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oto Serif">
    <w:charset w:val="00"/>
    <w:family w:val="roman"/>
    <w:pitch w:val="variable"/>
    <w:sig w:usb0="E00002FF" w:usb1="500078FF" w:usb2="00000029"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Bold">
    <w:altName w:val="Noto Sans"/>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A8531" w14:textId="50C551B8" w:rsidR="000A5682" w:rsidRPr="00D213DE" w:rsidRDefault="00751A6B" w:rsidP="0037248F">
    <w:pPr>
      <w:pStyle w:val="Footer"/>
    </w:pPr>
    <w:r w:rsidRPr="00D213DE">
      <w:t>Resumen Ejecutivo de Indicadores de las CCO de 2025</w:t>
    </w:r>
    <w:r w:rsidR="000A5682" w:rsidRPr="00D213DE">
      <w:rPr>
        <w:lang w:bidi="es-419"/>
      </w:rPr>
      <w:tab/>
      <w:t xml:space="preserve">Página </w:t>
    </w:r>
    <w:r w:rsidR="000A5682" w:rsidRPr="00D213DE">
      <w:rPr>
        <w:lang w:bidi="es-419"/>
      </w:rPr>
      <w:fldChar w:fldCharType="begin"/>
    </w:r>
    <w:r w:rsidR="000A5682" w:rsidRPr="00D213DE">
      <w:rPr>
        <w:lang w:bidi="es-419"/>
      </w:rPr>
      <w:instrText xml:space="preserve"> PAGE   \* MERGEFORMAT </w:instrText>
    </w:r>
    <w:r w:rsidR="000A5682" w:rsidRPr="00D213DE">
      <w:rPr>
        <w:lang w:bidi="es-419"/>
      </w:rPr>
      <w:fldChar w:fldCharType="separate"/>
    </w:r>
    <w:r w:rsidR="000A5682" w:rsidRPr="00D213DE">
      <w:rPr>
        <w:lang w:bidi="es-419"/>
      </w:rPr>
      <w:t>1</w:t>
    </w:r>
    <w:r w:rsidR="000A5682" w:rsidRPr="00D213DE">
      <w:rPr>
        <w:lang w:bidi="es-419"/>
      </w:rPr>
      <w:fldChar w:fldCharType="end"/>
    </w:r>
    <w:r w:rsidR="000A5682" w:rsidRPr="00D213DE">
      <w:rPr>
        <w:lang w:bidi="es-419"/>
      </w:rPr>
      <w:t xml:space="preserve"> de </w:t>
    </w:r>
    <w:fldSimple w:instr=" NUMPAGES  \* Arabic  \* MERGEFORMAT ">
      <w:r w:rsidR="000A5682" w:rsidRPr="00D213DE">
        <w:rPr>
          <w:lang w:bidi="es-419"/>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3E8B5" w14:textId="76B2C05A" w:rsidR="00F77C55" w:rsidRPr="004125BA" w:rsidRDefault="00751A6B" w:rsidP="0037248F">
    <w:pPr>
      <w:pStyle w:val="Footer"/>
    </w:pPr>
    <w:r w:rsidRPr="004125BA">
      <w:t>Resumen Ejecutivo de Indicadores de las CCO de 2025</w:t>
    </w:r>
    <w:r w:rsidR="00F77C55" w:rsidRPr="004125BA">
      <w:rPr>
        <w:lang w:bidi="es-419"/>
      </w:rPr>
      <w:tab/>
    </w:r>
    <w:r w:rsidR="00F77C55" w:rsidRPr="004125BA">
      <w:rPr>
        <w:lang w:bidi="es-419"/>
      </w:rPr>
      <w:fldChar w:fldCharType="begin"/>
    </w:r>
    <w:r w:rsidR="00F77C55" w:rsidRPr="004125BA">
      <w:rPr>
        <w:lang w:bidi="es-419"/>
      </w:rPr>
      <w:instrText xml:space="preserve"> PAGE   \* MERGEFORMAT </w:instrText>
    </w:r>
    <w:r w:rsidR="00F77C55" w:rsidRPr="004125BA">
      <w:rPr>
        <w:lang w:bidi="es-419"/>
      </w:rPr>
      <w:fldChar w:fldCharType="separate"/>
    </w:r>
    <w:r w:rsidR="00F77C55" w:rsidRPr="004125BA">
      <w:rPr>
        <w:lang w:bidi="es-419"/>
      </w:rPr>
      <w:t>2</w:t>
    </w:r>
    <w:r w:rsidR="00F77C55" w:rsidRPr="004125BA">
      <w:rPr>
        <w:lang w:bidi="es-419"/>
      </w:rPr>
      <w:fldChar w:fldCharType="end"/>
    </w:r>
    <w:r w:rsidR="00F77C55" w:rsidRPr="004125BA">
      <w:rPr>
        <w:lang w:bidi="es-419"/>
      </w:rPr>
      <w:t xml:space="preserve"> de </w:t>
    </w:r>
    <w:fldSimple w:instr=" NUMPAGES  \* Arabic  \* MERGEFORMAT ">
      <w:r w:rsidR="00F77C55" w:rsidRPr="004125BA">
        <w:rPr>
          <w:lang w:bidi="es-419"/>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F9CFB" w14:textId="77777777" w:rsidR="00895CB9" w:rsidRDefault="00895CB9" w:rsidP="00D07BCA">
      <w:r>
        <w:separator/>
      </w:r>
    </w:p>
    <w:p w14:paraId="496655AD" w14:textId="77777777" w:rsidR="00895CB9" w:rsidRDefault="00895CB9" w:rsidP="00D07BCA"/>
  </w:footnote>
  <w:footnote w:type="continuationSeparator" w:id="0">
    <w:p w14:paraId="504DF88B" w14:textId="77777777" w:rsidR="00895CB9" w:rsidRDefault="00895CB9" w:rsidP="00D07BCA">
      <w:r>
        <w:continuationSeparator/>
      </w:r>
    </w:p>
    <w:p w14:paraId="5A44CDD4" w14:textId="77777777" w:rsidR="00895CB9" w:rsidRDefault="00895CB9" w:rsidP="00D07BCA"/>
  </w:footnote>
  <w:footnote w:type="continuationNotice" w:id="1">
    <w:p w14:paraId="37ED2177" w14:textId="77777777" w:rsidR="00895CB9" w:rsidRDefault="00895CB9" w:rsidP="00D07BCA"/>
    <w:p w14:paraId="1F299F8F" w14:textId="77777777" w:rsidR="00895CB9" w:rsidRDefault="00895CB9" w:rsidP="00D07B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FC84A" w14:textId="77777777" w:rsidR="00430470" w:rsidRDefault="004304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5EDA9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8468EA"/>
    <w:lvl w:ilvl="0">
      <w:start w:val="1"/>
      <w:numFmt w:val="decimal"/>
      <w:pStyle w:val="ListNumber4"/>
      <w:lvlText w:val="(%1)"/>
      <w:lvlJc w:val="left"/>
      <w:pPr>
        <w:ind w:left="2340" w:hanging="360"/>
      </w:pPr>
      <w:rPr>
        <w:rFonts w:ascii="Noto Sans" w:hAnsi="Noto Sans" w:hint="default"/>
        <w:color w:val="064276" w:themeColor="text1"/>
      </w:rPr>
    </w:lvl>
  </w:abstractNum>
  <w:abstractNum w:abstractNumId="2" w15:restartNumberingAfterBreak="0">
    <w:nsid w:val="FFFFFF7E"/>
    <w:multiLevelType w:val="singleLevel"/>
    <w:tmpl w:val="3E4A0EEA"/>
    <w:lvl w:ilvl="0">
      <w:start w:val="1"/>
      <w:numFmt w:val="lowerRoman"/>
      <w:pStyle w:val="ListNumber3"/>
      <w:lvlText w:val="%1)"/>
      <w:lvlJc w:val="left"/>
      <w:pPr>
        <w:ind w:left="1980" w:hanging="360"/>
      </w:pPr>
      <w:rPr>
        <w:rFonts w:hint="default"/>
        <w:color w:val="064276" w:themeColor="text1"/>
      </w:rPr>
    </w:lvl>
  </w:abstractNum>
  <w:abstractNum w:abstractNumId="3" w15:restartNumberingAfterBreak="0">
    <w:nsid w:val="FFFFFF7F"/>
    <w:multiLevelType w:val="singleLevel"/>
    <w:tmpl w:val="78E2D8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92DE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52F36C"/>
    <w:lvl w:ilvl="0">
      <w:start w:val="1"/>
      <w:numFmt w:val="bullet"/>
      <w:pStyle w:val="ListBullet4"/>
      <w:lvlText w:val=""/>
      <w:lvlJc w:val="left"/>
      <w:pPr>
        <w:ind w:left="1440" w:hanging="360"/>
      </w:pPr>
      <w:rPr>
        <w:rFonts w:ascii="Wingdings" w:hAnsi="Wingdings" w:hint="default"/>
        <w:color w:val="064276" w:themeColor="text1"/>
      </w:rPr>
    </w:lvl>
  </w:abstractNum>
  <w:abstractNum w:abstractNumId="6" w15:restartNumberingAfterBreak="0">
    <w:nsid w:val="FFFFFF82"/>
    <w:multiLevelType w:val="singleLevel"/>
    <w:tmpl w:val="BA68CF06"/>
    <w:lvl w:ilvl="0">
      <w:start w:val="1"/>
      <w:numFmt w:val="bullet"/>
      <w:pStyle w:val="ListBullet3"/>
      <w:lvlText w:val="▪"/>
      <w:lvlJc w:val="left"/>
      <w:pPr>
        <w:ind w:left="1080" w:hanging="360"/>
      </w:pPr>
      <w:rPr>
        <w:rFonts w:ascii="Noto Serif" w:hAnsi="Noto Serif" w:hint="default"/>
        <w:color w:val="064276" w:themeColor="text1"/>
      </w:rPr>
    </w:lvl>
  </w:abstractNum>
  <w:abstractNum w:abstractNumId="7" w15:restartNumberingAfterBreak="0">
    <w:nsid w:val="FFFFFF83"/>
    <w:multiLevelType w:val="singleLevel"/>
    <w:tmpl w:val="91029832"/>
    <w:lvl w:ilvl="0">
      <w:start w:val="1"/>
      <w:numFmt w:val="bullet"/>
      <w:pStyle w:val="ListBullet2"/>
      <w:lvlText w:val="⸰"/>
      <w:lvlJc w:val="left"/>
      <w:pPr>
        <w:ind w:left="720" w:hanging="360"/>
      </w:pPr>
      <w:rPr>
        <w:rFonts w:ascii="Noto Sans" w:hAnsi="Noto Sans" w:hint="default"/>
        <w:color w:val="064276" w:themeColor="text1"/>
      </w:rPr>
    </w:lvl>
  </w:abstractNum>
  <w:abstractNum w:abstractNumId="8" w15:restartNumberingAfterBreak="0">
    <w:nsid w:val="FFFFFF88"/>
    <w:multiLevelType w:val="singleLevel"/>
    <w:tmpl w:val="628CFF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DC690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06661"/>
    <w:multiLevelType w:val="hybridMultilevel"/>
    <w:tmpl w:val="E334E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FE6302"/>
    <w:multiLevelType w:val="hybridMultilevel"/>
    <w:tmpl w:val="27EC1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1D6D51"/>
    <w:multiLevelType w:val="hybridMultilevel"/>
    <w:tmpl w:val="14B81B7C"/>
    <w:lvl w:ilvl="0" w:tplc="FFFFFFFF">
      <w:start w:val="1"/>
      <w:numFmt w:val="bullet"/>
      <w:lvlText w:val=""/>
      <w:lvlJc w:val="left"/>
      <w:pPr>
        <w:ind w:left="1080" w:hanging="360"/>
      </w:pPr>
      <w:rPr>
        <w:rFonts w:ascii="Symbol" w:hAnsi="Symbol" w:hint="default"/>
        <w:color w:val="004982"/>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1761220E"/>
    <w:multiLevelType w:val="hybridMultilevel"/>
    <w:tmpl w:val="84541878"/>
    <w:lvl w:ilvl="0" w:tplc="FFFFFFFF">
      <w:start w:val="1"/>
      <w:numFmt w:val="bullet"/>
      <w:lvlText w:val=""/>
      <w:lvlJc w:val="left"/>
      <w:pPr>
        <w:ind w:left="1080" w:hanging="360"/>
      </w:pPr>
      <w:rPr>
        <w:rFonts w:ascii="Symbol" w:hAnsi="Symbol" w:hint="default"/>
        <w:color w:val="004982"/>
      </w:rPr>
    </w:lvl>
    <w:lvl w:ilvl="1" w:tplc="39CA7834">
      <w:start w:val="1"/>
      <w:numFmt w:val="bullet"/>
      <w:lvlText w:val="o"/>
      <w:lvlJc w:val="left"/>
      <w:pPr>
        <w:ind w:left="1224"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180D6D76"/>
    <w:multiLevelType w:val="hybridMultilevel"/>
    <w:tmpl w:val="20BC214C"/>
    <w:lvl w:ilvl="0" w:tplc="FFFFFFFF">
      <w:start w:val="1"/>
      <w:numFmt w:val="bullet"/>
      <w:lvlText w:val=""/>
      <w:lvlJc w:val="left"/>
      <w:pPr>
        <w:ind w:left="1080" w:hanging="360"/>
      </w:pPr>
      <w:rPr>
        <w:rFonts w:ascii="Symbol" w:hAnsi="Symbol" w:hint="default"/>
        <w:color w:val="004982"/>
      </w:rPr>
    </w:lvl>
    <w:lvl w:ilvl="1" w:tplc="8F2C2CA4">
      <w:start w:val="1"/>
      <w:numFmt w:val="bullet"/>
      <w:lvlText w:val="o"/>
      <w:lvlJc w:val="left"/>
      <w:pPr>
        <w:ind w:left="1224"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22375EC6"/>
    <w:multiLevelType w:val="multilevel"/>
    <w:tmpl w:val="BA34D02A"/>
    <w:lvl w:ilvl="0">
      <w:start w:val="1"/>
      <w:numFmt w:val="bullet"/>
      <w:pStyle w:val="ListParagraph"/>
      <w:lvlText w:val=""/>
      <w:lvlJc w:val="left"/>
      <w:pPr>
        <w:ind w:left="1296" w:hanging="288"/>
      </w:pPr>
      <w:rPr>
        <w:rFonts w:ascii="Symbol" w:hAnsi="Symbol" w:hint="default"/>
        <w:color w:val="004982"/>
      </w:rPr>
    </w:lvl>
    <w:lvl w:ilvl="1">
      <w:start w:val="1"/>
      <w:numFmt w:val="bullet"/>
      <w:lvlText w:val="o"/>
      <w:lvlJc w:val="left"/>
      <w:pPr>
        <w:ind w:left="1800" w:hanging="432"/>
      </w:pPr>
      <w:rPr>
        <w:rFonts w:ascii="Courier New" w:hAnsi="Courier New" w:hint="default"/>
        <w:color w:val="004982"/>
      </w:rPr>
    </w:lvl>
    <w:lvl w:ilvl="2">
      <w:start w:val="1"/>
      <w:numFmt w:val="bullet"/>
      <w:lvlText w:val=""/>
      <w:lvlJc w:val="left"/>
      <w:pPr>
        <w:ind w:left="2232" w:hanging="432"/>
      </w:pPr>
      <w:rPr>
        <w:rFonts w:ascii="Wingdings" w:hAnsi="Wingdings" w:hint="default"/>
      </w:rPr>
    </w:lvl>
    <w:lvl w:ilvl="3">
      <w:start w:val="1"/>
      <w:numFmt w:val="bullet"/>
      <w:lvlText w:val=""/>
      <w:lvlJc w:val="left"/>
      <w:pPr>
        <w:tabs>
          <w:tab w:val="num" w:pos="2376"/>
        </w:tabs>
        <w:ind w:left="2808" w:hanging="432"/>
      </w:pPr>
      <w:rPr>
        <w:rFonts w:ascii="Symbol" w:hAnsi="Symbol" w:hint="default"/>
      </w:rPr>
    </w:lvl>
    <w:lvl w:ilvl="4">
      <w:start w:val="1"/>
      <w:numFmt w:val="bullet"/>
      <w:lvlText w:val="o"/>
      <w:lvlJc w:val="left"/>
      <w:pPr>
        <w:tabs>
          <w:tab w:val="num" w:pos="2664"/>
        </w:tabs>
        <w:ind w:left="3096" w:hanging="432"/>
      </w:pPr>
      <w:rPr>
        <w:rFonts w:ascii="Courier New" w:hAnsi="Courier New" w:hint="default"/>
      </w:rPr>
    </w:lvl>
    <w:lvl w:ilvl="5">
      <w:start w:val="1"/>
      <w:numFmt w:val="bullet"/>
      <w:lvlText w:val=""/>
      <w:lvlJc w:val="left"/>
      <w:pPr>
        <w:tabs>
          <w:tab w:val="num" w:pos="3096"/>
        </w:tabs>
        <w:ind w:left="3528" w:hanging="432"/>
      </w:pPr>
      <w:rPr>
        <w:rFonts w:ascii="Wingdings" w:hAnsi="Wingdings" w:hint="default"/>
      </w:rPr>
    </w:lvl>
    <w:lvl w:ilvl="6">
      <w:start w:val="1"/>
      <w:numFmt w:val="bullet"/>
      <w:lvlText w:val=""/>
      <w:lvlJc w:val="left"/>
      <w:pPr>
        <w:ind w:left="3816" w:hanging="360"/>
      </w:pPr>
      <w:rPr>
        <w:rFonts w:ascii="Symbol" w:hAnsi="Symbol" w:hint="default"/>
      </w:rPr>
    </w:lvl>
    <w:lvl w:ilvl="7">
      <w:start w:val="1"/>
      <w:numFmt w:val="bullet"/>
      <w:lvlText w:val="o"/>
      <w:lvlJc w:val="left"/>
      <w:pPr>
        <w:ind w:left="4248" w:hanging="432"/>
      </w:pPr>
      <w:rPr>
        <w:rFonts w:ascii="Courier New" w:hAnsi="Courier New" w:hint="default"/>
      </w:rPr>
    </w:lvl>
    <w:lvl w:ilvl="8">
      <w:start w:val="1"/>
      <w:numFmt w:val="bullet"/>
      <w:lvlText w:val=""/>
      <w:lvlJc w:val="left"/>
      <w:pPr>
        <w:ind w:left="4824" w:hanging="432"/>
      </w:pPr>
      <w:rPr>
        <w:rFonts w:ascii="Wingdings" w:hAnsi="Wingdings" w:hint="default"/>
      </w:rPr>
    </w:lvl>
  </w:abstractNum>
  <w:abstractNum w:abstractNumId="16" w15:restartNumberingAfterBreak="0">
    <w:nsid w:val="292A64E5"/>
    <w:multiLevelType w:val="hybridMultilevel"/>
    <w:tmpl w:val="7F48908A"/>
    <w:lvl w:ilvl="0" w:tplc="FFFFFFFF">
      <w:start w:val="1"/>
      <w:numFmt w:val="bullet"/>
      <w:lvlText w:val=""/>
      <w:lvlJc w:val="left"/>
      <w:pPr>
        <w:ind w:left="1080" w:hanging="360"/>
      </w:pPr>
      <w:rPr>
        <w:rFonts w:ascii="Symbol" w:hAnsi="Symbol" w:hint="default"/>
        <w:color w:val="004982"/>
      </w:rPr>
    </w:lvl>
    <w:lvl w:ilvl="1" w:tplc="FFFFFFFF">
      <w:start w:val="1"/>
      <w:numFmt w:val="bullet"/>
      <w:lvlText w:val="o"/>
      <w:lvlJc w:val="left"/>
      <w:pPr>
        <w:ind w:left="1080" w:hanging="216"/>
      </w:pPr>
      <w:rPr>
        <w:rFonts w:ascii="Courier New" w:hAnsi="Courier New" w:hint="default"/>
      </w:rPr>
    </w:lvl>
    <w:lvl w:ilvl="2" w:tplc="99D895C8">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2D8B7A3D"/>
    <w:multiLevelType w:val="hybridMultilevel"/>
    <w:tmpl w:val="4DF412D0"/>
    <w:lvl w:ilvl="0" w:tplc="FFFFFFFF">
      <w:start w:val="1"/>
      <w:numFmt w:val="bullet"/>
      <w:lvlText w:val=""/>
      <w:lvlJc w:val="left"/>
      <w:pPr>
        <w:ind w:left="720" w:hanging="360"/>
      </w:pPr>
      <w:rPr>
        <w:rFonts w:ascii="Symbol" w:hAnsi="Symbol" w:hint="default"/>
        <w:color w:val="004982"/>
      </w:rPr>
    </w:lvl>
    <w:lvl w:ilvl="1" w:tplc="AAF2722C">
      <w:start w:val="1"/>
      <w:numFmt w:val="bullet"/>
      <w:lvlText w:val=""/>
      <w:lvlJc w:val="left"/>
      <w:pPr>
        <w:ind w:left="864" w:hanging="360"/>
      </w:pPr>
      <w:rPr>
        <w:rFonts w:ascii="Symbol" w:hAnsi="Symbol" w:hint="default"/>
        <w:color w:val="004982"/>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55D6859"/>
    <w:multiLevelType w:val="hybridMultilevel"/>
    <w:tmpl w:val="DFF45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0E126B"/>
    <w:multiLevelType w:val="hybridMultilevel"/>
    <w:tmpl w:val="D7EADA7C"/>
    <w:lvl w:ilvl="0" w:tplc="FFFFFFFF">
      <w:start w:val="1"/>
      <w:numFmt w:val="bullet"/>
      <w:lvlText w:val=""/>
      <w:lvlJc w:val="left"/>
      <w:pPr>
        <w:ind w:left="1080" w:hanging="360"/>
      </w:pPr>
      <w:rPr>
        <w:rFonts w:ascii="Symbol" w:hAnsi="Symbol" w:hint="default"/>
        <w:color w:val="004982"/>
      </w:rPr>
    </w:lvl>
    <w:lvl w:ilvl="1" w:tplc="B0F889EC">
      <w:start w:val="1"/>
      <w:numFmt w:val="bullet"/>
      <w:lvlText w:val="o"/>
      <w:lvlJc w:val="left"/>
      <w:pPr>
        <w:ind w:left="108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3F5021A6"/>
    <w:multiLevelType w:val="hybridMultilevel"/>
    <w:tmpl w:val="29645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584433"/>
    <w:multiLevelType w:val="hybridMultilevel"/>
    <w:tmpl w:val="61E4DD30"/>
    <w:lvl w:ilvl="0" w:tplc="8C2A900A">
      <w:start w:val="1"/>
      <w:numFmt w:val="bullet"/>
      <w:lvlText w:val=""/>
      <w:lvlJc w:val="left"/>
      <w:pPr>
        <w:ind w:left="1080" w:hanging="360"/>
      </w:pPr>
      <w:rPr>
        <w:rFonts w:ascii="Symbol" w:hAnsi="Symbol" w:hint="default"/>
        <w:color w:val="004982"/>
      </w:rPr>
    </w:lvl>
    <w:lvl w:ilvl="1" w:tplc="8F2C2CA4">
      <w:start w:val="1"/>
      <w:numFmt w:val="bullet"/>
      <w:lvlText w:val="o"/>
      <w:lvlJc w:val="left"/>
      <w:pPr>
        <w:ind w:left="1080" w:hanging="216"/>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0CF05FC"/>
    <w:multiLevelType w:val="hybridMultilevel"/>
    <w:tmpl w:val="69484D3E"/>
    <w:lvl w:ilvl="0" w:tplc="AAF2722C">
      <w:start w:val="1"/>
      <w:numFmt w:val="bullet"/>
      <w:lvlText w:val=""/>
      <w:lvlJc w:val="left"/>
      <w:pPr>
        <w:ind w:left="720" w:hanging="360"/>
      </w:pPr>
      <w:rPr>
        <w:rFonts w:ascii="Symbol" w:hAnsi="Symbol" w:hint="default"/>
        <w:color w:val="00498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A7554E"/>
    <w:multiLevelType w:val="hybridMultilevel"/>
    <w:tmpl w:val="6B46DAF6"/>
    <w:lvl w:ilvl="0" w:tplc="B79662AE">
      <w:start w:val="1"/>
      <w:numFmt w:val="lowerLetter"/>
      <w:pStyle w:val="ListNumber2"/>
      <w:lvlText w:val="%1)"/>
      <w:lvlJc w:val="left"/>
      <w:pPr>
        <w:ind w:left="2520" w:hanging="360"/>
      </w:pPr>
      <w:rPr>
        <w:rFonts w:hint="default"/>
        <w:color w:val="064276" w:themeColor="text1"/>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428E7F4D"/>
    <w:multiLevelType w:val="hybridMultilevel"/>
    <w:tmpl w:val="E8E2A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D179FB"/>
    <w:multiLevelType w:val="multilevel"/>
    <w:tmpl w:val="D8A6DFEE"/>
    <w:lvl w:ilvl="0">
      <w:start w:val="1"/>
      <w:numFmt w:val="bullet"/>
      <w:lvlText w:val=""/>
      <w:lvlJc w:val="left"/>
      <w:pPr>
        <w:ind w:left="720" w:hanging="360"/>
      </w:pPr>
      <w:rPr>
        <w:rFonts w:ascii="Symbol" w:hAnsi="Symbol" w:hint="default"/>
        <w:color w:val="004982"/>
      </w:rPr>
    </w:lvl>
    <w:lvl w:ilvl="1">
      <w:start w:val="1"/>
      <w:numFmt w:val="bullet"/>
      <w:lvlText w:val="o"/>
      <w:lvlJc w:val="left"/>
      <w:pPr>
        <w:ind w:left="108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3312" w:hanging="432"/>
      </w:pPr>
      <w:rPr>
        <w:rFonts w:ascii="Symbol" w:hAnsi="Symbol" w:hint="default"/>
      </w:rPr>
    </w:lvl>
    <w:lvl w:ilvl="7">
      <w:start w:val="1"/>
      <w:numFmt w:val="bullet"/>
      <w:lvlText w:val="o"/>
      <w:lvlJc w:val="left"/>
      <w:pPr>
        <w:ind w:left="3744" w:hanging="432"/>
      </w:pPr>
      <w:rPr>
        <w:rFonts w:ascii="Courier New" w:hAnsi="Courier New" w:hint="default"/>
      </w:rPr>
    </w:lvl>
    <w:lvl w:ilvl="8">
      <w:start w:val="1"/>
      <w:numFmt w:val="bullet"/>
      <w:lvlText w:val=""/>
      <w:lvlJc w:val="left"/>
      <w:pPr>
        <w:ind w:left="4320" w:hanging="504"/>
      </w:pPr>
      <w:rPr>
        <w:rFonts w:ascii="Wingdings" w:hAnsi="Wingdings" w:hint="default"/>
      </w:rPr>
    </w:lvl>
  </w:abstractNum>
  <w:abstractNum w:abstractNumId="26" w15:restartNumberingAfterBreak="0">
    <w:nsid w:val="4B7E660B"/>
    <w:multiLevelType w:val="hybridMultilevel"/>
    <w:tmpl w:val="B7DE57B2"/>
    <w:lvl w:ilvl="0" w:tplc="C8FE30E8">
      <w:start w:val="1"/>
      <w:numFmt w:val="bullet"/>
      <w:lvlText w:val=""/>
      <w:lvlJc w:val="left"/>
      <w:pPr>
        <w:ind w:left="720" w:hanging="360"/>
      </w:pPr>
      <w:rPr>
        <w:rFonts w:ascii="Symbol" w:hAnsi="Symbol"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9C46F78">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A768AA"/>
    <w:multiLevelType w:val="multilevel"/>
    <w:tmpl w:val="FD24F246"/>
    <w:numStyleLink w:val="Style1"/>
  </w:abstractNum>
  <w:abstractNum w:abstractNumId="28" w15:restartNumberingAfterBreak="0">
    <w:nsid w:val="4D4C1625"/>
    <w:multiLevelType w:val="multilevel"/>
    <w:tmpl w:val="FD24F246"/>
    <w:styleLink w:val="Style1"/>
    <w:lvl w:ilvl="0">
      <w:start w:val="1"/>
      <w:numFmt w:val="bullet"/>
      <w:lvlText w:val=""/>
      <w:lvlJc w:val="left"/>
      <w:pPr>
        <w:ind w:left="720" w:hanging="360"/>
      </w:pPr>
      <w:rPr>
        <w:rFonts w:ascii="Symbol" w:hAnsi="Symbol" w:hint="default"/>
        <w:color w:val="004982"/>
      </w:rPr>
    </w:lvl>
    <w:lvl w:ilvl="1">
      <w:start w:val="1"/>
      <w:numFmt w:val="bullet"/>
      <w:lvlText w:val="o"/>
      <w:lvlJc w:val="left"/>
      <w:pPr>
        <w:ind w:left="108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FA40F3D"/>
    <w:multiLevelType w:val="hybridMultilevel"/>
    <w:tmpl w:val="9ABE09EE"/>
    <w:lvl w:ilvl="0" w:tplc="04090001">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8C2A12"/>
    <w:multiLevelType w:val="hybridMultilevel"/>
    <w:tmpl w:val="32E8555A"/>
    <w:lvl w:ilvl="0" w:tplc="B7C2117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4C70F0"/>
    <w:multiLevelType w:val="hybridMultilevel"/>
    <w:tmpl w:val="DEE0F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485D39"/>
    <w:multiLevelType w:val="hybridMultilevel"/>
    <w:tmpl w:val="D0F4D9F2"/>
    <w:lvl w:ilvl="0" w:tplc="FFFFFFFF">
      <w:start w:val="1"/>
      <w:numFmt w:val="bullet"/>
      <w:lvlText w:val=""/>
      <w:lvlJc w:val="left"/>
      <w:pPr>
        <w:ind w:left="1080" w:hanging="360"/>
      </w:pPr>
      <w:rPr>
        <w:rFonts w:ascii="Symbol" w:hAnsi="Symbol" w:hint="default"/>
        <w:color w:val="004982"/>
      </w:rPr>
    </w:lvl>
    <w:lvl w:ilvl="1" w:tplc="FFFFFFFF">
      <w:start w:val="1"/>
      <w:numFmt w:val="bullet"/>
      <w:lvlText w:val="o"/>
      <w:lvlJc w:val="left"/>
      <w:pPr>
        <w:ind w:left="1080" w:hanging="216"/>
      </w:pPr>
      <w:rPr>
        <w:rFonts w:ascii="Courier New" w:hAnsi="Courier New" w:hint="default"/>
      </w:rPr>
    </w:lvl>
    <w:lvl w:ilvl="2" w:tplc="C32E3BD4">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5D6C39BE"/>
    <w:multiLevelType w:val="multilevel"/>
    <w:tmpl w:val="6CCA182A"/>
    <w:lvl w:ilvl="0">
      <w:start w:val="1"/>
      <w:numFmt w:val="bullet"/>
      <w:lvlText w:val=""/>
      <w:lvlJc w:val="left"/>
      <w:pPr>
        <w:ind w:left="1296" w:hanging="288"/>
      </w:pPr>
      <w:rPr>
        <w:rFonts w:ascii="Symbol" w:hAnsi="Symbol" w:hint="default"/>
        <w:color w:val="004982"/>
      </w:rPr>
    </w:lvl>
    <w:lvl w:ilvl="1">
      <w:start w:val="1"/>
      <w:numFmt w:val="bullet"/>
      <w:lvlText w:val="o"/>
      <w:lvlJc w:val="left"/>
      <w:pPr>
        <w:ind w:left="180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3312" w:hanging="432"/>
      </w:pPr>
      <w:rPr>
        <w:rFonts w:ascii="Symbol" w:hAnsi="Symbol" w:hint="default"/>
      </w:rPr>
    </w:lvl>
    <w:lvl w:ilvl="7">
      <w:start w:val="1"/>
      <w:numFmt w:val="bullet"/>
      <w:lvlText w:val="o"/>
      <w:lvlJc w:val="left"/>
      <w:pPr>
        <w:ind w:left="3744" w:hanging="432"/>
      </w:pPr>
      <w:rPr>
        <w:rFonts w:ascii="Courier New" w:hAnsi="Courier New" w:hint="default"/>
      </w:rPr>
    </w:lvl>
    <w:lvl w:ilvl="8">
      <w:start w:val="1"/>
      <w:numFmt w:val="bullet"/>
      <w:lvlText w:val=""/>
      <w:lvlJc w:val="left"/>
      <w:pPr>
        <w:ind w:left="4320" w:hanging="504"/>
      </w:pPr>
      <w:rPr>
        <w:rFonts w:ascii="Wingdings" w:hAnsi="Wingdings" w:hint="default"/>
      </w:rPr>
    </w:lvl>
  </w:abstractNum>
  <w:abstractNum w:abstractNumId="34" w15:restartNumberingAfterBreak="0">
    <w:nsid w:val="5E292439"/>
    <w:multiLevelType w:val="hybridMultilevel"/>
    <w:tmpl w:val="7ABE6390"/>
    <w:lvl w:ilvl="0" w:tplc="FFFFFFFF">
      <w:start w:val="1"/>
      <w:numFmt w:val="bullet"/>
      <w:lvlText w:val=""/>
      <w:lvlJc w:val="left"/>
      <w:pPr>
        <w:ind w:left="1080" w:hanging="360"/>
      </w:pPr>
      <w:rPr>
        <w:rFonts w:ascii="Symbol" w:hAnsi="Symbol" w:hint="default"/>
        <w:color w:val="004982"/>
      </w:rPr>
    </w:lvl>
    <w:lvl w:ilvl="1" w:tplc="E9D0921C">
      <w:start w:val="1"/>
      <w:numFmt w:val="bullet"/>
      <w:lvlText w:val="o"/>
      <w:lvlJc w:val="left"/>
      <w:pPr>
        <w:ind w:left="108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618F7A41"/>
    <w:multiLevelType w:val="hybridMultilevel"/>
    <w:tmpl w:val="A33480DE"/>
    <w:lvl w:ilvl="0" w:tplc="FFFFFFFF">
      <w:start w:val="1"/>
      <w:numFmt w:val="bullet"/>
      <w:lvlText w:val=""/>
      <w:lvlJc w:val="left"/>
      <w:pPr>
        <w:ind w:left="1080" w:hanging="360"/>
      </w:pPr>
      <w:rPr>
        <w:rFonts w:ascii="Symbol" w:hAnsi="Symbol" w:hint="default"/>
        <w:color w:val="004982"/>
      </w:rPr>
    </w:lvl>
    <w:lvl w:ilvl="1" w:tplc="39CA7834">
      <w:start w:val="1"/>
      <w:numFmt w:val="bullet"/>
      <w:lvlText w:val="o"/>
      <w:lvlJc w:val="left"/>
      <w:pPr>
        <w:ind w:left="144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68A12600"/>
    <w:multiLevelType w:val="hybridMultilevel"/>
    <w:tmpl w:val="6FAA4E12"/>
    <w:lvl w:ilvl="0" w:tplc="FFFFFFFF">
      <w:start w:val="1"/>
      <w:numFmt w:val="bullet"/>
      <w:lvlText w:val=""/>
      <w:lvlJc w:val="left"/>
      <w:pPr>
        <w:ind w:left="1080" w:hanging="360"/>
      </w:pPr>
      <w:rPr>
        <w:rFonts w:ascii="Symbol" w:hAnsi="Symbol" w:hint="default"/>
        <w:color w:val="004982"/>
      </w:rPr>
    </w:lvl>
    <w:lvl w:ilvl="1" w:tplc="04090009">
      <w:start w:val="1"/>
      <w:numFmt w:val="bullet"/>
      <w:lvlText w:val=""/>
      <w:lvlJc w:val="left"/>
      <w:pPr>
        <w:ind w:left="1224"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6A5A5E2F"/>
    <w:multiLevelType w:val="hybridMultilevel"/>
    <w:tmpl w:val="B5D67EEA"/>
    <w:lvl w:ilvl="0" w:tplc="5A76C690">
      <w:start w:val="1"/>
      <w:numFmt w:val="decimal"/>
      <w:pStyle w:val="ListNumber"/>
      <w:lvlText w:val="%1)"/>
      <w:lvlJc w:val="left"/>
      <w:pPr>
        <w:ind w:left="2160" w:hanging="360"/>
      </w:pPr>
      <w:rPr>
        <w:rFonts w:hint="default"/>
        <w:color w:val="064276" w:themeColor="text1"/>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77B22873"/>
    <w:multiLevelType w:val="hybridMultilevel"/>
    <w:tmpl w:val="9D786C40"/>
    <w:lvl w:ilvl="0" w:tplc="04090001">
      <w:start w:val="1"/>
      <w:numFmt w:val="bullet"/>
      <w:lvlText w:val=""/>
      <w:lvlJc w:val="left"/>
      <w:pPr>
        <w:ind w:left="720" w:hanging="360"/>
      </w:pPr>
      <w:rPr>
        <w:rFonts w:ascii="Symbol" w:hAnsi="Symbol" w:hint="default"/>
        <w:color w:val="0070C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A1E31B9"/>
    <w:multiLevelType w:val="multilevel"/>
    <w:tmpl w:val="FD24F246"/>
    <w:numStyleLink w:val="Style1"/>
  </w:abstractNum>
  <w:abstractNum w:abstractNumId="40" w15:restartNumberingAfterBreak="0">
    <w:nsid w:val="7F7864BF"/>
    <w:multiLevelType w:val="multilevel"/>
    <w:tmpl w:val="FD24F246"/>
    <w:numStyleLink w:val="Style1"/>
  </w:abstractNum>
  <w:num w:numId="1" w16cid:durableId="1070928473">
    <w:abstractNumId w:val="10"/>
  </w:num>
  <w:num w:numId="2" w16cid:durableId="575823337">
    <w:abstractNumId w:val="30"/>
  </w:num>
  <w:num w:numId="3" w16cid:durableId="1879270990">
    <w:abstractNumId w:val="9"/>
  </w:num>
  <w:num w:numId="4" w16cid:durableId="2089574190">
    <w:abstractNumId w:val="7"/>
  </w:num>
  <w:num w:numId="5" w16cid:durableId="639924890">
    <w:abstractNumId w:val="6"/>
  </w:num>
  <w:num w:numId="6" w16cid:durableId="1157264580">
    <w:abstractNumId w:val="5"/>
  </w:num>
  <w:num w:numId="7" w16cid:durableId="1316370356">
    <w:abstractNumId w:val="4"/>
  </w:num>
  <w:num w:numId="8" w16cid:durableId="1166093034">
    <w:abstractNumId w:val="8"/>
  </w:num>
  <w:num w:numId="9" w16cid:durableId="389504662">
    <w:abstractNumId w:val="3"/>
  </w:num>
  <w:num w:numId="10" w16cid:durableId="1955625935">
    <w:abstractNumId w:val="2"/>
  </w:num>
  <w:num w:numId="11" w16cid:durableId="2014604944">
    <w:abstractNumId w:val="1"/>
  </w:num>
  <w:num w:numId="12" w16cid:durableId="1302232061">
    <w:abstractNumId w:val="0"/>
  </w:num>
  <w:num w:numId="13" w16cid:durableId="2060740632">
    <w:abstractNumId w:val="26"/>
  </w:num>
  <w:num w:numId="14" w16cid:durableId="1997487396">
    <w:abstractNumId w:val="38"/>
  </w:num>
  <w:num w:numId="15" w16cid:durableId="1128282644">
    <w:abstractNumId w:val="20"/>
  </w:num>
  <w:num w:numId="16" w16cid:durableId="819227236">
    <w:abstractNumId w:val="29"/>
  </w:num>
  <w:num w:numId="17" w16cid:durableId="619459301">
    <w:abstractNumId w:val="21"/>
  </w:num>
  <w:num w:numId="18" w16cid:durableId="1077097201">
    <w:abstractNumId w:val="11"/>
  </w:num>
  <w:num w:numId="19" w16cid:durableId="266429244">
    <w:abstractNumId w:val="24"/>
  </w:num>
  <w:num w:numId="20" w16cid:durableId="579490002">
    <w:abstractNumId w:val="22"/>
  </w:num>
  <w:num w:numId="21" w16cid:durableId="1354840592">
    <w:abstractNumId w:val="34"/>
  </w:num>
  <w:num w:numId="22" w16cid:durableId="335155256">
    <w:abstractNumId w:val="32"/>
  </w:num>
  <w:num w:numId="23" w16cid:durableId="1343698342">
    <w:abstractNumId w:val="19"/>
  </w:num>
  <w:num w:numId="24" w16cid:durableId="1918586132">
    <w:abstractNumId w:val="16"/>
  </w:num>
  <w:num w:numId="25" w16cid:durableId="353195247">
    <w:abstractNumId w:val="14"/>
  </w:num>
  <w:num w:numId="26" w16cid:durableId="361439353">
    <w:abstractNumId w:val="12"/>
  </w:num>
  <w:num w:numId="27" w16cid:durableId="1784763786">
    <w:abstractNumId w:val="35"/>
  </w:num>
  <w:num w:numId="28" w16cid:durableId="523178957">
    <w:abstractNumId w:val="13"/>
  </w:num>
  <w:num w:numId="29" w16cid:durableId="2102294116">
    <w:abstractNumId w:val="36"/>
  </w:num>
  <w:num w:numId="30" w16cid:durableId="1458454652">
    <w:abstractNumId w:val="17"/>
  </w:num>
  <w:num w:numId="31" w16cid:durableId="1156147490">
    <w:abstractNumId w:val="28"/>
  </w:num>
  <w:num w:numId="32" w16cid:durableId="1700546299">
    <w:abstractNumId w:val="27"/>
  </w:num>
  <w:num w:numId="33" w16cid:durableId="1290166584">
    <w:abstractNumId w:val="40"/>
  </w:num>
  <w:num w:numId="34" w16cid:durableId="1540703377">
    <w:abstractNumId w:val="15"/>
  </w:num>
  <w:num w:numId="35" w16cid:durableId="513344337">
    <w:abstractNumId w:val="39"/>
  </w:num>
  <w:num w:numId="36" w16cid:durableId="1651709551">
    <w:abstractNumId w:val="25"/>
  </w:num>
  <w:num w:numId="37" w16cid:durableId="128473793">
    <w:abstractNumId w:val="33"/>
  </w:num>
  <w:num w:numId="38" w16cid:durableId="914314731">
    <w:abstractNumId w:val="37"/>
  </w:num>
  <w:num w:numId="39" w16cid:durableId="268438679">
    <w:abstractNumId w:val="23"/>
  </w:num>
  <w:num w:numId="40" w16cid:durableId="782192702">
    <w:abstractNumId w:val="8"/>
  </w:num>
  <w:num w:numId="41" w16cid:durableId="1660499655">
    <w:abstractNumId w:val="18"/>
  </w:num>
  <w:num w:numId="42" w16cid:durableId="20862255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FkVcAcQZWXr88KSPu3rYexzh0yTRXCnnTWXwODBRSghBXCz9ivwxaU4JlV3XW6H3DlNS3oA/qIO8Kr5Y6YK9aQ==" w:salt="7MIpjcxoaKoBjCBr7/IJZA=="/>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AxMzIyMDYxtrSwNDdQ0lEKTi0uzszPAykwqgUADim44SwAAAA="/>
  </w:docVars>
  <w:rsids>
    <w:rsidRoot w:val="00CE1F36"/>
    <w:rsid w:val="000171AD"/>
    <w:rsid w:val="00017BFA"/>
    <w:rsid w:val="00023303"/>
    <w:rsid w:val="000243B1"/>
    <w:rsid w:val="00024B42"/>
    <w:rsid w:val="00025097"/>
    <w:rsid w:val="00032BEC"/>
    <w:rsid w:val="0004263D"/>
    <w:rsid w:val="00051C8D"/>
    <w:rsid w:val="0005373E"/>
    <w:rsid w:val="00055FCA"/>
    <w:rsid w:val="00057801"/>
    <w:rsid w:val="00062A55"/>
    <w:rsid w:val="00067B31"/>
    <w:rsid w:val="0007343F"/>
    <w:rsid w:val="00074916"/>
    <w:rsid w:val="000751D4"/>
    <w:rsid w:val="00082E0B"/>
    <w:rsid w:val="00083487"/>
    <w:rsid w:val="00090664"/>
    <w:rsid w:val="000947A0"/>
    <w:rsid w:val="00097644"/>
    <w:rsid w:val="000A0FB4"/>
    <w:rsid w:val="000A5682"/>
    <w:rsid w:val="000A5C8B"/>
    <w:rsid w:val="000B4489"/>
    <w:rsid w:val="000B4880"/>
    <w:rsid w:val="000B778A"/>
    <w:rsid w:val="000C0203"/>
    <w:rsid w:val="000C0439"/>
    <w:rsid w:val="000C1471"/>
    <w:rsid w:val="000C1C28"/>
    <w:rsid w:val="000D0AF2"/>
    <w:rsid w:val="000D1229"/>
    <w:rsid w:val="000D48C8"/>
    <w:rsid w:val="000D5656"/>
    <w:rsid w:val="000D729E"/>
    <w:rsid w:val="000E247B"/>
    <w:rsid w:val="000E7379"/>
    <w:rsid w:val="000F4D85"/>
    <w:rsid w:val="000F7324"/>
    <w:rsid w:val="0011683D"/>
    <w:rsid w:val="00120ED5"/>
    <w:rsid w:val="00122691"/>
    <w:rsid w:val="001255B3"/>
    <w:rsid w:val="0012719F"/>
    <w:rsid w:val="00127EE2"/>
    <w:rsid w:val="0014263E"/>
    <w:rsid w:val="00155E43"/>
    <w:rsid w:val="0016149E"/>
    <w:rsid w:val="00163D51"/>
    <w:rsid w:val="0016454B"/>
    <w:rsid w:val="0016510F"/>
    <w:rsid w:val="00167142"/>
    <w:rsid w:val="00172EE2"/>
    <w:rsid w:val="00174E6B"/>
    <w:rsid w:val="0017534F"/>
    <w:rsid w:val="00176200"/>
    <w:rsid w:val="00180D46"/>
    <w:rsid w:val="00183693"/>
    <w:rsid w:val="00184D6B"/>
    <w:rsid w:val="001859E7"/>
    <w:rsid w:val="00187453"/>
    <w:rsid w:val="00195F6C"/>
    <w:rsid w:val="001A4271"/>
    <w:rsid w:val="001B0202"/>
    <w:rsid w:val="001B0E80"/>
    <w:rsid w:val="001B20BA"/>
    <w:rsid w:val="001B556A"/>
    <w:rsid w:val="001C3665"/>
    <w:rsid w:val="001C695B"/>
    <w:rsid w:val="001D1227"/>
    <w:rsid w:val="001D1E2F"/>
    <w:rsid w:val="001D4ACC"/>
    <w:rsid w:val="001E15D1"/>
    <w:rsid w:val="001F0AC0"/>
    <w:rsid w:val="001F1838"/>
    <w:rsid w:val="00200103"/>
    <w:rsid w:val="00200C6E"/>
    <w:rsid w:val="00206274"/>
    <w:rsid w:val="002119D7"/>
    <w:rsid w:val="00216C13"/>
    <w:rsid w:val="00216C3F"/>
    <w:rsid w:val="002204E2"/>
    <w:rsid w:val="0022769A"/>
    <w:rsid w:val="002279D6"/>
    <w:rsid w:val="00233B19"/>
    <w:rsid w:val="00244C45"/>
    <w:rsid w:val="00245A55"/>
    <w:rsid w:val="00251F1E"/>
    <w:rsid w:val="00252794"/>
    <w:rsid w:val="002542C4"/>
    <w:rsid w:val="00264AA8"/>
    <w:rsid w:val="0026554E"/>
    <w:rsid w:val="00267DD0"/>
    <w:rsid w:val="00267E0E"/>
    <w:rsid w:val="0027198E"/>
    <w:rsid w:val="00271D57"/>
    <w:rsid w:val="00273925"/>
    <w:rsid w:val="00277519"/>
    <w:rsid w:val="00277C0B"/>
    <w:rsid w:val="00280857"/>
    <w:rsid w:val="0028357F"/>
    <w:rsid w:val="00297F87"/>
    <w:rsid w:val="002A4003"/>
    <w:rsid w:val="002A4F33"/>
    <w:rsid w:val="002A68DE"/>
    <w:rsid w:val="002B6ADD"/>
    <w:rsid w:val="002C164F"/>
    <w:rsid w:val="002C7B2F"/>
    <w:rsid w:val="002D0733"/>
    <w:rsid w:val="002D5A91"/>
    <w:rsid w:val="002E16F7"/>
    <w:rsid w:val="002E37B6"/>
    <w:rsid w:val="002E5587"/>
    <w:rsid w:val="002F15C4"/>
    <w:rsid w:val="002F3F4C"/>
    <w:rsid w:val="002F55BB"/>
    <w:rsid w:val="002F7E40"/>
    <w:rsid w:val="00300BD0"/>
    <w:rsid w:val="00306346"/>
    <w:rsid w:val="00311741"/>
    <w:rsid w:val="00325CF6"/>
    <w:rsid w:val="00326440"/>
    <w:rsid w:val="00327B04"/>
    <w:rsid w:val="00332EC7"/>
    <w:rsid w:val="00335453"/>
    <w:rsid w:val="00335A4C"/>
    <w:rsid w:val="00337A69"/>
    <w:rsid w:val="00342D67"/>
    <w:rsid w:val="00347FD2"/>
    <w:rsid w:val="00350FBE"/>
    <w:rsid w:val="003516F4"/>
    <w:rsid w:val="00355B3E"/>
    <w:rsid w:val="00360406"/>
    <w:rsid w:val="00360B9D"/>
    <w:rsid w:val="003618A4"/>
    <w:rsid w:val="003668DF"/>
    <w:rsid w:val="00366DE6"/>
    <w:rsid w:val="0037248F"/>
    <w:rsid w:val="00372705"/>
    <w:rsid w:val="00380520"/>
    <w:rsid w:val="0038134F"/>
    <w:rsid w:val="0038439F"/>
    <w:rsid w:val="0039075B"/>
    <w:rsid w:val="003911ED"/>
    <w:rsid w:val="00396D07"/>
    <w:rsid w:val="003A6DFD"/>
    <w:rsid w:val="003B64E8"/>
    <w:rsid w:val="003C1977"/>
    <w:rsid w:val="003C4792"/>
    <w:rsid w:val="003D3C7D"/>
    <w:rsid w:val="003D6495"/>
    <w:rsid w:val="003D72CA"/>
    <w:rsid w:val="003D7E6A"/>
    <w:rsid w:val="003E1832"/>
    <w:rsid w:val="003E3249"/>
    <w:rsid w:val="003E6195"/>
    <w:rsid w:val="003F1D62"/>
    <w:rsid w:val="003F5FEE"/>
    <w:rsid w:val="004005AC"/>
    <w:rsid w:val="00401C75"/>
    <w:rsid w:val="00401D83"/>
    <w:rsid w:val="004100F8"/>
    <w:rsid w:val="004106AE"/>
    <w:rsid w:val="004125BA"/>
    <w:rsid w:val="00415083"/>
    <w:rsid w:val="00417B83"/>
    <w:rsid w:val="00420671"/>
    <w:rsid w:val="00423D71"/>
    <w:rsid w:val="0042628D"/>
    <w:rsid w:val="00430470"/>
    <w:rsid w:val="004316F6"/>
    <w:rsid w:val="004321E2"/>
    <w:rsid w:val="00432549"/>
    <w:rsid w:val="004339F3"/>
    <w:rsid w:val="00435106"/>
    <w:rsid w:val="00437835"/>
    <w:rsid w:val="004442F2"/>
    <w:rsid w:val="004469F1"/>
    <w:rsid w:val="0045478B"/>
    <w:rsid w:val="00455C82"/>
    <w:rsid w:val="00457049"/>
    <w:rsid w:val="00457F62"/>
    <w:rsid w:val="00461921"/>
    <w:rsid w:val="00463D31"/>
    <w:rsid w:val="00471C48"/>
    <w:rsid w:val="00471D48"/>
    <w:rsid w:val="00476F25"/>
    <w:rsid w:val="00484CAF"/>
    <w:rsid w:val="004869DA"/>
    <w:rsid w:val="00487120"/>
    <w:rsid w:val="00491EBB"/>
    <w:rsid w:val="004956EA"/>
    <w:rsid w:val="0049637E"/>
    <w:rsid w:val="004A0164"/>
    <w:rsid w:val="004A3C46"/>
    <w:rsid w:val="004A4AC0"/>
    <w:rsid w:val="004A4F94"/>
    <w:rsid w:val="004C1AC2"/>
    <w:rsid w:val="004C1C12"/>
    <w:rsid w:val="004C7316"/>
    <w:rsid w:val="004D3011"/>
    <w:rsid w:val="004D41B6"/>
    <w:rsid w:val="004D73D1"/>
    <w:rsid w:val="004E1088"/>
    <w:rsid w:val="004E14A1"/>
    <w:rsid w:val="004E262C"/>
    <w:rsid w:val="004E3870"/>
    <w:rsid w:val="004F2FCA"/>
    <w:rsid w:val="004F7326"/>
    <w:rsid w:val="00501009"/>
    <w:rsid w:val="0050179B"/>
    <w:rsid w:val="0050222D"/>
    <w:rsid w:val="005032E0"/>
    <w:rsid w:val="0050661C"/>
    <w:rsid w:val="005076AA"/>
    <w:rsid w:val="00513BBC"/>
    <w:rsid w:val="005171C8"/>
    <w:rsid w:val="0052283E"/>
    <w:rsid w:val="00524079"/>
    <w:rsid w:val="00526BB2"/>
    <w:rsid w:val="00527915"/>
    <w:rsid w:val="00530583"/>
    <w:rsid w:val="005323F7"/>
    <w:rsid w:val="00537F8D"/>
    <w:rsid w:val="00542DB7"/>
    <w:rsid w:val="005539D6"/>
    <w:rsid w:val="00557A95"/>
    <w:rsid w:val="005660D5"/>
    <w:rsid w:val="00571C08"/>
    <w:rsid w:val="00572485"/>
    <w:rsid w:val="00580F22"/>
    <w:rsid w:val="00583F43"/>
    <w:rsid w:val="0058410B"/>
    <w:rsid w:val="0059472C"/>
    <w:rsid w:val="00594A6A"/>
    <w:rsid w:val="00595C43"/>
    <w:rsid w:val="005B3504"/>
    <w:rsid w:val="005B5AD4"/>
    <w:rsid w:val="005B7083"/>
    <w:rsid w:val="005C1D91"/>
    <w:rsid w:val="005C222A"/>
    <w:rsid w:val="005C55FC"/>
    <w:rsid w:val="005D07FF"/>
    <w:rsid w:val="005D3C47"/>
    <w:rsid w:val="005E301A"/>
    <w:rsid w:val="005E3EB7"/>
    <w:rsid w:val="005F3008"/>
    <w:rsid w:val="005F3ECF"/>
    <w:rsid w:val="005F438F"/>
    <w:rsid w:val="005F55ED"/>
    <w:rsid w:val="005F705D"/>
    <w:rsid w:val="00603262"/>
    <w:rsid w:val="00606C15"/>
    <w:rsid w:val="00610603"/>
    <w:rsid w:val="00611B53"/>
    <w:rsid w:val="00612615"/>
    <w:rsid w:val="00621224"/>
    <w:rsid w:val="006218E4"/>
    <w:rsid w:val="006341AA"/>
    <w:rsid w:val="00660405"/>
    <w:rsid w:val="00660751"/>
    <w:rsid w:val="006626BA"/>
    <w:rsid w:val="006767DA"/>
    <w:rsid w:val="00683762"/>
    <w:rsid w:val="00690A3D"/>
    <w:rsid w:val="00691495"/>
    <w:rsid w:val="00692210"/>
    <w:rsid w:val="006A5547"/>
    <w:rsid w:val="006A7AA5"/>
    <w:rsid w:val="006B2D3E"/>
    <w:rsid w:val="006B2FA0"/>
    <w:rsid w:val="006C09EE"/>
    <w:rsid w:val="006C73BB"/>
    <w:rsid w:val="006D1633"/>
    <w:rsid w:val="006D5875"/>
    <w:rsid w:val="006D7693"/>
    <w:rsid w:val="006E612C"/>
    <w:rsid w:val="006E79BE"/>
    <w:rsid w:val="006F048A"/>
    <w:rsid w:val="006F3C71"/>
    <w:rsid w:val="006F74C3"/>
    <w:rsid w:val="00701583"/>
    <w:rsid w:val="00707F23"/>
    <w:rsid w:val="007214BD"/>
    <w:rsid w:val="007227D1"/>
    <w:rsid w:val="00724C94"/>
    <w:rsid w:val="00727646"/>
    <w:rsid w:val="0073402B"/>
    <w:rsid w:val="00735108"/>
    <w:rsid w:val="0074003D"/>
    <w:rsid w:val="00740483"/>
    <w:rsid w:val="007448CA"/>
    <w:rsid w:val="007465F8"/>
    <w:rsid w:val="00747BC1"/>
    <w:rsid w:val="00751A6B"/>
    <w:rsid w:val="00752719"/>
    <w:rsid w:val="00752C8C"/>
    <w:rsid w:val="00757B34"/>
    <w:rsid w:val="00757E4B"/>
    <w:rsid w:val="00761EFB"/>
    <w:rsid w:val="00771A05"/>
    <w:rsid w:val="007743DD"/>
    <w:rsid w:val="00775A96"/>
    <w:rsid w:val="00776350"/>
    <w:rsid w:val="00777B0A"/>
    <w:rsid w:val="00782D79"/>
    <w:rsid w:val="0078355B"/>
    <w:rsid w:val="00783F23"/>
    <w:rsid w:val="0078490F"/>
    <w:rsid w:val="00786B50"/>
    <w:rsid w:val="00793A06"/>
    <w:rsid w:val="00795837"/>
    <w:rsid w:val="00795A82"/>
    <w:rsid w:val="00796C2B"/>
    <w:rsid w:val="00797C0E"/>
    <w:rsid w:val="007A1F8A"/>
    <w:rsid w:val="007A218A"/>
    <w:rsid w:val="007A673D"/>
    <w:rsid w:val="007B6885"/>
    <w:rsid w:val="007B6A1E"/>
    <w:rsid w:val="007B6AFF"/>
    <w:rsid w:val="007C11B1"/>
    <w:rsid w:val="007C54C1"/>
    <w:rsid w:val="007F656B"/>
    <w:rsid w:val="00801A05"/>
    <w:rsid w:val="00804F15"/>
    <w:rsid w:val="008060A9"/>
    <w:rsid w:val="008137F7"/>
    <w:rsid w:val="00813982"/>
    <w:rsid w:val="00814719"/>
    <w:rsid w:val="00822D8F"/>
    <w:rsid w:val="00825D9E"/>
    <w:rsid w:val="00831996"/>
    <w:rsid w:val="008329F5"/>
    <w:rsid w:val="00832A66"/>
    <w:rsid w:val="00835F1B"/>
    <w:rsid w:val="0083611B"/>
    <w:rsid w:val="00845DAF"/>
    <w:rsid w:val="00852C07"/>
    <w:rsid w:val="0085433C"/>
    <w:rsid w:val="00863F52"/>
    <w:rsid w:val="0086404A"/>
    <w:rsid w:val="00866966"/>
    <w:rsid w:val="008704E3"/>
    <w:rsid w:val="00872AC8"/>
    <w:rsid w:val="008771F8"/>
    <w:rsid w:val="00882382"/>
    <w:rsid w:val="00883FA1"/>
    <w:rsid w:val="00885D0C"/>
    <w:rsid w:val="00886500"/>
    <w:rsid w:val="00887DBC"/>
    <w:rsid w:val="00887F78"/>
    <w:rsid w:val="00890E98"/>
    <w:rsid w:val="00891EF1"/>
    <w:rsid w:val="0089201D"/>
    <w:rsid w:val="00895CB9"/>
    <w:rsid w:val="00897E34"/>
    <w:rsid w:val="008B488F"/>
    <w:rsid w:val="008B7B88"/>
    <w:rsid w:val="008C2A07"/>
    <w:rsid w:val="008C3A9A"/>
    <w:rsid w:val="008C3F60"/>
    <w:rsid w:val="008D26F1"/>
    <w:rsid w:val="008D4D79"/>
    <w:rsid w:val="008E1E1B"/>
    <w:rsid w:val="008E2F39"/>
    <w:rsid w:val="008F58CA"/>
    <w:rsid w:val="008F621C"/>
    <w:rsid w:val="008F76C3"/>
    <w:rsid w:val="00900939"/>
    <w:rsid w:val="009046BC"/>
    <w:rsid w:val="00910E7C"/>
    <w:rsid w:val="00923F81"/>
    <w:rsid w:val="00936F17"/>
    <w:rsid w:val="009371AD"/>
    <w:rsid w:val="009465F3"/>
    <w:rsid w:val="009530FD"/>
    <w:rsid w:val="00961095"/>
    <w:rsid w:val="00961449"/>
    <w:rsid w:val="0096698E"/>
    <w:rsid w:val="0097248F"/>
    <w:rsid w:val="009724A4"/>
    <w:rsid w:val="009724E2"/>
    <w:rsid w:val="00972B98"/>
    <w:rsid w:val="0097454A"/>
    <w:rsid w:val="00975BBB"/>
    <w:rsid w:val="0097758A"/>
    <w:rsid w:val="00992456"/>
    <w:rsid w:val="00997781"/>
    <w:rsid w:val="009A180F"/>
    <w:rsid w:val="009A788A"/>
    <w:rsid w:val="009B0544"/>
    <w:rsid w:val="009C27B0"/>
    <w:rsid w:val="009D75A0"/>
    <w:rsid w:val="009E1FE2"/>
    <w:rsid w:val="009E43F8"/>
    <w:rsid w:val="009E4554"/>
    <w:rsid w:val="009E6DCF"/>
    <w:rsid w:val="009F11A5"/>
    <w:rsid w:val="009F32BA"/>
    <w:rsid w:val="009F72BE"/>
    <w:rsid w:val="00A007AF"/>
    <w:rsid w:val="00A02DDE"/>
    <w:rsid w:val="00A0338B"/>
    <w:rsid w:val="00A03EF0"/>
    <w:rsid w:val="00A1226E"/>
    <w:rsid w:val="00A13963"/>
    <w:rsid w:val="00A17C82"/>
    <w:rsid w:val="00A23BAB"/>
    <w:rsid w:val="00A25366"/>
    <w:rsid w:val="00A31687"/>
    <w:rsid w:val="00A43BD8"/>
    <w:rsid w:val="00A51D09"/>
    <w:rsid w:val="00A52332"/>
    <w:rsid w:val="00A52E85"/>
    <w:rsid w:val="00A579FB"/>
    <w:rsid w:val="00A63B93"/>
    <w:rsid w:val="00A71B8E"/>
    <w:rsid w:val="00A74358"/>
    <w:rsid w:val="00A759FA"/>
    <w:rsid w:val="00A7782C"/>
    <w:rsid w:val="00A86907"/>
    <w:rsid w:val="00A93C94"/>
    <w:rsid w:val="00A96155"/>
    <w:rsid w:val="00A96532"/>
    <w:rsid w:val="00AA1584"/>
    <w:rsid w:val="00AA5A18"/>
    <w:rsid w:val="00AA74F3"/>
    <w:rsid w:val="00AB36E2"/>
    <w:rsid w:val="00AB3C19"/>
    <w:rsid w:val="00AC4CC9"/>
    <w:rsid w:val="00AD41CE"/>
    <w:rsid w:val="00AD554A"/>
    <w:rsid w:val="00AD6C3D"/>
    <w:rsid w:val="00AE0041"/>
    <w:rsid w:val="00AE51D3"/>
    <w:rsid w:val="00AE5B1C"/>
    <w:rsid w:val="00AE5E14"/>
    <w:rsid w:val="00AF63E4"/>
    <w:rsid w:val="00AF6E2F"/>
    <w:rsid w:val="00B049E6"/>
    <w:rsid w:val="00B052D0"/>
    <w:rsid w:val="00B15AC0"/>
    <w:rsid w:val="00B20B03"/>
    <w:rsid w:val="00B20E49"/>
    <w:rsid w:val="00B2317D"/>
    <w:rsid w:val="00B2370E"/>
    <w:rsid w:val="00B2771A"/>
    <w:rsid w:val="00B31224"/>
    <w:rsid w:val="00B327F9"/>
    <w:rsid w:val="00B33886"/>
    <w:rsid w:val="00B33CB6"/>
    <w:rsid w:val="00B36D10"/>
    <w:rsid w:val="00B403BB"/>
    <w:rsid w:val="00B41836"/>
    <w:rsid w:val="00B42AC3"/>
    <w:rsid w:val="00B53CD1"/>
    <w:rsid w:val="00B54E89"/>
    <w:rsid w:val="00B56E9B"/>
    <w:rsid w:val="00B57086"/>
    <w:rsid w:val="00B571D6"/>
    <w:rsid w:val="00B64B92"/>
    <w:rsid w:val="00B6584B"/>
    <w:rsid w:val="00B67F6F"/>
    <w:rsid w:val="00B73DE6"/>
    <w:rsid w:val="00B7549D"/>
    <w:rsid w:val="00B76336"/>
    <w:rsid w:val="00B91672"/>
    <w:rsid w:val="00B918C1"/>
    <w:rsid w:val="00B93FAB"/>
    <w:rsid w:val="00BA0C16"/>
    <w:rsid w:val="00BA1D29"/>
    <w:rsid w:val="00BA2CF1"/>
    <w:rsid w:val="00BA3DD1"/>
    <w:rsid w:val="00BA45E1"/>
    <w:rsid w:val="00BA5DB9"/>
    <w:rsid w:val="00BA6A3F"/>
    <w:rsid w:val="00BC5007"/>
    <w:rsid w:val="00BC5CFE"/>
    <w:rsid w:val="00BD093C"/>
    <w:rsid w:val="00BD25AB"/>
    <w:rsid w:val="00BD2918"/>
    <w:rsid w:val="00BD418A"/>
    <w:rsid w:val="00BE4FC9"/>
    <w:rsid w:val="00BE5F29"/>
    <w:rsid w:val="00BE670E"/>
    <w:rsid w:val="00BF051A"/>
    <w:rsid w:val="00BF325E"/>
    <w:rsid w:val="00BF3496"/>
    <w:rsid w:val="00BF4E4F"/>
    <w:rsid w:val="00BF4FEB"/>
    <w:rsid w:val="00BF511A"/>
    <w:rsid w:val="00C014A0"/>
    <w:rsid w:val="00C03DC1"/>
    <w:rsid w:val="00C0463D"/>
    <w:rsid w:val="00C060C9"/>
    <w:rsid w:val="00C06473"/>
    <w:rsid w:val="00C06E8F"/>
    <w:rsid w:val="00C3036C"/>
    <w:rsid w:val="00C32C04"/>
    <w:rsid w:val="00C33903"/>
    <w:rsid w:val="00C345B7"/>
    <w:rsid w:val="00C35B30"/>
    <w:rsid w:val="00C368A1"/>
    <w:rsid w:val="00C44588"/>
    <w:rsid w:val="00C46448"/>
    <w:rsid w:val="00C50648"/>
    <w:rsid w:val="00C56595"/>
    <w:rsid w:val="00C56DD5"/>
    <w:rsid w:val="00C57B08"/>
    <w:rsid w:val="00C63B06"/>
    <w:rsid w:val="00C73549"/>
    <w:rsid w:val="00C7612A"/>
    <w:rsid w:val="00C76DB5"/>
    <w:rsid w:val="00C8118F"/>
    <w:rsid w:val="00C81472"/>
    <w:rsid w:val="00C81E16"/>
    <w:rsid w:val="00C840A5"/>
    <w:rsid w:val="00C86B38"/>
    <w:rsid w:val="00C92C92"/>
    <w:rsid w:val="00C93A46"/>
    <w:rsid w:val="00CA04BD"/>
    <w:rsid w:val="00CA6BFD"/>
    <w:rsid w:val="00CB4074"/>
    <w:rsid w:val="00CC0BAE"/>
    <w:rsid w:val="00CC2B4B"/>
    <w:rsid w:val="00CC601E"/>
    <w:rsid w:val="00CC6C55"/>
    <w:rsid w:val="00CD00AC"/>
    <w:rsid w:val="00CD424D"/>
    <w:rsid w:val="00CD7692"/>
    <w:rsid w:val="00CE1F36"/>
    <w:rsid w:val="00CF0249"/>
    <w:rsid w:val="00D02CAD"/>
    <w:rsid w:val="00D06120"/>
    <w:rsid w:val="00D0629C"/>
    <w:rsid w:val="00D07BCA"/>
    <w:rsid w:val="00D12057"/>
    <w:rsid w:val="00D130D2"/>
    <w:rsid w:val="00D15845"/>
    <w:rsid w:val="00D15E09"/>
    <w:rsid w:val="00D175E0"/>
    <w:rsid w:val="00D213DE"/>
    <w:rsid w:val="00D224E6"/>
    <w:rsid w:val="00D22CE8"/>
    <w:rsid w:val="00D22F6F"/>
    <w:rsid w:val="00D26795"/>
    <w:rsid w:val="00D33557"/>
    <w:rsid w:val="00D37241"/>
    <w:rsid w:val="00D3782B"/>
    <w:rsid w:val="00D448DF"/>
    <w:rsid w:val="00D51F48"/>
    <w:rsid w:val="00D57768"/>
    <w:rsid w:val="00D609F2"/>
    <w:rsid w:val="00D64DE1"/>
    <w:rsid w:val="00D75E62"/>
    <w:rsid w:val="00D81AE9"/>
    <w:rsid w:val="00D86A75"/>
    <w:rsid w:val="00D94D21"/>
    <w:rsid w:val="00DA12F7"/>
    <w:rsid w:val="00DA16C3"/>
    <w:rsid w:val="00DA1883"/>
    <w:rsid w:val="00DA289D"/>
    <w:rsid w:val="00DA38A2"/>
    <w:rsid w:val="00DA7866"/>
    <w:rsid w:val="00DA7CBA"/>
    <w:rsid w:val="00DA7DEC"/>
    <w:rsid w:val="00DB3DA2"/>
    <w:rsid w:val="00DB6030"/>
    <w:rsid w:val="00DC47B8"/>
    <w:rsid w:val="00DC6BE4"/>
    <w:rsid w:val="00DD086A"/>
    <w:rsid w:val="00DD2B74"/>
    <w:rsid w:val="00DD53B2"/>
    <w:rsid w:val="00DD5685"/>
    <w:rsid w:val="00DD7DA8"/>
    <w:rsid w:val="00DE11EC"/>
    <w:rsid w:val="00DE3BDC"/>
    <w:rsid w:val="00DE4137"/>
    <w:rsid w:val="00DE7E96"/>
    <w:rsid w:val="00DF29E1"/>
    <w:rsid w:val="00DF3D2D"/>
    <w:rsid w:val="00DF43E5"/>
    <w:rsid w:val="00DF47DB"/>
    <w:rsid w:val="00DF6F1D"/>
    <w:rsid w:val="00DF73DE"/>
    <w:rsid w:val="00E05248"/>
    <w:rsid w:val="00E0586D"/>
    <w:rsid w:val="00E07BE2"/>
    <w:rsid w:val="00E103E7"/>
    <w:rsid w:val="00E122AC"/>
    <w:rsid w:val="00E13409"/>
    <w:rsid w:val="00E273B3"/>
    <w:rsid w:val="00E4479E"/>
    <w:rsid w:val="00E46335"/>
    <w:rsid w:val="00E511CD"/>
    <w:rsid w:val="00E55C69"/>
    <w:rsid w:val="00E567DB"/>
    <w:rsid w:val="00E65B4D"/>
    <w:rsid w:val="00E673F6"/>
    <w:rsid w:val="00E676EC"/>
    <w:rsid w:val="00E700FC"/>
    <w:rsid w:val="00E70FCD"/>
    <w:rsid w:val="00E726E1"/>
    <w:rsid w:val="00E727C5"/>
    <w:rsid w:val="00E76056"/>
    <w:rsid w:val="00E8737E"/>
    <w:rsid w:val="00E90B39"/>
    <w:rsid w:val="00E936D2"/>
    <w:rsid w:val="00E956AF"/>
    <w:rsid w:val="00E96CDF"/>
    <w:rsid w:val="00EA40B8"/>
    <w:rsid w:val="00EA69B3"/>
    <w:rsid w:val="00EA69BD"/>
    <w:rsid w:val="00EA7D5C"/>
    <w:rsid w:val="00EB0F9A"/>
    <w:rsid w:val="00EB791B"/>
    <w:rsid w:val="00EC321B"/>
    <w:rsid w:val="00EC57E7"/>
    <w:rsid w:val="00ED56AD"/>
    <w:rsid w:val="00ED59ED"/>
    <w:rsid w:val="00ED672A"/>
    <w:rsid w:val="00EE4601"/>
    <w:rsid w:val="00EE7607"/>
    <w:rsid w:val="00EF3133"/>
    <w:rsid w:val="00EF5383"/>
    <w:rsid w:val="00EF5F50"/>
    <w:rsid w:val="00EF7C28"/>
    <w:rsid w:val="00EF7CCD"/>
    <w:rsid w:val="00F01266"/>
    <w:rsid w:val="00F05D28"/>
    <w:rsid w:val="00F11D4E"/>
    <w:rsid w:val="00F22BBB"/>
    <w:rsid w:val="00F25ED6"/>
    <w:rsid w:val="00F26B35"/>
    <w:rsid w:val="00F26C63"/>
    <w:rsid w:val="00F35613"/>
    <w:rsid w:val="00F357FC"/>
    <w:rsid w:val="00F358F0"/>
    <w:rsid w:val="00F3625F"/>
    <w:rsid w:val="00F407DD"/>
    <w:rsid w:val="00F413E9"/>
    <w:rsid w:val="00F43D8B"/>
    <w:rsid w:val="00F43F88"/>
    <w:rsid w:val="00F503B5"/>
    <w:rsid w:val="00F66547"/>
    <w:rsid w:val="00F67A2E"/>
    <w:rsid w:val="00F73D37"/>
    <w:rsid w:val="00F7608F"/>
    <w:rsid w:val="00F77C55"/>
    <w:rsid w:val="00F8096E"/>
    <w:rsid w:val="00F85037"/>
    <w:rsid w:val="00F85945"/>
    <w:rsid w:val="00F923F6"/>
    <w:rsid w:val="00F9272A"/>
    <w:rsid w:val="00FB6CC5"/>
    <w:rsid w:val="00FB7F24"/>
    <w:rsid w:val="00FC01F8"/>
    <w:rsid w:val="00FC2CE9"/>
    <w:rsid w:val="00FC58B9"/>
    <w:rsid w:val="00FD0AE5"/>
    <w:rsid w:val="00FD25C6"/>
    <w:rsid w:val="00FD44C0"/>
    <w:rsid w:val="00FE0DB3"/>
    <w:rsid w:val="00FE110B"/>
    <w:rsid w:val="00FE36E8"/>
    <w:rsid w:val="00FE4351"/>
    <w:rsid w:val="00FE5AF5"/>
    <w:rsid w:val="00FF09B4"/>
    <w:rsid w:val="00FF13CD"/>
    <w:rsid w:val="00FF2990"/>
    <w:rsid w:val="00FF6F9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DCE3F9"/>
  <w15:docId w15:val="{8DF0AF46-2DC6-4792-836C-8101B2D1B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419"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0"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3516F4"/>
    <w:pPr>
      <w:spacing w:before="120" w:after="120"/>
      <w:ind w:left="900" w:right="900"/>
    </w:pPr>
    <w:rPr>
      <w:rFonts w:ascii="Noto Sans" w:hAnsi="Noto Sans" w:cs="Arial"/>
      <w:sz w:val="24"/>
      <w:szCs w:val="28"/>
    </w:rPr>
  </w:style>
  <w:style w:type="paragraph" w:styleId="Heading1">
    <w:name w:val="heading 1"/>
    <w:next w:val="Normal"/>
    <w:link w:val="Heading1Char"/>
    <w:uiPriority w:val="2"/>
    <w:rsid w:val="00D07BCA"/>
    <w:pPr>
      <w:keepNext/>
      <w:keepLines/>
      <w:shd w:val="clear" w:color="004982" w:fill="auto"/>
      <w:spacing w:after="120"/>
      <w:ind w:left="187" w:right="187"/>
      <w:outlineLvl w:val="0"/>
    </w:pPr>
    <w:rPr>
      <w:rFonts w:ascii="Noto Sans Bold" w:eastAsiaTheme="majorEastAsia" w:hAnsi="Noto Sans Bold" w:cstheme="majorBidi"/>
      <w:color w:val="EC5A24" w:themeColor="accent1"/>
      <w:sz w:val="46"/>
      <w:szCs w:val="26"/>
    </w:rPr>
  </w:style>
  <w:style w:type="paragraph" w:styleId="Heading2">
    <w:name w:val="heading 2"/>
    <w:next w:val="Normal"/>
    <w:link w:val="Heading2Char"/>
    <w:uiPriority w:val="2"/>
    <w:rsid w:val="00097644"/>
    <w:pPr>
      <w:keepNext/>
      <w:spacing w:before="240" w:after="120"/>
      <w:ind w:left="187" w:right="187"/>
      <w:outlineLvl w:val="1"/>
    </w:pPr>
    <w:rPr>
      <w:rFonts w:ascii="Noto Sans Bold" w:eastAsiaTheme="majorEastAsia" w:hAnsi="Noto Sans Bold" w:cstheme="majorBidi"/>
      <w:color w:val="064276"/>
      <w:sz w:val="34"/>
      <w:szCs w:val="24"/>
    </w:rPr>
  </w:style>
  <w:style w:type="paragraph" w:styleId="Heading3">
    <w:name w:val="heading 3"/>
    <w:next w:val="Normal"/>
    <w:link w:val="Heading3Char"/>
    <w:uiPriority w:val="2"/>
    <w:qFormat/>
    <w:rsid w:val="00097644"/>
    <w:pPr>
      <w:keepNext/>
      <w:spacing w:before="240" w:after="120"/>
      <w:ind w:left="907" w:right="907"/>
      <w:outlineLvl w:val="2"/>
    </w:pPr>
    <w:rPr>
      <w:rFonts w:ascii="Noto Sans Bold" w:eastAsiaTheme="majorEastAsia" w:hAnsi="Noto Sans Bold" w:cstheme="majorBidi"/>
      <w:color w:val="064276"/>
      <w:sz w:val="30"/>
      <w:szCs w:val="24"/>
    </w:rPr>
  </w:style>
  <w:style w:type="paragraph" w:styleId="Heading4">
    <w:name w:val="heading 4"/>
    <w:next w:val="Normal"/>
    <w:link w:val="Heading4Char"/>
    <w:uiPriority w:val="2"/>
    <w:qFormat/>
    <w:rsid w:val="00AD41CE"/>
    <w:pPr>
      <w:keepNext/>
      <w:keepLines/>
      <w:spacing w:before="240" w:after="120"/>
      <w:ind w:left="900" w:right="900"/>
      <w:outlineLvl w:val="3"/>
    </w:pPr>
    <w:rPr>
      <w:rFonts w:ascii="Noto Sans Bold" w:eastAsiaTheme="majorEastAsia" w:hAnsi="Noto Sans Bold" w:cstheme="majorBidi"/>
      <w:iCs/>
      <w:color w:val="064276" w:themeColor="text1"/>
      <w:sz w:val="24"/>
      <w:szCs w:val="26"/>
    </w:rPr>
  </w:style>
  <w:style w:type="paragraph" w:styleId="Heading5">
    <w:name w:val="heading 5"/>
    <w:basedOn w:val="Normal"/>
    <w:next w:val="Normal"/>
    <w:link w:val="Heading5Char"/>
    <w:uiPriority w:val="10"/>
    <w:semiHidden/>
    <w:qFormat/>
    <w:rsid w:val="006E612C"/>
    <w:pPr>
      <w:keepNext/>
      <w:keepLines/>
      <w:spacing w:before="40"/>
      <w:outlineLvl w:val="4"/>
    </w:pPr>
    <w:rPr>
      <w:rFonts w:asciiTheme="majorHAnsi" w:eastAsiaTheme="majorEastAsia" w:hAnsiTheme="majorHAnsi" w:cstheme="majorBidi"/>
      <w:color w:val="BB3D1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
    <w:unhideWhenUsed/>
    <w:rsid w:val="0037248F"/>
    <w:pPr>
      <w:pBdr>
        <w:top w:val="single" w:sz="8" w:space="4" w:color="004982"/>
      </w:pBdr>
      <w:shd w:val="clear" w:color="004982" w:fill="auto"/>
      <w:tabs>
        <w:tab w:val="right" w:pos="10800"/>
      </w:tabs>
      <w:spacing w:before="0" w:after="0"/>
      <w:ind w:left="0" w:right="0"/>
    </w:pPr>
    <w:rPr>
      <w:color w:val="064276" w:themeColor="text1"/>
      <w:sz w:val="22"/>
    </w:rPr>
  </w:style>
  <w:style w:type="character" w:customStyle="1" w:styleId="FooterChar">
    <w:name w:val="Footer Char"/>
    <w:basedOn w:val="DefaultParagraphFont"/>
    <w:link w:val="Footer"/>
    <w:uiPriority w:val="9"/>
    <w:rsid w:val="0037248F"/>
    <w:rPr>
      <w:rFonts w:ascii="Noto Sans" w:hAnsi="Noto Sans" w:cs="Arial"/>
      <w:color w:val="064276" w:themeColor="text1"/>
      <w:sz w:val="22"/>
      <w:szCs w:val="28"/>
      <w:shd w:val="clear" w:color="004982" w:fill="auto"/>
    </w:rPr>
  </w:style>
  <w:style w:type="paragraph" w:styleId="BalloonText">
    <w:name w:val="Balloon Text"/>
    <w:basedOn w:val="Normal"/>
    <w:link w:val="BalloonTextChar"/>
    <w:uiPriority w:val="99"/>
    <w:semiHidden/>
    <w:unhideWhenUsed/>
    <w:rsid w:val="00216C13"/>
    <w:rPr>
      <w:rFonts w:ascii="Tahoma" w:hAnsi="Tahoma" w:cs="Tahoma"/>
      <w:sz w:val="16"/>
      <w:szCs w:val="16"/>
    </w:rPr>
  </w:style>
  <w:style w:type="character" w:customStyle="1" w:styleId="BalloonTextChar">
    <w:name w:val="Balloon Text Char"/>
    <w:link w:val="BalloonText"/>
    <w:uiPriority w:val="99"/>
    <w:semiHidden/>
    <w:rsid w:val="00216C13"/>
    <w:rPr>
      <w:rFonts w:ascii="Tahoma" w:hAnsi="Tahoma" w:cs="Tahoma"/>
      <w:sz w:val="16"/>
      <w:szCs w:val="16"/>
    </w:rPr>
  </w:style>
  <w:style w:type="character" w:customStyle="1" w:styleId="Heading2Char">
    <w:name w:val="Heading 2 Char"/>
    <w:basedOn w:val="DefaultParagraphFont"/>
    <w:link w:val="Heading2"/>
    <w:uiPriority w:val="2"/>
    <w:rsid w:val="00A13963"/>
    <w:rPr>
      <w:rFonts w:ascii="Noto Sans Bold" w:eastAsiaTheme="majorEastAsia" w:hAnsi="Noto Sans Bold" w:cstheme="majorBidi"/>
      <w:color w:val="064276"/>
      <w:sz w:val="34"/>
      <w:szCs w:val="24"/>
    </w:rPr>
  </w:style>
  <w:style w:type="character" w:customStyle="1" w:styleId="Heading3Char">
    <w:name w:val="Heading 3 Char"/>
    <w:basedOn w:val="DefaultParagraphFont"/>
    <w:link w:val="Heading3"/>
    <w:uiPriority w:val="2"/>
    <w:rsid w:val="00A13963"/>
    <w:rPr>
      <w:rFonts w:ascii="Noto Sans Bold" w:eastAsiaTheme="majorEastAsia" w:hAnsi="Noto Sans Bold" w:cstheme="majorBidi"/>
      <w:color w:val="064276"/>
      <w:sz w:val="30"/>
      <w:szCs w:val="24"/>
    </w:rPr>
  </w:style>
  <w:style w:type="character" w:styleId="UnresolvedMention">
    <w:name w:val="Unresolved Mention"/>
    <w:basedOn w:val="DefaultParagraphFont"/>
    <w:uiPriority w:val="99"/>
    <w:semiHidden/>
    <w:unhideWhenUsed/>
    <w:rsid w:val="007C54C1"/>
    <w:rPr>
      <w:color w:val="605E5C"/>
      <w:shd w:val="clear" w:color="auto" w:fill="E1DFDD"/>
    </w:rPr>
  </w:style>
  <w:style w:type="paragraph" w:styleId="NoSpacing">
    <w:name w:val="No Spacing"/>
    <w:aliases w:val="Normal - No extra space"/>
    <w:basedOn w:val="Normal"/>
    <w:uiPriority w:val="4"/>
    <w:rsid w:val="003A6DFD"/>
    <w:pPr>
      <w:spacing w:before="0" w:after="0"/>
      <w:ind w:left="907" w:right="907"/>
      <w:contextualSpacing/>
    </w:pPr>
  </w:style>
  <w:style w:type="character" w:customStyle="1" w:styleId="Heading4Char">
    <w:name w:val="Heading 4 Char"/>
    <w:basedOn w:val="DefaultParagraphFont"/>
    <w:link w:val="Heading4"/>
    <w:uiPriority w:val="2"/>
    <w:rsid w:val="00A13963"/>
    <w:rPr>
      <w:rFonts w:ascii="Noto Sans Bold" w:eastAsiaTheme="majorEastAsia" w:hAnsi="Noto Sans Bold" w:cstheme="majorBidi"/>
      <w:iCs/>
      <w:color w:val="064276" w:themeColor="text1"/>
      <w:sz w:val="24"/>
      <w:szCs w:val="26"/>
    </w:rPr>
  </w:style>
  <w:style w:type="character" w:customStyle="1" w:styleId="Heading1Char">
    <w:name w:val="Heading 1 Char"/>
    <w:link w:val="Heading1"/>
    <w:uiPriority w:val="2"/>
    <w:rsid w:val="00A13963"/>
    <w:rPr>
      <w:rFonts w:ascii="Noto Sans Bold" w:eastAsiaTheme="majorEastAsia" w:hAnsi="Noto Sans Bold" w:cstheme="majorBidi"/>
      <w:color w:val="EC5A24" w:themeColor="accent1"/>
      <w:sz w:val="46"/>
      <w:szCs w:val="26"/>
      <w:shd w:val="clear" w:color="004982" w:fill="auto"/>
    </w:rPr>
  </w:style>
  <w:style w:type="paragraph" w:styleId="ListParagraph">
    <w:name w:val="List Paragraph"/>
    <w:basedOn w:val="Normal"/>
    <w:link w:val="ListParagraphChar"/>
    <w:uiPriority w:val="34"/>
    <w:qFormat/>
    <w:rsid w:val="005C55FC"/>
    <w:pPr>
      <w:numPr>
        <w:numId w:val="34"/>
      </w:numPr>
    </w:pPr>
  </w:style>
  <w:style w:type="character" w:styleId="Hyperlink">
    <w:name w:val="Hyperlink"/>
    <w:uiPriority w:val="10"/>
    <w:qFormat/>
    <w:rsid w:val="00C35B30"/>
    <w:rPr>
      <w:color w:val="064276"/>
      <w:u w:val="single"/>
    </w:rPr>
  </w:style>
  <w:style w:type="character" w:customStyle="1" w:styleId="ListParagraphChar">
    <w:name w:val="List Paragraph Char"/>
    <w:link w:val="ListParagraph"/>
    <w:uiPriority w:val="11"/>
    <w:semiHidden/>
    <w:rsid w:val="00A13963"/>
    <w:rPr>
      <w:rFonts w:ascii="Noto Sans" w:hAnsi="Noto Sans" w:cs="Arial"/>
      <w:sz w:val="24"/>
      <w:szCs w:val="28"/>
    </w:rPr>
  </w:style>
  <w:style w:type="character" w:styleId="Emphasis">
    <w:name w:val="Emphasis"/>
    <w:basedOn w:val="DefaultParagraphFont"/>
    <w:uiPriority w:val="11"/>
    <w:rsid w:val="00D33557"/>
    <w:rPr>
      <w:i/>
      <w:iCs/>
    </w:rPr>
  </w:style>
  <w:style w:type="character" w:styleId="Strong">
    <w:name w:val="Strong"/>
    <w:basedOn w:val="DefaultParagraphFont"/>
    <w:uiPriority w:val="11"/>
    <w:rsid w:val="00D33557"/>
    <w:rPr>
      <w:b/>
      <w:bCs/>
    </w:rPr>
  </w:style>
  <w:style w:type="paragraph" w:styleId="TOC1">
    <w:name w:val="toc 1"/>
    <w:basedOn w:val="Normal"/>
    <w:next w:val="Normal"/>
    <w:autoRedefine/>
    <w:uiPriority w:val="39"/>
    <w:rsid w:val="00542DB7"/>
    <w:pPr>
      <w:tabs>
        <w:tab w:val="right" w:leader="dot" w:pos="10620"/>
      </w:tabs>
      <w:ind w:left="180" w:right="180"/>
    </w:pPr>
    <w:rPr>
      <w:b/>
    </w:rPr>
  </w:style>
  <w:style w:type="paragraph" w:styleId="TOC2">
    <w:name w:val="toc 2"/>
    <w:basedOn w:val="Normal"/>
    <w:next w:val="Normal"/>
    <w:autoRedefine/>
    <w:uiPriority w:val="39"/>
    <w:rsid w:val="00AD41CE"/>
    <w:pPr>
      <w:tabs>
        <w:tab w:val="right" w:leader="dot" w:pos="10620"/>
      </w:tabs>
      <w:spacing w:after="100"/>
      <w:ind w:right="180"/>
    </w:pPr>
    <w:rPr>
      <w:noProof/>
    </w:rPr>
  </w:style>
  <w:style w:type="paragraph" w:styleId="TOC3">
    <w:name w:val="toc 3"/>
    <w:basedOn w:val="Normal"/>
    <w:next w:val="Normal"/>
    <w:autoRedefine/>
    <w:uiPriority w:val="39"/>
    <w:rsid w:val="00AD41CE"/>
    <w:pPr>
      <w:tabs>
        <w:tab w:val="right" w:leader="dot" w:pos="10620"/>
      </w:tabs>
      <w:spacing w:after="100"/>
      <w:ind w:left="1260" w:right="180"/>
    </w:pPr>
    <w:rPr>
      <w:noProof/>
    </w:rPr>
  </w:style>
  <w:style w:type="character" w:styleId="PlaceholderText">
    <w:name w:val="Placeholder Text"/>
    <w:basedOn w:val="DefaultParagraphFont"/>
    <w:uiPriority w:val="99"/>
    <w:semiHidden/>
    <w:rsid w:val="00761EFB"/>
    <w:rPr>
      <w:color w:val="808080"/>
    </w:rPr>
  </w:style>
  <w:style w:type="character" w:customStyle="1" w:styleId="Heading5Char">
    <w:name w:val="Heading 5 Char"/>
    <w:basedOn w:val="DefaultParagraphFont"/>
    <w:link w:val="Heading5"/>
    <w:uiPriority w:val="10"/>
    <w:semiHidden/>
    <w:rsid w:val="00D15E09"/>
    <w:rPr>
      <w:rFonts w:asciiTheme="majorHAnsi" w:eastAsiaTheme="majorEastAsia" w:hAnsiTheme="majorHAnsi" w:cstheme="majorBidi"/>
      <w:noProof/>
      <w:color w:val="BB3D10" w:themeColor="accent1" w:themeShade="BF"/>
      <w:sz w:val="26"/>
      <w:szCs w:val="26"/>
    </w:rPr>
  </w:style>
  <w:style w:type="paragraph" w:customStyle="1" w:styleId="DivisionName">
    <w:name w:val="Division Name"/>
    <w:qFormat/>
    <w:rsid w:val="00CE1F36"/>
    <w:pPr>
      <w:spacing w:before="100" w:after="60"/>
      <w:ind w:left="187" w:right="-86"/>
    </w:pPr>
    <w:rPr>
      <w:rFonts w:ascii="Noto Sans Bold" w:hAnsi="Noto Sans Bold" w:cs="Arial"/>
      <w:color w:val="004982"/>
      <w:sz w:val="22"/>
      <w:szCs w:val="26"/>
    </w:rPr>
  </w:style>
  <w:style w:type="paragraph" w:customStyle="1" w:styleId="ProgramName">
    <w:name w:val="Program Name"/>
    <w:basedOn w:val="Normal"/>
    <w:qFormat/>
    <w:rsid w:val="00380520"/>
    <w:pPr>
      <w:spacing w:before="100"/>
      <w:ind w:left="180" w:right="-965"/>
    </w:pPr>
    <w:rPr>
      <w:color w:val="FFFFFF" w:themeColor="background1"/>
      <w:sz w:val="22"/>
    </w:rPr>
  </w:style>
  <w:style w:type="numbering" w:customStyle="1" w:styleId="Style1">
    <w:name w:val="Style1"/>
    <w:uiPriority w:val="99"/>
    <w:rsid w:val="006F3C71"/>
    <w:pPr>
      <w:numPr>
        <w:numId w:val="31"/>
      </w:numPr>
    </w:pPr>
  </w:style>
  <w:style w:type="paragraph" w:customStyle="1" w:styleId="PageNumbers2">
    <w:name w:val="PageNumbers2"/>
    <w:basedOn w:val="Normal"/>
    <w:uiPriority w:val="10"/>
    <w:semiHidden/>
    <w:qFormat/>
    <w:rsid w:val="00961095"/>
    <w:pPr>
      <w:pBdr>
        <w:top w:val="single" w:sz="8" w:space="1" w:color="0070C0"/>
      </w:pBdr>
      <w:jc w:val="right"/>
    </w:pPr>
  </w:style>
  <w:style w:type="paragraph" w:customStyle="1" w:styleId="BlueInfoBoxHeading">
    <w:name w:val="Blue Info Box Heading"/>
    <w:uiPriority w:val="8"/>
    <w:qFormat/>
    <w:rsid w:val="005D3C47"/>
    <w:pPr>
      <w:pBdr>
        <w:top w:val="single" w:sz="48" w:space="7" w:color="004982"/>
        <w:left w:val="single" w:sz="48" w:space="8" w:color="004982"/>
        <w:bottom w:val="single" w:sz="48" w:space="10" w:color="004982"/>
        <w:right w:val="single" w:sz="48" w:space="8" w:color="004982"/>
      </w:pBdr>
      <w:shd w:val="solid" w:color="004982" w:fill="auto"/>
      <w:spacing w:before="240"/>
      <w:ind w:left="216" w:right="144"/>
    </w:pPr>
    <w:rPr>
      <w:rFonts w:ascii="Noto Sans Bold" w:hAnsi="Noto Sans Bold" w:cs="Arial"/>
      <w:noProof/>
      <w:color w:val="FFFFFF" w:themeColor="background1"/>
      <w:sz w:val="26"/>
      <w:szCs w:val="26"/>
    </w:rPr>
  </w:style>
  <w:style w:type="character" w:customStyle="1" w:styleId="Hyperlink-White">
    <w:name w:val="Hyperlink-White"/>
    <w:basedOn w:val="DefaultParagraphFont"/>
    <w:uiPriority w:val="10"/>
    <w:qFormat/>
    <w:rsid w:val="00611B53"/>
    <w:rPr>
      <w:color w:val="FFFFFF" w:themeColor="background1"/>
      <w:u w:val="single"/>
    </w:rPr>
  </w:style>
  <w:style w:type="paragraph" w:customStyle="1" w:styleId="AltStatement">
    <w:name w:val="Alt Statement"/>
    <w:basedOn w:val="Normal"/>
    <w:uiPriority w:val="8"/>
    <w:qFormat/>
    <w:rsid w:val="003A6DFD"/>
    <w:pPr>
      <w:keepLines/>
      <w:pBdr>
        <w:left w:val="single" w:sz="4" w:space="6" w:color="D9D9D9" w:themeColor="background1" w:themeShade="D9"/>
        <w:bottom w:val="single" w:sz="4" w:space="6" w:color="D9D9D9" w:themeColor="background1" w:themeShade="D9"/>
        <w:right w:val="single" w:sz="4" w:space="6" w:color="D9D9D9" w:themeColor="background1" w:themeShade="D9"/>
      </w:pBdr>
      <w:spacing w:before="0"/>
      <w:ind w:left="1080" w:right="1080"/>
    </w:pPr>
    <w:rPr>
      <w:color w:val="5F5F5F"/>
      <w:sz w:val="22"/>
      <w:szCs w:val="22"/>
    </w:rPr>
  </w:style>
  <w:style w:type="paragraph" w:styleId="TOCHeading">
    <w:name w:val="TOC Heading"/>
    <w:basedOn w:val="Heading2"/>
    <w:next w:val="Normal"/>
    <w:link w:val="TOCHeadingChar"/>
    <w:uiPriority w:val="38"/>
    <w:qFormat/>
    <w:rsid w:val="00542DB7"/>
    <w:pPr>
      <w:spacing w:after="0"/>
      <w:outlineLvl w:val="9"/>
    </w:pPr>
    <w:rPr>
      <w:color w:val="064276" w:themeColor="text1"/>
      <w:szCs w:val="32"/>
    </w:rPr>
  </w:style>
  <w:style w:type="character" w:customStyle="1" w:styleId="TOCHeadingChar">
    <w:name w:val="TOC Heading Char"/>
    <w:basedOn w:val="Heading1Char"/>
    <w:link w:val="TOCHeading"/>
    <w:uiPriority w:val="38"/>
    <w:rsid w:val="00A13963"/>
    <w:rPr>
      <w:rFonts w:ascii="Noto Sans Bold" w:eastAsiaTheme="majorEastAsia" w:hAnsi="Noto Sans Bold" w:cstheme="majorBidi"/>
      <w:color w:val="064276" w:themeColor="text1"/>
      <w:sz w:val="34"/>
      <w:szCs w:val="32"/>
      <w:shd w:val="clear" w:color="004982" w:fill="auto"/>
    </w:rPr>
  </w:style>
  <w:style w:type="paragraph" w:customStyle="1" w:styleId="LogoStyle">
    <w:name w:val="Logo Style"/>
    <w:uiPriority w:val="1"/>
    <w:qFormat/>
    <w:rsid w:val="00D07BCA"/>
    <w:pPr>
      <w:tabs>
        <w:tab w:val="right" w:pos="10800"/>
      </w:tabs>
      <w:spacing w:after="120"/>
    </w:pPr>
    <w:rPr>
      <w:rFonts w:ascii="Arial" w:hAnsi="Arial" w:cs="Arial"/>
      <w:noProof/>
      <w:sz w:val="26"/>
      <w:szCs w:val="26"/>
    </w:rPr>
  </w:style>
  <w:style w:type="paragraph" w:customStyle="1" w:styleId="AltStatementHeading">
    <w:name w:val="Alt Statement Heading"/>
    <w:uiPriority w:val="7"/>
    <w:qFormat/>
    <w:rsid w:val="003A6DFD"/>
    <w:pPr>
      <w:keepNext/>
      <w:keepLines/>
      <w:pBdr>
        <w:top w:val="single" w:sz="4" w:space="4" w:color="D9D9D9" w:themeColor="background1" w:themeShade="D9"/>
        <w:left w:val="single" w:sz="4" w:space="6" w:color="D9D9D9" w:themeColor="background1" w:themeShade="D9"/>
        <w:right w:val="single" w:sz="4" w:space="6" w:color="D9D9D9" w:themeColor="background1" w:themeShade="D9"/>
      </w:pBdr>
      <w:ind w:left="1080" w:right="1080"/>
    </w:pPr>
    <w:rPr>
      <w:rFonts w:ascii="Noto Sans Bold" w:hAnsi="Noto Sans Bold" w:cs="Arial"/>
      <w:bCs/>
      <w:color w:val="5F5F5F"/>
      <w:sz w:val="22"/>
      <w:szCs w:val="22"/>
    </w:rPr>
  </w:style>
  <w:style w:type="paragraph" w:styleId="ListBullet2">
    <w:name w:val="List Bullet 2"/>
    <w:basedOn w:val="Normal"/>
    <w:uiPriority w:val="99"/>
    <w:rsid w:val="00CE1F36"/>
    <w:pPr>
      <w:numPr>
        <w:numId w:val="4"/>
      </w:numPr>
      <w:ind w:left="1890"/>
    </w:pPr>
  </w:style>
  <w:style w:type="paragraph" w:styleId="ListBullet">
    <w:name w:val="List Bullet"/>
    <w:basedOn w:val="ListParagraph"/>
    <w:uiPriority w:val="99"/>
    <w:rsid w:val="005D3C47"/>
    <w:pPr>
      <w:ind w:left="1440" w:hanging="360"/>
    </w:pPr>
  </w:style>
  <w:style w:type="paragraph" w:styleId="ListBullet3">
    <w:name w:val="List Bullet 3"/>
    <w:basedOn w:val="Normal"/>
    <w:uiPriority w:val="99"/>
    <w:rsid w:val="005D3C47"/>
    <w:pPr>
      <w:numPr>
        <w:numId w:val="5"/>
      </w:numPr>
      <w:ind w:left="2340"/>
      <w:contextualSpacing/>
    </w:pPr>
  </w:style>
  <w:style w:type="paragraph" w:styleId="ListBullet4">
    <w:name w:val="List Bullet 4"/>
    <w:basedOn w:val="Normal"/>
    <w:uiPriority w:val="99"/>
    <w:rsid w:val="005D3C47"/>
    <w:pPr>
      <w:numPr>
        <w:numId w:val="6"/>
      </w:numPr>
      <w:ind w:left="2880"/>
      <w:contextualSpacing/>
    </w:pPr>
  </w:style>
  <w:style w:type="paragraph" w:styleId="ListNumber">
    <w:name w:val="List Number"/>
    <w:basedOn w:val="Normal"/>
    <w:uiPriority w:val="99"/>
    <w:rsid w:val="00CE1F36"/>
    <w:pPr>
      <w:numPr>
        <w:numId w:val="38"/>
      </w:numPr>
      <w:ind w:left="1530" w:hanging="450"/>
    </w:pPr>
  </w:style>
  <w:style w:type="paragraph" w:styleId="ListNumber2">
    <w:name w:val="List Number 2"/>
    <w:basedOn w:val="Normal"/>
    <w:uiPriority w:val="99"/>
    <w:rsid w:val="005D3C47"/>
    <w:pPr>
      <w:numPr>
        <w:numId w:val="39"/>
      </w:numPr>
      <w:ind w:left="1980" w:hanging="450"/>
      <w:contextualSpacing/>
    </w:pPr>
  </w:style>
  <w:style w:type="paragraph" w:styleId="ListNumber3">
    <w:name w:val="List Number 3"/>
    <w:basedOn w:val="Normal"/>
    <w:uiPriority w:val="99"/>
    <w:rsid w:val="00CE1F36"/>
    <w:pPr>
      <w:numPr>
        <w:numId w:val="10"/>
      </w:numPr>
      <w:ind w:left="2430" w:hanging="450"/>
      <w:contextualSpacing/>
    </w:pPr>
  </w:style>
  <w:style w:type="paragraph" w:styleId="ListNumber4">
    <w:name w:val="List Number 4"/>
    <w:basedOn w:val="Normal"/>
    <w:uiPriority w:val="99"/>
    <w:rsid w:val="00CE1F36"/>
    <w:pPr>
      <w:numPr>
        <w:numId w:val="11"/>
      </w:numPr>
      <w:ind w:left="2970" w:hanging="540"/>
      <w:contextualSpacing/>
    </w:pPr>
  </w:style>
  <w:style w:type="paragraph" w:styleId="ListNumber5">
    <w:name w:val="List Number 5"/>
    <w:basedOn w:val="Normal"/>
    <w:uiPriority w:val="99"/>
    <w:semiHidden/>
    <w:rsid w:val="00423D71"/>
    <w:pPr>
      <w:ind w:left="3240" w:right="1267" w:hanging="360"/>
      <w:contextualSpacing/>
    </w:pPr>
    <w:rPr>
      <w:sz w:val="22"/>
    </w:rPr>
  </w:style>
  <w:style w:type="paragraph" w:styleId="Header">
    <w:name w:val="header"/>
    <w:basedOn w:val="Normal"/>
    <w:link w:val="HeaderChar"/>
    <w:uiPriority w:val="99"/>
    <w:semiHidden/>
    <w:rsid w:val="00F22BBB"/>
    <w:pPr>
      <w:tabs>
        <w:tab w:val="center" w:pos="4680"/>
        <w:tab w:val="right" w:pos="9360"/>
      </w:tabs>
      <w:spacing w:before="0" w:after="0"/>
    </w:pPr>
  </w:style>
  <w:style w:type="character" w:customStyle="1" w:styleId="HeaderChar">
    <w:name w:val="Header Char"/>
    <w:basedOn w:val="DefaultParagraphFont"/>
    <w:link w:val="Header"/>
    <w:uiPriority w:val="99"/>
    <w:semiHidden/>
    <w:rsid w:val="00A13963"/>
    <w:rPr>
      <w:rFonts w:ascii="Noto Sans" w:hAnsi="Noto Sans" w:cs="Arial"/>
      <w:sz w:val="24"/>
      <w:szCs w:val="28"/>
    </w:rPr>
  </w:style>
  <w:style w:type="paragraph" w:customStyle="1" w:styleId="BlueInfoBox">
    <w:name w:val="Blue Info Box"/>
    <w:basedOn w:val="BlueInfoBoxHeading"/>
    <w:uiPriority w:val="9"/>
    <w:qFormat/>
    <w:rsid w:val="004E1088"/>
    <w:pPr>
      <w:spacing w:before="0"/>
    </w:pPr>
    <w:rPr>
      <w:rFonts w:ascii="Noto Sans" w:hAnsi="Noto Sans"/>
      <w:sz w:val="24"/>
    </w:rPr>
  </w:style>
  <w:style w:type="paragraph" w:customStyle="1" w:styleId="LastPageProgramInfoBox">
    <w:name w:val="LastPage Program InfoBox"/>
    <w:uiPriority w:val="6"/>
    <w:qFormat/>
    <w:rsid w:val="00795A82"/>
    <w:pPr>
      <w:pBdr>
        <w:top w:val="single" w:sz="48" w:space="12" w:color="004982"/>
        <w:left w:val="single" w:sz="48" w:space="8" w:color="004982"/>
        <w:bottom w:val="single" w:sz="48" w:space="12" w:color="004982"/>
        <w:right w:val="single" w:sz="48" w:space="8" w:color="004982"/>
      </w:pBdr>
      <w:shd w:val="solid" w:color="004982" w:fill="auto"/>
      <w:ind w:left="216" w:right="144"/>
    </w:pPr>
    <w:rPr>
      <w:rFonts w:ascii="Arial" w:hAnsi="Arial" w:cs="Arial"/>
      <w:noProof/>
      <w:color w:val="FFFFFF" w:themeColor="background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208146">
      <w:bodyDiv w:val="1"/>
      <w:marLeft w:val="0"/>
      <w:marRight w:val="0"/>
      <w:marTop w:val="0"/>
      <w:marBottom w:val="0"/>
      <w:divBdr>
        <w:top w:val="none" w:sz="0" w:space="0" w:color="auto"/>
        <w:left w:val="none" w:sz="0" w:space="0" w:color="auto"/>
        <w:bottom w:val="none" w:sz="0" w:space="0" w:color="auto"/>
        <w:right w:val="none" w:sz="0" w:space="0" w:color="auto"/>
      </w:divBdr>
    </w:div>
    <w:div w:id="955870144">
      <w:bodyDiv w:val="1"/>
      <w:marLeft w:val="0"/>
      <w:marRight w:val="0"/>
      <w:marTop w:val="0"/>
      <w:marBottom w:val="0"/>
      <w:divBdr>
        <w:top w:val="none" w:sz="0" w:space="0" w:color="auto"/>
        <w:left w:val="none" w:sz="0" w:space="0" w:color="auto"/>
        <w:bottom w:val="none" w:sz="0" w:space="0" w:color="auto"/>
        <w:right w:val="none" w:sz="0" w:space="0" w:color="auto"/>
      </w:divBdr>
    </w:div>
    <w:div w:id="1908950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s://www.oregon.gov/oha/HPA/ANALYTICS/Pages/Quality-Metrics.aspx" TargetMode="External"/><Relationship Id="rId2" Type="http://schemas.openxmlformats.org/officeDocument/2006/relationships/customXml" Target="../customXml/item2.xml"/><Relationship Id="rId16" Type="http://schemas.openxmlformats.org/officeDocument/2006/relationships/hyperlink" Target="mailto:Metrics.Questions@odhsoha.oregon.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etrics.Questions@odhsoha.oregon.gov" TargetMode="External"/></Relationships>
</file>

<file path=word/theme/theme1.xml><?xml version="1.0" encoding="utf-8"?>
<a:theme xmlns:a="http://schemas.openxmlformats.org/drawingml/2006/main" name="Office Theme">
  <a:themeElements>
    <a:clrScheme name="OHA Brand Colors">
      <a:dk1>
        <a:srgbClr val="064276"/>
      </a:dk1>
      <a:lt1>
        <a:sysClr val="window" lastClr="FFFFFF"/>
      </a:lt1>
      <a:dk2>
        <a:srgbClr val="752E71"/>
      </a:dk2>
      <a:lt2>
        <a:srgbClr val="E6F0EF"/>
      </a:lt2>
      <a:accent1>
        <a:srgbClr val="EC5A24"/>
      </a:accent1>
      <a:accent2>
        <a:srgbClr val="D6DBE9"/>
      </a:accent2>
      <a:accent3>
        <a:srgbClr val="FCB53B"/>
      </a:accent3>
      <a:accent4>
        <a:srgbClr val="00B2A2"/>
      </a:accent4>
      <a:accent5>
        <a:srgbClr val="FFF1DC"/>
      </a:accent5>
      <a:accent6>
        <a:srgbClr val="E9E1E8"/>
      </a:accent6>
      <a:hlink>
        <a:srgbClr val="064276"/>
      </a:hlink>
      <a:folHlink>
        <a:srgbClr val="752E7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F7E6828B21CD429B32949F799B911B" ma:contentTypeVersion="13" ma:contentTypeDescription="Create a new document." ma:contentTypeScope="" ma:versionID="08b2d7f50ebc417c56fb0626388ae034">
  <xsd:schema xmlns:xsd="http://www.w3.org/2001/XMLSchema" xmlns:xs="http://www.w3.org/2001/XMLSchema" xmlns:p="http://schemas.microsoft.com/office/2006/metadata/properties" xmlns:ns1="http://schemas.microsoft.com/sharepoint/v3" xmlns:ns2="05671de4-15dc-4c59-967d-4538e6edcd8f" xmlns:ns3="59da1016-2a1b-4f8a-9768-d7a4932f6f16" xmlns:ns4="http://schemas.microsoft.com/sharepoint/v4" targetNamespace="http://schemas.microsoft.com/office/2006/metadata/properties" ma:root="true" ma:fieldsID="4a0353332d375fbf1725e5715ab4b387" ns1:_="" ns2:_="" ns3:_="" ns4:_="">
    <xsd:import namespace="http://schemas.microsoft.com/sharepoint/v3"/>
    <xsd:import namespace="05671de4-15dc-4c59-967d-4538e6edcd8f"/>
    <xsd:import namespace="59da1016-2a1b-4f8a-9768-d7a4932f6f16"/>
    <xsd:import namespace="http://schemas.microsoft.com/sharepoint/v4"/>
    <xsd:element name="properties">
      <xsd:complexType>
        <xsd:sequence>
          <xsd:element name="documentManagement">
            <xsd:complexType>
              <xsd:all>
                <xsd:element ref="ns1:URL" minOccurs="0"/>
                <xsd:element ref="ns2:cqkp" minOccurs="0"/>
                <xsd:element ref="ns3:IACategory" minOccurs="0"/>
                <xsd:element ref="ns3:IATopic" minOccurs="0"/>
                <xsd:element ref="ns3:IASubtopic" minOccurs="0"/>
                <xsd:element ref="ns3:DocumentExpirationDate" minOccurs="0"/>
                <xsd:element ref="ns2:Meta_x0020_Description" minOccurs="0"/>
                <xsd:element ref="ns2:Meta_x0020_Keywor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2"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671de4-15dc-4c59-967d-4538e6edcd8f" elementFormDefault="qualified">
    <xsd:import namespace="http://schemas.microsoft.com/office/2006/documentManagement/types"/>
    <xsd:import namespace="http://schemas.microsoft.com/office/infopath/2007/PartnerControls"/>
    <xsd:element name="cqkp" ma:index="9" nillable="true" ma:displayName="Text" ma:internalName="cqkp" ma:readOnly="false">
      <xsd:simpleType>
        <xsd:restriction base="dms:Text"/>
      </xsd:simpleType>
    </xsd:element>
    <xsd:element name="Meta_x0020_Description" ma:index="14" nillable="true" ma:displayName="Meta Description" ma:internalName="Meta_x0020_Description" ma:readOnly="false">
      <xsd:simpleType>
        <xsd:restriction base="dms:Text"/>
      </xsd:simpleType>
    </xsd:element>
    <xsd:element name="Meta_x0020_Keywords" ma:index="15" nillable="true" ma:displayName="Meta Keywords"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10" nillable="true" ma:displayName="IA Category" ma:format="Dropdown"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1" nillable="true" ma:displayName="IA Topic" ma:format="Dropdown"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12" nillable="true" ma:displayName="IA Subtopic" ma:format="Dropdown"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13" nillable="true" ma:displayName="Document Expiration Date" ma:format="DateOnly" ma:internalName="DocumentExpiration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DocumentExpirationDate xmlns="59da1016-2a1b-4f8a-9768-d7a4932f6f16" xsi:nil="true"/>
    <IATopic xmlns="59da1016-2a1b-4f8a-9768-d7a4932f6f16" xsi:nil="true"/>
    <IconOverlay xmlns="http://schemas.microsoft.com/sharepoint/v4" xsi:nil="true"/>
    <URL xmlns="http://schemas.microsoft.com/sharepoint/v3">
      <Url xsi:nil="true"/>
      <Description xsi:nil="true"/>
    </URL>
    <IASubtopic xmlns="59da1016-2a1b-4f8a-9768-d7a4932f6f16" xsi:nil="true"/>
    <cqkp xmlns="05671de4-15dc-4c59-967d-4538e6edcd8f" xsi:nil="true"/>
    <Meta_x0020_Keywords xmlns="05671de4-15dc-4c59-967d-4538e6edcd8f" xsi:nil="true"/>
    <Meta_x0020_Description xmlns="05671de4-15dc-4c59-967d-4538e6edcd8f" xsi:nil="true"/>
  </documentManagement>
</p:properties>
</file>

<file path=customXml/itemProps1.xml><?xml version="1.0" encoding="utf-8"?>
<ds:datastoreItem xmlns:ds="http://schemas.openxmlformats.org/officeDocument/2006/customXml" ds:itemID="{097B50B9-39BA-48D4-8FDE-5E2E2F5325D5}">
  <ds:schemaRefs>
    <ds:schemaRef ds:uri="http://schemas.openxmlformats.org/officeDocument/2006/bibliography"/>
  </ds:schemaRefs>
</ds:datastoreItem>
</file>

<file path=customXml/itemProps2.xml><?xml version="1.0" encoding="utf-8"?>
<ds:datastoreItem xmlns:ds="http://schemas.openxmlformats.org/officeDocument/2006/customXml" ds:itemID="{B1543557-E3A7-46E0-B722-FEC1F37577A8}">
  <ds:schemaRefs>
    <ds:schemaRef ds:uri="http://schemas.microsoft.com/sharepoint/v3/contenttype/forms"/>
  </ds:schemaRefs>
</ds:datastoreItem>
</file>

<file path=customXml/itemProps3.xml><?xml version="1.0" encoding="utf-8"?>
<ds:datastoreItem xmlns:ds="http://schemas.openxmlformats.org/officeDocument/2006/customXml" ds:itemID="{03739129-6863-471D-A450-742A481B9017}"/>
</file>

<file path=customXml/itemProps4.xml><?xml version="1.0" encoding="utf-8"?>
<ds:datastoreItem xmlns:ds="http://schemas.openxmlformats.org/officeDocument/2006/customXml" ds:itemID="{1583E2CC-2829-4C1A-A9AB-1660DC18528C}">
  <ds:schemaRefs>
    <ds:schemaRef ds:uri="http://schemas.microsoft.com/office/2006/metadata/properties"/>
    <ds:schemaRef ds:uri="http://schemas.microsoft.com/office/infopath/2007/PartnerControls"/>
    <ds:schemaRef ds:uri="e649cc0b-cbdc-4486-98f1-dba1397f6c30"/>
    <ds:schemaRef ds:uri="d88bd63c-9a6d-4162-b16a-aa36a5481a86"/>
  </ds:schemaRefs>
</ds:datastoreItem>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919</Words>
  <Characters>5244</Characters>
  <Application>Microsoft Office Word</Application>
  <DocSecurity>8</DocSecurity>
  <Lines>43</Lines>
  <Paragraphs>12</Paragraphs>
  <ScaleCrop>false</ScaleCrop>
  <HeadingPairs>
    <vt:vector size="2" baseType="variant">
      <vt:variant>
        <vt:lpstr>Title</vt:lpstr>
      </vt:variant>
      <vt:variant>
        <vt:i4>1</vt:i4>
      </vt:variant>
    </vt:vector>
  </HeadingPairs>
  <TitlesOfParts>
    <vt:vector size="1" baseType="lpstr">
      <vt:lpstr>Resumen Ejecutivo de Indicadores de las CCO</vt:lpstr>
    </vt:vector>
  </TitlesOfParts>
  <Manager/>
  <Company>Oregon Health Authority (OHA)</Company>
  <LinksUpToDate>false</LinksUpToDate>
  <CharactersWithSpaces>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Resumen Ejecutivo de Indicadores de las CCO</dc:title>
  <dc:subject/>
  <dc:creator>Oregon Health Authority</dc:creator>
  <cp:keywords/>
  <dc:description/>
  <cp:lastModifiedBy>Carly Castaneda (she/her)</cp:lastModifiedBy>
  <cp:revision>5</cp:revision>
  <cp:lastPrinted>2026-10-01T21:03:00Z</cp:lastPrinted>
  <dcterms:created xsi:type="dcterms:W3CDTF">2026-10-15T17:53:00Z</dcterms:created>
  <dcterms:modified xsi:type="dcterms:W3CDTF">2026-10-15T17:56:00Z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0x01010013F7E6828B21CD429B32949F799B911B</vt:lpwstr>
  </property>
  <property fmtid="{D5CDD505-2E9C-101B-9397-08002B2CF9AE}" pid="3" name="MediaServiceImageTags">
    <vt:lpwstr/>
  </property>
  <property fmtid="{D5CDD505-2E9C-101B-9397-08002B2CF9AE}" pid="4" name="MSIP_Label_ebdd6eeb-0dd0-4927-947e-a759f08fcf55_Enabled">
    <vt:lpwstr>true</vt:lpwstr>
  </property>
  <property fmtid="{D5CDD505-2E9C-101B-9397-08002B2CF9AE}" pid="5" name="MSIP_Label_ebdd6eeb-0dd0-4927-947e-a759f08fcf55_SetDate">
    <vt:lpwstr>2023-11-21T21:46:42Z</vt:lpwstr>
  </property>
  <property fmtid="{D5CDD505-2E9C-101B-9397-08002B2CF9AE}" pid="6" name="MSIP_Label_ebdd6eeb-0dd0-4927-947e-a759f08fcf55_Method">
    <vt:lpwstr>Privileged</vt:lpwstr>
  </property>
  <property fmtid="{D5CDD505-2E9C-101B-9397-08002B2CF9AE}" pid="7" name="MSIP_Label_ebdd6eeb-0dd0-4927-947e-a759f08fcf55_Name">
    <vt:lpwstr>Level 1 - Published (Items)</vt:lpwstr>
  </property>
  <property fmtid="{D5CDD505-2E9C-101B-9397-08002B2CF9AE}" pid="8" name="MSIP_Label_ebdd6eeb-0dd0-4927-947e-a759f08fcf55_SiteId">
    <vt:lpwstr>658e63e8-8d39-499c-8f48-13adc9452f4c</vt:lpwstr>
  </property>
  <property fmtid="{D5CDD505-2E9C-101B-9397-08002B2CF9AE}" pid="9" name="MSIP_Label_ebdd6eeb-0dd0-4927-947e-a759f08fcf55_ActionId">
    <vt:lpwstr>1308697a-3a74-4c75-99c8-7f1ce4149717</vt:lpwstr>
  </property>
  <property fmtid="{D5CDD505-2E9C-101B-9397-08002B2CF9AE}" pid="10" name="MSIP_Label_ebdd6eeb-0dd0-4927-947e-a759f08fcf55_ContentBits">
    <vt:lpwstr>0</vt:lpwstr>
  </property>
  <property fmtid="{D5CDD505-2E9C-101B-9397-08002B2CF9AE}" pid="11" name="GrammarlyDocumentId">
    <vt:lpwstr>d0f056262788ca4292fb518a909f60a3b1cc4556626dc54d566bbdd665f13cdd</vt:lpwstr>
  </property>
</Properties>
</file>