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D42E" w14:textId="77777777" w:rsidR="00514A68" w:rsidRDefault="00CF04F5" w:rsidP="009C52BC">
      <w:pPr>
        <w:pStyle w:val="Addressblock"/>
        <w:framePr w:w="7305" w:wrap="around" w:x="4119" w:y="361"/>
        <w:rPr>
          <w:rFonts w:cs="Arial"/>
          <w:noProof/>
        </w:rPr>
      </w:pPr>
      <w:r>
        <w:rPr>
          <w:rFonts w:cs="Arial"/>
          <w:noProof/>
        </w:rPr>
        <w:t>500 Summer St NE, E-64</w:t>
      </w:r>
    </w:p>
    <w:p w14:paraId="3CD6A7A7" w14:textId="77777777" w:rsidR="00514A68" w:rsidRPr="00185287" w:rsidRDefault="00514A68" w:rsidP="009C52BC">
      <w:pPr>
        <w:pStyle w:val="Addressblock"/>
        <w:framePr w:w="7305" w:wrap="around" w:x="4119" w:y="361"/>
      </w:pPr>
      <w:r>
        <w:rPr>
          <w:rFonts w:cs="Arial"/>
          <w:noProof/>
        </w:rPr>
        <w:t>Salem, OR  97301</w:t>
      </w:r>
    </w:p>
    <w:p w14:paraId="11EA7B53" w14:textId="77777777" w:rsidR="00514A68" w:rsidRPr="007C3481" w:rsidRDefault="00EF1F2A" w:rsidP="009C52BC">
      <w:pPr>
        <w:pStyle w:val="Addressblock"/>
        <w:framePr w:w="7305" w:wrap="around" w:x="4119" w:y="361"/>
        <w:rPr>
          <w:rFonts w:cs="Arial"/>
          <w:noProof/>
        </w:rPr>
      </w:pPr>
      <w:hyperlink r:id="rId8" w:history="1">
        <w:r w:rsidR="009C52BC" w:rsidRPr="009C52BC">
          <w:rPr>
            <w:rStyle w:val="Hyperlink"/>
            <w:rFonts w:cs="Arial"/>
            <w:noProof/>
          </w:rPr>
          <w:t>Website</w:t>
        </w:r>
      </w:hyperlink>
    </w:p>
    <w:p w14:paraId="6B89E7D5" w14:textId="77777777" w:rsidR="007F4944" w:rsidRPr="007B6FDE" w:rsidRDefault="007F4944" w:rsidP="007B6FDE">
      <w:pPr>
        <w:pStyle w:val="Default"/>
        <w:rPr>
          <w:rFonts w:ascii="Times New Roman" w:hAnsi="Times New Roman"/>
        </w:rPr>
      </w:pPr>
    </w:p>
    <w:p w14:paraId="248FB790" w14:textId="77777777" w:rsidR="007F4944" w:rsidRPr="007B6FDE" w:rsidRDefault="007F4944" w:rsidP="007B6FDE">
      <w:pPr>
        <w:pStyle w:val="Default"/>
        <w:rPr>
          <w:rFonts w:ascii="Times New Roman" w:hAnsi="Times New Roman"/>
        </w:rPr>
      </w:pPr>
    </w:p>
    <w:p w14:paraId="3881D96B" w14:textId="77777777" w:rsidR="00AC23E9" w:rsidRPr="007B6FDE" w:rsidRDefault="00AC23E9" w:rsidP="007B6FDE">
      <w:pPr>
        <w:pStyle w:val="Default"/>
        <w:rPr>
          <w:rFonts w:ascii="Times New Roman" w:hAnsi="Times New Roman"/>
        </w:rPr>
      </w:pPr>
    </w:p>
    <w:p w14:paraId="687EA9FF" w14:textId="77777777" w:rsidR="00AC23E9" w:rsidRPr="007B6FDE" w:rsidRDefault="00AC23E9" w:rsidP="007B6FDE">
      <w:pPr>
        <w:pStyle w:val="Default"/>
        <w:rPr>
          <w:rFonts w:ascii="Times New Roman" w:hAnsi="Times New Roman"/>
        </w:rPr>
      </w:pPr>
    </w:p>
    <w:p w14:paraId="5E4C8A74" w14:textId="77777777" w:rsidR="00AC23E9" w:rsidRPr="007B6FDE" w:rsidRDefault="00AC23E9" w:rsidP="007B6FDE">
      <w:pPr>
        <w:pStyle w:val="Default"/>
        <w:rPr>
          <w:rFonts w:ascii="Times New Roman" w:hAnsi="Times New Roman"/>
        </w:rPr>
      </w:pPr>
    </w:p>
    <w:p w14:paraId="396876C8" w14:textId="77777777" w:rsidR="00AC23E9" w:rsidRPr="007B6FDE" w:rsidRDefault="00AC23E9" w:rsidP="007B6FDE">
      <w:pPr>
        <w:pStyle w:val="Default"/>
        <w:rPr>
          <w:rFonts w:ascii="Times New Roman" w:hAnsi="Times New Roman"/>
        </w:rPr>
      </w:pPr>
    </w:p>
    <w:p w14:paraId="77A1AD0C" w14:textId="771BDCE0" w:rsidR="00743801" w:rsidRPr="00743801" w:rsidRDefault="00743801" w:rsidP="00743801">
      <w:pPr>
        <w:jc w:val="center"/>
        <w:rPr>
          <w:rFonts w:cs="Arial"/>
          <w:b/>
          <w:bCs/>
        </w:rPr>
      </w:pPr>
      <w:r w:rsidRPr="00743801">
        <w:rPr>
          <w:rFonts w:cs="Arial"/>
          <w:b/>
          <w:bCs/>
        </w:rPr>
        <w:t>Community Benefit Minimum Spending Floor Methodology Announcement for Hospital Fiscal Years 202</w:t>
      </w:r>
      <w:r w:rsidR="00F16139">
        <w:rPr>
          <w:rFonts w:cs="Arial"/>
          <w:b/>
          <w:bCs/>
        </w:rPr>
        <w:t>4</w:t>
      </w:r>
      <w:r w:rsidRPr="00743801">
        <w:rPr>
          <w:rFonts w:cs="Arial"/>
          <w:b/>
          <w:bCs/>
        </w:rPr>
        <w:t xml:space="preserve"> and 202</w:t>
      </w:r>
      <w:r w:rsidR="00F16139">
        <w:rPr>
          <w:rFonts w:cs="Arial"/>
          <w:b/>
          <w:bCs/>
        </w:rPr>
        <w:t>5</w:t>
      </w:r>
    </w:p>
    <w:p w14:paraId="10788FC3" w14:textId="77777777" w:rsidR="00743801" w:rsidRDefault="00743801" w:rsidP="00743801">
      <w:pPr>
        <w:rPr>
          <w:rFonts w:cs="Arial"/>
          <w:u w:val="single"/>
        </w:rPr>
      </w:pPr>
    </w:p>
    <w:p w14:paraId="7C2FDC9D" w14:textId="77777777" w:rsidR="00743801" w:rsidRPr="00A67EA2" w:rsidRDefault="00743801" w:rsidP="00743801">
      <w:pPr>
        <w:rPr>
          <w:rFonts w:cs="Arial"/>
          <w:u w:val="single"/>
        </w:rPr>
      </w:pPr>
      <w:r w:rsidRPr="00A67EA2">
        <w:rPr>
          <w:rFonts w:cs="Arial"/>
          <w:u w:val="single"/>
        </w:rPr>
        <w:t>Background</w:t>
      </w:r>
    </w:p>
    <w:p w14:paraId="532F7CC1" w14:textId="77777777" w:rsidR="00743801" w:rsidRDefault="00743801" w:rsidP="00743801">
      <w:pPr>
        <w:rPr>
          <w:rFonts w:cs="Arial"/>
        </w:rPr>
      </w:pPr>
    </w:p>
    <w:p w14:paraId="5FD1CC8E" w14:textId="3EB14855" w:rsidR="00743801" w:rsidRDefault="00743801" w:rsidP="00743801">
      <w:pPr>
        <w:rPr>
          <w:rFonts w:cs="Arial"/>
        </w:rPr>
      </w:pPr>
      <w:r>
        <w:rPr>
          <w:rFonts w:cs="Arial"/>
        </w:rPr>
        <w:t>Pursuant to OAR 409-023-0110</w:t>
      </w:r>
      <w:r w:rsidR="00217880">
        <w:rPr>
          <w:rFonts w:cs="Arial"/>
        </w:rPr>
        <w:t>,</w:t>
      </w:r>
      <w:r>
        <w:rPr>
          <w:rFonts w:cs="Arial"/>
        </w:rPr>
        <w:t xml:space="preserve"> the Oregon Health Authority</w:t>
      </w:r>
      <w:r w:rsidR="00B97942">
        <w:rPr>
          <w:rFonts w:cs="Arial"/>
        </w:rPr>
        <w:t xml:space="preserve"> (OHA)</w:t>
      </w:r>
      <w:r>
        <w:rPr>
          <w:rFonts w:cs="Arial"/>
        </w:rPr>
        <w:t xml:space="preserve"> </w:t>
      </w:r>
      <w:r w:rsidR="0058164C">
        <w:rPr>
          <w:rFonts w:cs="Arial"/>
        </w:rPr>
        <w:t xml:space="preserve">will </w:t>
      </w:r>
      <w:r w:rsidR="00182CF2">
        <w:rPr>
          <w:rFonts w:cs="Arial"/>
        </w:rPr>
        <w:t xml:space="preserve">publish </w:t>
      </w:r>
      <w:r>
        <w:rPr>
          <w:rFonts w:cs="Arial"/>
        </w:rPr>
        <w:t xml:space="preserve">the formula used to </w:t>
      </w:r>
      <w:r w:rsidR="00182CF2">
        <w:rPr>
          <w:rFonts w:cs="Arial"/>
        </w:rPr>
        <w:t xml:space="preserve">calculate hospitals’ </w:t>
      </w:r>
      <w:r w:rsidR="00217880">
        <w:rPr>
          <w:rFonts w:cs="Arial"/>
        </w:rPr>
        <w:t>community benefit</w:t>
      </w:r>
      <w:r w:rsidR="00217880" w:rsidRPr="00217880">
        <w:rPr>
          <w:rFonts w:cs="Arial"/>
        </w:rPr>
        <w:t xml:space="preserve"> </w:t>
      </w:r>
      <w:r>
        <w:rPr>
          <w:rFonts w:cs="Arial"/>
        </w:rPr>
        <w:t xml:space="preserve">minimum spending floors </w:t>
      </w:r>
      <w:r w:rsidR="0058164C">
        <w:rPr>
          <w:rFonts w:cs="Arial"/>
        </w:rPr>
        <w:t xml:space="preserve">for a </w:t>
      </w:r>
      <w:r w:rsidR="00373176">
        <w:rPr>
          <w:rFonts w:cs="Arial"/>
        </w:rPr>
        <w:t>two-year</w:t>
      </w:r>
      <w:r w:rsidR="0058164C">
        <w:rPr>
          <w:rFonts w:cs="Arial"/>
        </w:rPr>
        <w:t xml:space="preserve"> cycle </w:t>
      </w:r>
      <w:r>
        <w:rPr>
          <w:rFonts w:cs="Arial"/>
        </w:rPr>
        <w:t>by January first of every odd</w:t>
      </w:r>
      <w:r w:rsidR="00182CF2">
        <w:rPr>
          <w:rFonts w:cs="Arial"/>
        </w:rPr>
        <w:t>-</w:t>
      </w:r>
      <w:r>
        <w:rPr>
          <w:rFonts w:cs="Arial"/>
        </w:rPr>
        <w:t>number</w:t>
      </w:r>
      <w:r w:rsidR="00182CF2">
        <w:rPr>
          <w:rFonts w:cs="Arial"/>
        </w:rPr>
        <w:t>ed</w:t>
      </w:r>
      <w:r>
        <w:rPr>
          <w:rFonts w:cs="Arial"/>
        </w:rPr>
        <w:t xml:space="preserve"> year. </w:t>
      </w:r>
      <w:r w:rsidR="00217880" w:rsidRPr="00217880">
        <w:rPr>
          <w:rFonts w:cs="Arial"/>
        </w:rPr>
        <w:t>The community benefit minimum spending floor program is effective January 1, 2021</w:t>
      </w:r>
      <w:r w:rsidR="00217880">
        <w:rPr>
          <w:rFonts w:cs="Arial"/>
        </w:rPr>
        <w:t>.</w:t>
      </w:r>
    </w:p>
    <w:p w14:paraId="0EA158A1" w14:textId="77777777" w:rsidR="00743801" w:rsidRPr="00A67EA2" w:rsidRDefault="00743801" w:rsidP="00743801">
      <w:pPr>
        <w:rPr>
          <w:rFonts w:cs="Arial"/>
        </w:rPr>
      </w:pPr>
    </w:p>
    <w:p w14:paraId="5ED1C153" w14:textId="07E4FDED" w:rsidR="00743801" w:rsidRDefault="00743801" w:rsidP="00743801">
      <w:pPr>
        <w:rPr>
          <w:rFonts w:cs="Arial"/>
          <w:u w:val="single"/>
        </w:rPr>
      </w:pPr>
      <w:r w:rsidRPr="00E710DD">
        <w:rPr>
          <w:rFonts w:cs="Arial"/>
          <w:u w:val="single"/>
        </w:rPr>
        <w:t xml:space="preserve">Spending </w:t>
      </w:r>
      <w:r w:rsidR="007448C3">
        <w:rPr>
          <w:rFonts w:cs="Arial"/>
          <w:u w:val="single"/>
        </w:rPr>
        <w:t>F</w:t>
      </w:r>
      <w:r w:rsidRPr="00E710DD">
        <w:rPr>
          <w:rFonts w:cs="Arial"/>
          <w:u w:val="single"/>
        </w:rPr>
        <w:t xml:space="preserve">loor </w:t>
      </w:r>
      <w:r w:rsidR="007448C3">
        <w:rPr>
          <w:rFonts w:cs="Arial"/>
          <w:u w:val="single"/>
        </w:rPr>
        <w:t>M</w:t>
      </w:r>
      <w:r w:rsidRPr="00E710DD">
        <w:rPr>
          <w:rFonts w:cs="Arial"/>
          <w:u w:val="single"/>
        </w:rPr>
        <w:t>ethodology</w:t>
      </w:r>
      <w:r>
        <w:rPr>
          <w:rFonts w:cs="Arial"/>
          <w:u w:val="single"/>
        </w:rPr>
        <w:t xml:space="preserve"> for </w:t>
      </w:r>
      <w:r w:rsidR="007448C3">
        <w:rPr>
          <w:rFonts w:cs="Arial"/>
          <w:u w:val="single"/>
        </w:rPr>
        <w:t>H</w:t>
      </w:r>
      <w:r>
        <w:rPr>
          <w:rFonts w:cs="Arial"/>
          <w:u w:val="single"/>
        </w:rPr>
        <w:t xml:space="preserve">ospital </w:t>
      </w:r>
      <w:r w:rsidR="007448C3">
        <w:rPr>
          <w:rFonts w:cs="Arial"/>
          <w:u w:val="single"/>
        </w:rPr>
        <w:t>F</w:t>
      </w:r>
      <w:r>
        <w:rPr>
          <w:rFonts w:cs="Arial"/>
          <w:u w:val="single"/>
        </w:rPr>
        <w:t xml:space="preserve">iscal </w:t>
      </w:r>
      <w:r w:rsidR="007448C3">
        <w:rPr>
          <w:rFonts w:cs="Arial"/>
          <w:u w:val="single"/>
        </w:rPr>
        <w:t>Y</w:t>
      </w:r>
      <w:r>
        <w:rPr>
          <w:rFonts w:cs="Arial"/>
          <w:u w:val="single"/>
        </w:rPr>
        <w:t>ears 202</w:t>
      </w:r>
      <w:r w:rsidR="00F16139">
        <w:rPr>
          <w:rFonts w:cs="Arial"/>
          <w:u w:val="single"/>
        </w:rPr>
        <w:t>4</w:t>
      </w:r>
      <w:r>
        <w:rPr>
          <w:rFonts w:cs="Arial"/>
          <w:u w:val="single"/>
        </w:rPr>
        <w:t xml:space="preserve"> and 202</w:t>
      </w:r>
      <w:r w:rsidR="00F16139">
        <w:rPr>
          <w:rFonts w:cs="Arial"/>
          <w:u w:val="single"/>
        </w:rPr>
        <w:t>5</w:t>
      </w:r>
    </w:p>
    <w:p w14:paraId="2FF266C5" w14:textId="77777777" w:rsidR="00743801" w:rsidRPr="00E710DD" w:rsidRDefault="00743801" w:rsidP="00743801">
      <w:pPr>
        <w:rPr>
          <w:rFonts w:cs="Arial"/>
        </w:rPr>
      </w:pPr>
    </w:p>
    <w:p w14:paraId="015D5056" w14:textId="7CA6B705" w:rsidR="00743801" w:rsidRDefault="00743801" w:rsidP="00743801">
      <w:pPr>
        <w:rPr>
          <w:rFonts w:cs="Arial"/>
        </w:rPr>
      </w:pPr>
      <w:r w:rsidRPr="00A67EA2">
        <w:rPr>
          <w:rFonts w:cs="Arial"/>
        </w:rPr>
        <w:t xml:space="preserve">OHA will </w:t>
      </w:r>
      <w:r w:rsidR="00217880">
        <w:rPr>
          <w:rFonts w:cs="Arial"/>
        </w:rPr>
        <w:t xml:space="preserve">assign </w:t>
      </w:r>
      <w:r w:rsidR="000E3101">
        <w:rPr>
          <w:rFonts w:cs="Arial"/>
        </w:rPr>
        <w:t xml:space="preserve">and publish </w:t>
      </w:r>
      <w:r w:rsidR="00217880">
        <w:rPr>
          <w:rFonts w:cs="Arial"/>
        </w:rPr>
        <w:t>minimum</w:t>
      </w:r>
      <w:r w:rsidR="00217880" w:rsidRPr="00217880">
        <w:rPr>
          <w:rFonts w:cs="Arial"/>
        </w:rPr>
        <w:t xml:space="preserve"> spending floors </w:t>
      </w:r>
      <w:r w:rsidR="00217880">
        <w:rPr>
          <w:rFonts w:cs="Arial"/>
        </w:rPr>
        <w:t>using</w:t>
      </w:r>
      <w:r w:rsidRPr="00A67EA2">
        <w:rPr>
          <w:rFonts w:cs="Arial"/>
        </w:rPr>
        <w:t xml:space="preserve"> the following formula </w:t>
      </w:r>
      <w:r>
        <w:rPr>
          <w:rFonts w:cs="Arial"/>
        </w:rPr>
        <w:t xml:space="preserve">for </w:t>
      </w:r>
      <w:r w:rsidR="007448C3">
        <w:rPr>
          <w:rFonts w:cs="Arial"/>
        </w:rPr>
        <w:t>hospital fiscal years</w:t>
      </w:r>
      <w:r>
        <w:rPr>
          <w:rFonts w:cs="Arial"/>
        </w:rPr>
        <w:t xml:space="preserve"> 202</w:t>
      </w:r>
      <w:r w:rsidR="00F16139">
        <w:rPr>
          <w:rFonts w:cs="Arial"/>
        </w:rPr>
        <w:t>4</w:t>
      </w:r>
      <w:r>
        <w:rPr>
          <w:rFonts w:cs="Arial"/>
        </w:rPr>
        <w:t>-202</w:t>
      </w:r>
      <w:r w:rsidR="00F16139">
        <w:rPr>
          <w:rFonts w:cs="Arial"/>
        </w:rPr>
        <w:t>5</w:t>
      </w:r>
      <w:r w:rsidR="007448C3">
        <w:rPr>
          <w:rFonts w:cs="Arial"/>
        </w:rPr>
        <w:t>:</w:t>
      </w:r>
    </w:p>
    <w:p w14:paraId="73DFB2A1" w14:textId="77777777" w:rsidR="00743801" w:rsidRPr="00A67EA2" w:rsidRDefault="00743801" w:rsidP="00743801">
      <w:pPr>
        <w:rPr>
          <w:rFonts w:cs="Arial"/>
        </w:rPr>
      </w:pPr>
    </w:p>
    <w:p w14:paraId="67D4BDF4" w14:textId="76D7BD33" w:rsidR="00743801" w:rsidRDefault="00743801" w:rsidP="00743801">
      <w:pPr>
        <w:rPr>
          <w:rFonts w:cs="Arial"/>
        </w:rPr>
      </w:pPr>
      <w:r>
        <w:rPr>
          <w:rFonts w:cs="Arial"/>
        </w:rPr>
        <w:t>FY2</w:t>
      </w:r>
      <w:r w:rsidR="00F16139">
        <w:rPr>
          <w:rFonts w:cs="Arial"/>
        </w:rPr>
        <w:t>4</w:t>
      </w:r>
      <w:r w:rsidRPr="00A67EA2">
        <w:rPr>
          <w:rFonts w:cs="Arial"/>
        </w:rPr>
        <w:t xml:space="preserve"> </w:t>
      </w:r>
      <w:r>
        <w:rPr>
          <w:rFonts w:cs="Arial"/>
        </w:rPr>
        <w:t>spending floor</w:t>
      </w:r>
      <w:r w:rsidRPr="00A67EA2">
        <w:rPr>
          <w:rFonts w:cs="Arial"/>
        </w:rPr>
        <w:t xml:space="preserve"> = </w:t>
      </w:r>
      <w:r w:rsidRPr="00A67EA2">
        <w:rPr>
          <w:rFonts w:cs="Arial"/>
          <w:b/>
          <w:bCs/>
          <w:i/>
          <w:iCs/>
          <w:color w:val="00B0F0"/>
        </w:rPr>
        <w:t xml:space="preserve">3-year average of </w:t>
      </w:r>
      <w:r w:rsidRPr="00A67EA2">
        <w:rPr>
          <w:rFonts w:cs="Arial"/>
          <w:b/>
          <w:i/>
          <w:color w:val="00B0F0"/>
        </w:rPr>
        <w:t>unreimbursed care spending</w:t>
      </w:r>
      <w:r w:rsidRPr="00A67EA2">
        <w:rPr>
          <w:rFonts w:cs="Arial"/>
        </w:rPr>
        <w:t xml:space="preserve"> + </w:t>
      </w:r>
      <w:r>
        <w:rPr>
          <w:rFonts w:cs="Arial"/>
        </w:rPr>
        <w:t>(</w:t>
      </w:r>
      <w:r>
        <w:rPr>
          <w:rFonts w:cs="Arial"/>
          <w:b/>
          <w:i/>
          <w:color w:val="FF0000"/>
        </w:rPr>
        <w:t>Direct Spending Net Patient Revenue Percentage</w:t>
      </w:r>
      <w:r w:rsidRPr="00A67EA2">
        <w:rPr>
          <w:rFonts w:cs="Arial"/>
        </w:rPr>
        <w:t xml:space="preserve"> x </w:t>
      </w:r>
      <w:r w:rsidRPr="001B2E56">
        <w:rPr>
          <w:rFonts w:cs="Arial"/>
          <w:b/>
          <w:bCs/>
          <w:i/>
          <w:iCs/>
          <w:color w:val="5F497A" w:themeColor="accent4" w:themeShade="BF"/>
        </w:rPr>
        <w:t xml:space="preserve">3-year </w:t>
      </w:r>
      <w:r w:rsidRPr="001B2E56">
        <w:rPr>
          <w:rFonts w:cs="Arial"/>
          <w:b/>
          <w:i/>
          <w:color w:val="5F497A" w:themeColor="accent4" w:themeShade="BF"/>
        </w:rPr>
        <w:t>average operating margin</w:t>
      </w:r>
      <w:r w:rsidRPr="001B2E56">
        <w:rPr>
          <w:rFonts w:cs="Arial"/>
          <w:b/>
          <w:color w:val="5F497A" w:themeColor="accent4" w:themeShade="BF"/>
        </w:rPr>
        <w:t xml:space="preserve"> </w:t>
      </w:r>
      <w:r w:rsidRPr="001B2E56">
        <w:rPr>
          <w:rFonts w:cs="Arial"/>
          <w:b/>
          <w:i/>
          <w:iCs/>
          <w:color w:val="5F497A" w:themeColor="accent4" w:themeShade="BF"/>
        </w:rPr>
        <w:t>multiplier</w:t>
      </w:r>
      <w:r w:rsidRPr="00A67EA2">
        <w:rPr>
          <w:rFonts w:cs="Arial"/>
        </w:rPr>
        <w:t>)</w:t>
      </w:r>
    </w:p>
    <w:p w14:paraId="67881B92" w14:textId="77777777" w:rsidR="00743801" w:rsidRPr="00A67EA2" w:rsidRDefault="00743801" w:rsidP="00743801">
      <w:pPr>
        <w:rPr>
          <w:rFonts w:cs="Arial"/>
        </w:rPr>
      </w:pPr>
    </w:p>
    <w:p w14:paraId="6B969963" w14:textId="68BFDFF8" w:rsidR="00743801" w:rsidRPr="00A67EA2" w:rsidRDefault="00743801" w:rsidP="00743801">
      <w:pPr>
        <w:rPr>
          <w:rFonts w:cs="Arial"/>
        </w:rPr>
      </w:pPr>
      <w:r>
        <w:rPr>
          <w:rFonts w:cs="Arial"/>
        </w:rPr>
        <w:t>FY2</w:t>
      </w:r>
      <w:r w:rsidR="00F16139">
        <w:rPr>
          <w:rFonts w:cs="Arial"/>
        </w:rPr>
        <w:t>5</w:t>
      </w:r>
      <w:r w:rsidRPr="00A67EA2">
        <w:rPr>
          <w:rFonts w:cs="Arial"/>
        </w:rPr>
        <w:t xml:space="preserve"> </w:t>
      </w:r>
      <w:r>
        <w:rPr>
          <w:rFonts w:cs="Arial"/>
        </w:rPr>
        <w:t>spending floor</w:t>
      </w:r>
      <w:r w:rsidRPr="00A67EA2">
        <w:rPr>
          <w:rFonts w:cs="Arial"/>
        </w:rPr>
        <w:t xml:space="preserve"> = </w:t>
      </w:r>
      <w:r>
        <w:rPr>
          <w:rFonts w:cs="Arial"/>
          <w:b/>
          <w:bCs/>
          <w:i/>
          <w:iCs/>
        </w:rPr>
        <w:t>FY2</w:t>
      </w:r>
      <w:r w:rsidR="00F16139">
        <w:rPr>
          <w:rFonts w:cs="Arial"/>
          <w:b/>
          <w:bCs/>
          <w:i/>
          <w:iCs/>
        </w:rPr>
        <w:t>4</w:t>
      </w:r>
      <w:r w:rsidRPr="00A67EA2">
        <w:rPr>
          <w:rFonts w:cs="Arial"/>
          <w:b/>
          <w:bCs/>
          <w:i/>
          <w:iCs/>
        </w:rPr>
        <w:t xml:space="preserve"> </w:t>
      </w:r>
      <w:r>
        <w:rPr>
          <w:rFonts w:cs="Arial"/>
          <w:b/>
          <w:bCs/>
          <w:i/>
          <w:iCs/>
        </w:rPr>
        <w:t>spending floor</w:t>
      </w:r>
      <w:r w:rsidRPr="00A67EA2">
        <w:rPr>
          <w:rFonts w:cs="Arial"/>
        </w:rPr>
        <w:t xml:space="preserve"> + (</w:t>
      </w:r>
      <w:r>
        <w:rPr>
          <w:rFonts w:cs="Arial"/>
          <w:b/>
          <w:bCs/>
          <w:i/>
          <w:iCs/>
        </w:rPr>
        <w:t>FY2</w:t>
      </w:r>
      <w:r w:rsidR="00F16139">
        <w:rPr>
          <w:rFonts w:cs="Arial"/>
          <w:b/>
          <w:bCs/>
          <w:i/>
          <w:iCs/>
        </w:rPr>
        <w:t>4</w:t>
      </w:r>
      <w:r w:rsidRPr="00A67EA2">
        <w:rPr>
          <w:rFonts w:cs="Arial"/>
          <w:b/>
          <w:bCs/>
          <w:i/>
          <w:iCs/>
        </w:rPr>
        <w:t xml:space="preserve"> </w:t>
      </w:r>
      <w:r>
        <w:rPr>
          <w:rFonts w:cs="Arial"/>
          <w:b/>
          <w:bCs/>
          <w:i/>
          <w:iCs/>
        </w:rPr>
        <w:t>spending floor</w:t>
      </w:r>
      <w:r w:rsidRPr="001B2E56">
        <w:rPr>
          <w:rFonts w:cs="Arial"/>
          <w:color w:val="4F6228" w:themeColor="accent3" w:themeShade="80"/>
        </w:rPr>
        <w:t xml:space="preserve">* </w:t>
      </w:r>
      <w:r w:rsidRPr="001B2E56">
        <w:rPr>
          <w:rFonts w:cs="Arial"/>
          <w:b/>
          <w:bCs/>
          <w:i/>
          <w:iCs/>
          <w:color w:val="4F6228" w:themeColor="accent3" w:themeShade="80"/>
        </w:rPr>
        <w:t xml:space="preserve">4-year average </w:t>
      </w:r>
      <w:r w:rsidRPr="001B2E56">
        <w:rPr>
          <w:rFonts w:cs="Arial"/>
          <w:b/>
          <w:i/>
          <w:color w:val="4F6228" w:themeColor="accent3" w:themeShade="80"/>
        </w:rPr>
        <w:t>percent change in net patient revenue, capped at +/- 10%</w:t>
      </w:r>
      <w:r w:rsidRPr="00A67EA2">
        <w:rPr>
          <w:rFonts w:cs="Arial"/>
        </w:rPr>
        <w:t>)</w:t>
      </w:r>
    </w:p>
    <w:p w14:paraId="0B8753A5" w14:textId="77777777" w:rsidR="00743801" w:rsidRDefault="00743801" w:rsidP="00743801">
      <w:pPr>
        <w:rPr>
          <w:rFonts w:cs="Arial"/>
        </w:rPr>
      </w:pPr>
    </w:p>
    <w:p w14:paraId="61A08AF9" w14:textId="77777777" w:rsidR="00743801" w:rsidRDefault="00743801" w:rsidP="00743801">
      <w:pPr>
        <w:rPr>
          <w:rFonts w:cs="Arial"/>
        </w:rPr>
      </w:pPr>
      <w:r w:rsidRPr="00A67EA2">
        <w:rPr>
          <w:rFonts w:cs="Arial"/>
        </w:rPr>
        <w:t>Where:</w:t>
      </w:r>
    </w:p>
    <w:p w14:paraId="67006ED6" w14:textId="77777777" w:rsidR="007448C3" w:rsidRPr="00A67EA2" w:rsidRDefault="007448C3" w:rsidP="00743801">
      <w:pPr>
        <w:rPr>
          <w:rFonts w:cs="Arial"/>
        </w:rPr>
      </w:pPr>
    </w:p>
    <w:p w14:paraId="16A8F5AA" w14:textId="5BD12180" w:rsidR="00743801" w:rsidRDefault="00743801" w:rsidP="00743801">
      <w:pPr>
        <w:rPr>
          <w:rFonts w:cs="Arial"/>
        </w:rPr>
      </w:pPr>
      <w:r w:rsidRPr="00A67EA2">
        <w:rPr>
          <w:rFonts w:cs="Arial"/>
          <w:i/>
          <w:color w:val="00B0F0"/>
        </w:rPr>
        <w:t>Three-year average of unreimbursed care</w:t>
      </w:r>
      <w:r w:rsidRPr="00A67EA2">
        <w:rPr>
          <w:rFonts w:cs="Arial"/>
          <w:color w:val="00B0F0"/>
        </w:rPr>
        <w:t xml:space="preserve"> </w:t>
      </w:r>
      <w:r w:rsidRPr="00A67EA2">
        <w:rPr>
          <w:rFonts w:cs="Arial"/>
        </w:rPr>
        <w:t xml:space="preserve">is the arithmetic mean of the sum of unreimbursed Medicaid net costs, charity care net costs, other public programs net costs, and subsidized health services net costs for </w:t>
      </w:r>
      <w:r>
        <w:rPr>
          <w:rFonts w:cs="Arial"/>
        </w:rPr>
        <w:t>FY 20</w:t>
      </w:r>
      <w:r w:rsidR="00F16139">
        <w:rPr>
          <w:rFonts w:cs="Arial"/>
        </w:rPr>
        <w:t>20</w:t>
      </w:r>
      <w:r>
        <w:rPr>
          <w:rFonts w:cs="Arial"/>
        </w:rPr>
        <w:t>, FY 20</w:t>
      </w:r>
      <w:r w:rsidR="00F16139">
        <w:rPr>
          <w:rFonts w:cs="Arial"/>
        </w:rPr>
        <w:t>21</w:t>
      </w:r>
      <w:r>
        <w:rPr>
          <w:rFonts w:cs="Arial"/>
        </w:rPr>
        <w:t>, FY 202</w:t>
      </w:r>
      <w:r w:rsidR="00F16139">
        <w:rPr>
          <w:rFonts w:cs="Arial"/>
        </w:rPr>
        <w:t>2</w:t>
      </w:r>
      <w:r>
        <w:rPr>
          <w:rFonts w:cs="Arial"/>
        </w:rPr>
        <w:t xml:space="preserve"> as reported on form CBR-1 to OHA.</w:t>
      </w:r>
    </w:p>
    <w:p w14:paraId="6AE54024" w14:textId="77777777" w:rsidR="007448C3" w:rsidRPr="00A67EA2" w:rsidRDefault="007448C3" w:rsidP="00743801">
      <w:pPr>
        <w:rPr>
          <w:rFonts w:cs="Arial"/>
        </w:rPr>
      </w:pPr>
    </w:p>
    <w:p w14:paraId="77DA868F" w14:textId="570E97A4" w:rsidR="00743801" w:rsidRDefault="00743801" w:rsidP="00743801">
      <w:pPr>
        <w:rPr>
          <w:rFonts w:cs="Arial"/>
        </w:rPr>
      </w:pPr>
      <w:r>
        <w:rPr>
          <w:rFonts w:cs="Arial"/>
          <w:i/>
          <w:color w:val="FF0000"/>
        </w:rPr>
        <w:t>Direct Spending Net Patient Revenue Percentage</w:t>
      </w:r>
      <w:r w:rsidRPr="00A67EA2">
        <w:rPr>
          <w:rFonts w:cs="Arial"/>
          <w:color w:val="FF0000"/>
        </w:rPr>
        <w:t xml:space="preserve"> </w:t>
      </w:r>
      <w:r>
        <w:rPr>
          <w:rFonts w:cs="Arial"/>
        </w:rPr>
        <w:t>is a percentage of net patient revenue for FY 202</w:t>
      </w:r>
      <w:r w:rsidR="00F16139">
        <w:rPr>
          <w:rFonts w:cs="Arial"/>
        </w:rPr>
        <w:t>2</w:t>
      </w:r>
      <w:r>
        <w:rPr>
          <w:rFonts w:cs="Arial"/>
        </w:rPr>
        <w:t xml:space="preserve"> as reported on form FR-3. The percent amount is based on hospital type. For DRG hospitals, the amount is 1.5% of net patient revenue, for Type A and Type B hospitals it is 1.0% of net patient revenue. </w:t>
      </w:r>
    </w:p>
    <w:p w14:paraId="156901EE" w14:textId="77777777" w:rsidR="007448C3" w:rsidRPr="00A67EA2" w:rsidRDefault="007448C3" w:rsidP="00743801">
      <w:pPr>
        <w:rPr>
          <w:rFonts w:cs="Arial"/>
        </w:rPr>
      </w:pPr>
    </w:p>
    <w:p w14:paraId="787BC32D" w14:textId="35ABFD1F" w:rsidR="00743801" w:rsidRPr="00A67EA2" w:rsidRDefault="00743801" w:rsidP="00743801">
      <w:pPr>
        <w:rPr>
          <w:rFonts w:cs="Arial"/>
        </w:rPr>
      </w:pPr>
      <w:r w:rsidRPr="001B2E56">
        <w:rPr>
          <w:rFonts w:cs="Arial"/>
          <w:i/>
          <w:color w:val="5F497A" w:themeColor="accent4" w:themeShade="BF"/>
        </w:rPr>
        <w:t>Three-year average operating margin multiplier</w:t>
      </w:r>
      <w:r w:rsidRPr="001B2E56">
        <w:rPr>
          <w:rFonts w:cs="Arial"/>
          <w:color w:val="5F497A" w:themeColor="accent4" w:themeShade="BF"/>
        </w:rPr>
        <w:t xml:space="preserve"> </w:t>
      </w:r>
      <w:r w:rsidRPr="00A67EA2">
        <w:rPr>
          <w:rFonts w:cs="Arial"/>
        </w:rPr>
        <w:t>is a multiplying factor applied to the</w:t>
      </w:r>
      <w:r>
        <w:rPr>
          <w:rFonts w:cs="Arial"/>
        </w:rPr>
        <w:t xml:space="preserve"> direct spending</w:t>
      </w:r>
      <w:r w:rsidRPr="00A67EA2">
        <w:rPr>
          <w:rFonts w:cs="Arial"/>
        </w:rPr>
        <w:t xml:space="preserve"> </w:t>
      </w:r>
      <w:r>
        <w:rPr>
          <w:rFonts w:cs="Arial"/>
        </w:rPr>
        <w:t>net patient revenue portion</w:t>
      </w:r>
      <w:r w:rsidRPr="00A67EA2">
        <w:rPr>
          <w:rFonts w:cs="Arial"/>
        </w:rPr>
        <w:t xml:space="preserve"> of the formula based on the arithmetic mean of the </w:t>
      </w:r>
      <w:r>
        <w:rPr>
          <w:rFonts w:cs="Arial"/>
        </w:rPr>
        <w:t>FY 20</w:t>
      </w:r>
      <w:r w:rsidR="00F16139">
        <w:rPr>
          <w:rFonts w:cs="Arial"/>
        </w:rPr>
        <w:t>20</w:t>
      </w:r>
      <w:r>
        <w:rPr>
          <w:rFonts w:cs="Arial"/>
        </w:rPr>
        <w:t>, FY 20</w:t>
      </w:r>
      <w:r w:rsidR="00F16139">
        <w:rPr>
          <w:rFonts w:cs="Arial"/>
        </w:rPr>
        <w:t>21</w:t>
      </w:r>
      <w:r>
        <w:rPr>
          <w:rFonts w:cs="Arial"/>
        </w:rPr>
        <w:t>, and FY 202</w:t>
      </w:r>
      <w:r w:rsidR="00F16139">
        <w:rPr>
          <w:rFonts w:cs="Arial"/>
        </w:rPr>
        <w:t>2</w:t>
      </w:r>
      <w:r w:rsidRPr="00A67EA2">
        <w:rPr>
          <w:rFonts w:cs="Arial"/>
        </w:rPr>
        <w:t xml:space="preserve"> operating margin</w:t>
      </w:r>
      <w:r>
        <w:rPr>
          <w:rFonts w:cs="Arial"/>
        </w:rPr>
        <w:t>s</w:t>
      </w:r>
      <w:r w:rsidRPr="00A67EA2">
        <w:rPr>
          <w:rFonts w:cs="Arial"/>
        </w:rPr>
        <w:t>, expressed as a percentage of operating revenue, as reported to OHA on form FR-3. The factors are:</w:t>
      </w:r>
    </w:p>
    <w:p w14:paraId="3EFB8CA2" w14:textId="77777777" w:rsidR="00743801" w:rsidRPr="00A67EA2" w:rsidRDefault="00743801" w:rsidP="00743801">
      <w:pPr>
        <w:pStyle w:val="ListParagraph"/>
        <w:numPr>
          <w:ilvl w:val="0"/>
          <w:numId w:val="37"/>
        </w:numPr>
        <w:spacing w:after="160" w:line="259" w:lineRule="auto"/>
        <w:rPr>
          <w:rFonts w:cs="Arial"/>
        </w:rPr>
      </w:pPr>
      <w:r w:rsidRPr="00A67EA2">
        <w:rPr>
          <w:rFonts w:cs="Arial"/>
        </w:rPr>
        <w:t>1.</w:t>
      </w:r>
      <w:r>
        <w:rPr>
          <w:rFonts w:cs="Arial"/>
        </w:rPr>
        <w:t>05</w:t>
      </w:r>
      <w:r w:rsidRPr="00A67EA2">
        <w:rPr>
          <w:rFonts w:cs="Arial"/>
        </w:rPr>
        <w:t xml:space="preserve"> for three-year average operating margins of 6% or more</w:t>
      </w:r>
    </w:p>
    <w:p w14:paraId="534F0349" w14:textId="77777777" w:rsidR="00743801" w:rsidRPr="00A67EA2" w:rsidRDefault="00743801" w:rsidP="00743801">
      <w:pPr>
        <w:pStyle w:val="ListParagraph"/>
        <w:numPr>
          <w:ilvl w:val="0"/>
          <w:numId w:val="37"/>
        </w:numPr>
        <w:spacing w:after="160" w:line="259" w:lineRule="auto"/>
        <w:rPr>
          <w:rFonts w:cs="Arial"/>
        </w:rPr>
      </w:pPr>
      <w:r>
        <w:rPr>
          <w:rFonts w:cs="Arial"/>
        </w:rPr>
        <w:t>1.0</w:t>
      </w:r>
      <w:r w:rsidRPr="00A67EA2">
        <w:rPr>
          <w:rFonts w:cs="Arial"/>
        </w:rPr>
        <w:t xml:space="preserve"> for three-year average operating margins between 3% and 6%</w:t>
      </w:r>
    </w:p>
    <w:p w14:paraId="193DD898" w14:textId="77777777" w:rsidR="00743801" w:rsidRPr="00A67EA2" w:rsidRDefault="00743801" w:rsidP="00743801">
      <w:pPr>
        <w:pStyle w:val="ListParagraph"/>
        <w:numPr>
          <w:ilvl w:val="0"/>
          <w:numId w:val="37"/>
        </w:numPr>
        <w:spacing w:after="160" w:line="259" w:lineRule="auto"/>
        <w:rPr>
          <w:rFonts w:cs="Arial"/>
        </w:rPr>
      </w:pPr>
      <w:r>
        <w:rPr>
          <w:rFonts w:cs="Arial"/>
        </w:rPr>
        <w:t>0.9</w:t>
      </w:r>
      <w:r w:rsidRPr="00A67EA2">
        <w:rPr>
          <w:rFonts w:cs="Arial"/>
        </w:rPr>
        <w:t xml:space="preserve"> for three-year average operating margins between 0% and 3%</w:t>
      </w:r>
    </w:p>
    <w:p w14:paraId="74AB0739" w14:textId="77777777" w:rsidR="00743801" w:rsidRPr="00A67EA2" w:rsidRDefault="00743801" w:rsidP="00743801">
      <w:pPr>
        <w:pStyle w:val="ListParagraph"/>
        <w:numPr>
          <w:ilvl w:val="0"/>
          <w:numId w:val="37"/>
        </w:numPr>
        <w:spacing w:after="160" w:line="259" w:lineRule="auto"/>
        <w:rPr>
          <w:rFonts w:cs="Arial"/>
        </w:rPr>
      </w:pPr>
      <w:r w:rsidRPr="00A67EA2">
        <w:rPr>
          <w:rFonts w:cs="Arial"/>
        </w:rPr>
        <w:t>0.</w:t>
      </w:r>
      <w:r>
        <w:rPr>
          <w:rFonts w:cs="Arial"/>
        </w:rPr>
        <w:t>8</w:t>
      </w:r>
      <w:r w:rsidRPr="00A67EA2">
        <w:rPr>
          <w:rFonts w:cs="Arial"/>
        </w:rPr>
        <w:t xml:space="preserve"> for three-year average operating margins between -2% and 0%</w:t>
      </w:r>
    </w:p>
    <w:p w14:paraId="604104E6" w14:textId="77777777" w:rsidR="00743801" w:rsidRPr="00A67EA2" w:rsidRDefault="00743801" w:rsidP="00743801">
      <w:pPr>
        <w:pStyle w:val="ListParagraph"/>
        <w:numPr>
          <w:ilvl w:val="0"/>
          <w:numId w:val="37"/>
        </w:numPr>
        <w:spacing w:after="160" w:line="259" w:lineRule="auto"/>
        <w:rPr>
          <w:rFonts w:cs="Arial"/>
        </w:rPr>
      </w:pPr>
      <w:r w:rsidRPr="00A67EA2">
        <w:rPr>
          <w:rFonts w:cs="Arial"/>
        </w:rPr>
        <w:lastRenderedPageBreak/>
        <w:t>0</w:t>
      </w:r>
      <w:r>
        <w:rPr>
          <w:rFonts w:cs="Arial"/>
        </w:rPr>
        <w:t>.75</w:t>
      </w:r>
      <w:r w:rsidRPr="00A67EA2">
        <w:rPr>
          <w:rFonts w:cs="Arial"/>
        </w:rPr>
        <w:t xml:space="preserve"> for three-year average operating margins less than -2%</w:t>
      </w:r>
    </w:p>
    <w:p w14:paraId="3965DAAD" w14:textId="584C0F3E" w:rsidR="00743801" w:rsidRDefault="00743801" w:rsidP="00743801">
      <w:pPr>
        <w:rPr>
          <w:rFonts w:cs="Arial"/>
        </w:rPr>
      </w:pPr>
      <w:r w:rsidRPr="001B2E56">
        <w:rPr>
          <w:rFonts w:cs="Arial"/>
          <w:i/>
          <w:color w:val="4F6228" w:themeColor="accent3" w:themeShade="80"/>
        </w:rPr>
        <w:t xml:space="preserve">Four-year average percent change net patient revenue </w:t>
      </w:r>
      <w:r w:rsidRPr="00A67EA2">
        <w:rPr>
          <w:rFonts w:cs="Arial"/>
        </w:rPr>
        <w:t>is the</w:t>
      </w:r>
      <w:r>
        <w:rPr>
          <w:rFonts w:cs="Arial"/>
        </w:rPr>
        <w:t xml:space="preserve"> arithmetic</w:t>
      </w:r>
      <w:r w:rsidRPr="00A67EA2">
        <w:rPr>
          <w:rFonts w:cs="Arial"/>
        </w:rPr>
        <w:t xml:space="preserve"> average </w:t>
      </w:r>
      <w:r>
        <w:rPr>
          <w:rFonts w:cs="Arial"/>
        </w:rPr>
        <w:t xml:space="preserve">of year over year </w:t>
      </w:r>
      <w:r w:rsidRPr="00A67EA2">
        <w:rPr>
          <w:rFonts w:cs="Arial"/>
        </w:rPr>
        <w:t xml:space="preserve">change in </w:t>
      </w:r>
      <w:r>
        <w:rPr>
          <w:rFonts w:cs="Arial"/>
        </w:rPr>
        <w:t>net patient revenue from FY 201</w:t>
      </w:r>
      <w:r w:rsidR="00F16139">
        <w:rPr>
          <w:rFonts w:cs="Arial"/>
        </w:rPr>
        <w:t>8</w:t>
      </w:r>
      <w:r>
        <w:rPr>
          <w:rFonts w:cs="Arial"/>
        </w:rPr>
        <w:t xml:space="preserve"> to FY 202</w:t>
      </w:r>
      <w:r w:rsidR="00F16139">
        <w:rPr>
          <w:rFonts w:cs="Arial"/>
        </w:rPr>
        <w:t>2</w:t>
      </w:r>
      <w:r w:rsidRPr="00A67EA2">
        <w:rPr>
          <w:rFonts w:cs="Arial"/>
        </w:rPr>
        <w:t>.</w:t>
      </w:r>
      <w:r>
        <w:rPr>
          <w:rFonts w:cs="Arial"/>
        </w:rPr>
        <w:t xml:space="preserve"> The percent change adjustment is capped at + or – 10%. </w:t>
      </w:r>
    </w:p>
    <w:p w14:paraId="1382E0A3" w14:textId="77777777" w:rsidR="007448C3" w:rsidRDefault="007448C3" w:rsidP="00743801">
      <w:pPr>
        <w:rPr>
          <w:rFonts w:cs="Arial"/>
        </w:rPr>
      </w:pPr>
    </w:p>
    <w:p w14:paraId="1EF09320" w14:textId="79C8471F" w:rsidR="00743801" w:rsidRDefault="00743801" w:rsidP="00743801">
      <w:pPr>
        <w:rPr>
          <w:rFonts w:cs="Arial"/>
          <w:u w:val="single"/>
        </w:rPr>
      </w:pPr>
      <w:r>
        <w:rPr>
          <w:rFonts w:cs="Arial"/>
          <w:u w:val="single"/>
        </w:rPr>
        <w:t>Important Dates for FY202</w:t>
      </w:r>
      <w:r w:rsidR="00F16139">
        <w:rPr>
          <w:rFonts w:cs="Arial"/>
          <w:u w:val="single"/>
        </w:rPr>
        <w:t>4</w:t>
      </w:r>
      <w:r>
        <w:rPr>
          <w:rFonts w:cs="Arial"/>
          <w:u w:val="single"/>
        </w:rPr>
        <w:t xml:space="preserve"> and FY202</w:t>
      </w:r>
      <w:r w:rsidR="00F16139">
        <w:rPr>
          <w:rFonts w:cs="Arial"/>
          <w:u w:val="single"/>
        </w:rPr>
        <w:t>5</w:t>
      </w:r>
      <w:r>
        <w:rPr>
          <w:rFonts w:cs="Arial"/>
          <w:u w:val="single"/>
        </w:rPr>
        <w:t xml:space="preserve"> Spending Floors</w:t>
      </w:r>
    </w:p>
    <w:p w14:paraId="0E48F829" w14:textId="77777777" w:rsidR="00743801" w:rsidRDefault="00743801" w:rsidP="00743801">
      <w:pPr>
        <w:rPr>
          <w:rFonts w:cs="Arial"/>
          <w:u w:val="single"/>
        </w:rPr>
      </w:pPr>
    </w:p>
    <w:p w14:paraId="6FE5904B" w14:textId="4AB840D3" w:rsidR="0058164C" w:rsidRPr="001B2E56" w:rsidRDefault="00743801" w:rsidP="0058164C">
      <w:pPr>
        <w:pStyle w:val="ListParagraph"/>
        <w:numPr>
          <w:ilvl w:val="0"/>
          <w:numId w:val="38"/>
        </w:numPr>
        <w:rPr>
          <w:rFonts w:cs="Arial"/>
        </w:rPr>
      </w:pPr>
      <w:r>
        <w:rPr>
          <w:rFonts w:cs="Arial"/>
        </w:rPr>
        <w:t xml:space="preserve">Hospitals </w:t>
      </w:r>
      <w:r w:rsidR="00AB297B">
        <w:rPr>
          <w:rFonts w:cs="Arial"/>
        </w:rPr>
        <w:t xml:space="preserve">shall </w:t>
      </w:r>
      <w:r w:rsidR="0058164C">
        <w:rPr>
          <w:rFonts w:cs="Arial"/>
        </w:rPr>
        <w:t xml:space="preserve">use form CBR-3 to </w:t>
      </w:r>
      <w:r w:rsidR="00AB297B">
        <w:rPr>
          <w:rFonts w:cs="Arial"/>
        </w:rPr>
        <w:t xml:space="preserve">report the organizational grouping </w:t>
      </w:r>
      <w:r w:rsidR="0058164C">
        <w:rPr>
          <w:rFonts w:cs="Arial"/>
        </w:rPr>
        <w:t xml:space="preserve">they are selecting for purposes of </w:t>
      </w:r>
      <w:r w:rsidR="00373176">
        <w:rPr>
          <w:rFonts w:cs="Arial"/>
        </w:rPr>
        <w:t>calculating their</w:t>
      </w:r>
      <w:r w:rsidR="00AB297B">
        <w:rPr>
          <w:rFonts w:cs="Arial"/>
        </w:rPr>
        <w:t xml:space="preserve"> minimum </w:t>
      </w:r>
      <w:r w:rsidR="00AB297B" w:rsidRPr="00AB297B">
        <w:rPr>
          <w:rFonts w:cs="Arial"/>
        </w:rPr>
        <w:t>community benefit floor</w:t>
      </w:r>
      <w:r w:rsidR="00AB297B">
        <w:rPr>
          <w:rFonts w:cs="Arial"/>
        </w:rPr>
        <w:t xml:space="preserve">, in accordance with ORS </w:t>
      </w:r>
      <w:r w:rsidR="00AB297B" w:rsidRPr="00AB297B">
        <w:rPr>
          <w:rFonts w:cs="Arial"/>
        </w:rPr>
        <w:t>409-023-0110</w:t>
      </w:r>
      <w:r w:rsidR="0058164C">
        <w:rPr>
          <w:rFonts w:cs="Arial"/>
        </w:rPr>
        <w:t xml:space="preserve">, </w:t>
      </w:r>
      <w:r w:rsidR="0058164C" w:rsidRPr="00593F66">
        <w:rPr>
          <w:rFonts w:cs="Arial"/>
        </w:rPr>
        <w:t xml:space="preserve">no later than 90 days prior to the start of </w:t>
      </w:r>
      <w:r w:rsidR="006143E2">
        <w:rPr>
          <w:rFonts w:cs="Arial"/>
        </w:rPr>
        <w:t>each</w:t>
      </w:r>
      <w:r w:rsidR="0058164C" w:rsidRPr="00593F66">
        <w:rPr>
          <w:rFonts w:cs="Arial"/>
        </w:rPr>
        <w:t xml:space="preserve"> even-numbered fiscal year. </w:t>
      </w:r>
    </w:p>
    <w:p w14:paraId="206505F4" w14:textId="4CF76FC0" w:rsidR="00743801" w:rsidRPr="00373176" w:rsidRDefault="00743801" w:rsidP="00373176">
      <w:pPr>
        <w:rPr>
          <w:rFonts w:cs="Arial"/>
        </w:rPr>
      </w:pPr>
    </w:p>
    <w:p w14:paraId="0CAE5F57" w14:textId="131ADBFD" w:rsidR="009A5BA5" w:rsidRDefault="00743801" w:rsidP="009A5BA5">
      <w:pPr>
        <w:pStyle w:val="ListParagraph"/>
        <w:numPr>
          <w:ilvl w:val="0"/>
          <w:numId w:val="38"/>
        </w:numPr>
        <w:rPr>
          <w:rFonts w:cs="Arial"/>
        </w:rPr>
      </w:pPr>
      <w:r w:rsidRPr="001B2E56">
        <w:rPr>
          <w:rFonts w:cs="Arial"/>
        </w:rPr>
        <w:t xml:space="preserve">OHA </w:t>
      </w:r>
      <w:r w:rsidR="009A5BA5">
        <w:rPr>
          <w:rFonts w:cs="Arial"/>
        </w:rPr>
        <w:t>will publish</w:t>
      </w:r>
      <w:r w:rsidR="009A5BA5" w:rsidRPr="00593F66">
        <w:rPr>
          <w:rFonts w:cs="Arial"/>
        </w:rPr>
        <w:t xml:space="preserve"> </w:t>
      </w:r>
      <w:r w:rsidRPr="00593F66">
        <w:rPr>
          <w:rFonts w:cs="Arial"/>
        </w:rPr>
        <w:t xml:space="preserve">an initial spending floor calculation, based on the </w:t>
      </w:r>
      <w:r w:rsidR="006143E2">
        <w:rPr>
          <w:rFonts w:cs="Arial"/>
        </w:rPr>
        <w:t>s</w:t>
      </w:r>
      <w:r w:rsidRPr="00593F66">
        <w:rPr>
          <w:rFonts w:cs="Arial"/>
        </w:rPr>
        <w:t xml:space="preserve">elected organizational grouping, 60 days prior to the start of the even-numbered fiscal year. </w:t>
      </w:r>
    </w:p>
    <w:p w14:paraId="385DE5F7" w14:textId="77777777" w:rsidR="006143E2" w:rsidRDefault="006143E2" w:rsidP="00373176">
      <w:pPr>
        <w:pStyle w:val="ListParagraph"/>
        <w:ind w:left="1440"/>
        <w:rPr>
          <w:rFonts w:cs="Arial"/>
        </w:rPr>
      </w:pPr>
    </w:p>
    <w:p w14:paraId="288FA887" w14:textId="4B86F343" w:rsidR="009A5BA5" w:rsidRDefault="009A5BA5" w:rsidP="006143E2">
      <w:pPr>
        <w:pStyle w:val="ListParagraph"/>
        <w:numPr>
          <w:ilvl w:val="0"/>
          <w:numId w:val="38"/>
        </w:numPr>
        <w:rPr>
          <w:rFonts w:cs="Arial"/>
        </w:rPr>
      </w:pPr>
      <w:r>
        <w:rPr>
          <w:rFonts w:cs="Arial"/>
        </w:rPr>
        <w:t>A</w:t>
      </w:r>
      <w:r w:rsidRPr="009A5BA5">
        <w:rPr>
          <w:rFonts w:cs="Arial"/>
        </w:rPr>
        <w:t xml:space="preserve"> public comment period of 30 days shall begin the day </w:t>
      </w:r>
      <w:r w:rsidR="006143E2">
        <w:rPr>
          <w:rFonts w:cs="Arial"/>
        </w:rPr>
        <w:t>the floor is published.</w:t>
      </w:r>
    </w:p>
    <w:p w14:paraId="5164CDE2" w14:textId="77777777" w:rsidR="006143E2" w:rsidRPr="00373176" w:rsidRDefault="006143E2" w:rsidP="00373176">
      <w:pPr>
        <w:ind w:left="360"/>
        <w:rPr>
          <w:rFonts w:cs="Arial"/>
        </w:rPr>
      </w:pPr>
    </w:p>
    <w:p w14:paraId="7B59A819" w14:textId="6A3FFD09" w:rsidR="009A5BA5" w:rsidRDefault="00743801" w:rsidP="009A5BA5">
      <w:pPr>
        <w:pStyle w:val="ListParagraph"/>
        <w:numPr>
          <w:ilvl w:val="0"/>
          <w:numId w:val="38"/>
        </w:numPr>
        <w:rPr>
          <w:rFonts w:cs="Arial"/>
        </w:rPr>
      </w:pPr>
      <w:r w:rsidRPr="001B2E56">
        <w:rPr>
          <w:rFonts w:cs="Arial"/>
        </w:rPr>
        <w:t xml:space="preserve">Hospitals </w:t>
      </w:r>
      <w:r w:rsidR="006143E2">
        <w:rPr>
          <w:rFonts w:cs="Arial"/>
        </w:rPr>
        <w:t xml:space="preserve">will </w:t>
      </w:r>
      <w:r w:rsidRPr="001B2E56">
        <w:rPr>
          <w:rFonts w:cs="Arial"/>
        </w:rPr>
        <w:t xml:space="preserve">have 30 days </w:t>
      </w:r>
      <w:r w:rsidR="006143E2">
        <w:rPr>
          <w:rFonts w:cs="Arial"/>
        </w:rPr>
        <w:t xml:space="preserve">from the day the floor is published </w:t>
      </w:r>
      <w:r w:rsidRPr="001B2E56">
        <w:rPr>
          <w:rFonts w:cs="Arial"/>
        </w:rPr>
        <w:t xml:space="preserve">to review and request changes. </w:t>
      </w:r>
    </w:p>
    <w:p w14:paraId="0BA38AFA" w14:textId="77777777" w:rsidR="007448C3" w:rsidRPr="009A5BA5" w:rsidRDefault="007448C3" w:rsidP="001B2E56">
      <w:pPr>
        <w:pStyle w:val="ListParagraph"/>
        <w:rPr>
          <w:rFonts w:cs="Arial"/>
        </w:rPr>
      </w:pPr>
    </w:p>
    <w:p w14:paraId="1C175FDB" w14:textId="24694427" w:rsidR="00743801" w:rsidRDefault="00743801" w:rsidP="006143E2">
      <w:pPr>
        <w:pStyle w:val="ListParagraph"/>
        <w:numPr>
          <w:ilvl w:val="0"/>
          <w:numId w:val="38"/>
        </w:numPr>
        <w:rPr>
          <w:rFonts w:cs="Arial"/>
        </w:rPr>
      </w:pPr>
      <w:r w:rsidRPr="006143E2">
        <w:rPr>
          <w:rFonts w:cs="Arial"/>
        </w:rPr>
        <w:t>Spending floors are final on the first business day</w:t>
      </w:r>
      <w:r w:rsidR="00373176">
        <w:rPr>
          <w:rFonts w:cs="Arial"/>
        </w:rPr>
        <w:t xml:space="preserve"> </w:t>
      </w:r>
      <w:r w:rsidRPr="006143E2">
        <w:rPr>
          <w:rFonts w:cs="Arial"/>
        </w:rPr>
        <w:t xml:space="preserve">of an even numbered fiscal year. </w:t>
      </w:r>
    </w:p>
    <w:p w14:paraId="78B2D11C" w14:textId="77777777" w:rsidR="006143E2" w:rsidRPr="006143E2" w:rsidRDefault="006143E2" w:rsidP="006143E2">
      <w:pPr>
        <w:rPr>
          <w:rFonts w:cs="Arial"/>
        </w:rPr>
      </w:pPr>
    </w:p>
    <w:p w14:paraId="47C50F87" w14:textId="76E64E40" w:rsidR="00743801" w:rsidRDefault="006143E2" w:rsidP="00743801">
      <w:pPr>
        <w:rPr>
          <w:rFonts w:cs="Arial"/>
        </w:rPr>
      </w:pPr>
      <w:r>
        <w:rPr>
          <w:rFonts w:cs="Arial"/>
        </w:rPr>
        <w:t>The table below identifies the calendar dates for these events for 202</w:t>
      </w:r>
      <w:r w:rsidR="00EF1F2A">
        <w:rPr>
          <w:rFonts w:cs="Arial"/>
        </w:rPr>
        <w:t>3</w:t>
      </w:r>
      <w:r>
        <w:rPr>
          <w:rFonts w:cs="Arial"/>
        </w:rPr>
        <w:t>-202</w:t>
      </w:r>
      <w:r w:rsidR="00EF1F2A">
        <w:rPr>
          <w:rFonts w:cs="Arial"/>
        </w:rPr>
        <w:t>4</w:t>
      </w:r>
      <w:r>
        <w:rPr>
          <w:rFonts w:cs="Arial"/>
        </w:rPr>
        <w:t xml:space="preserve"> by hospital fiscal year</w:t>
      </w:r>
      <w:r w:rsidR="00743801">
        <w:rPr>
          <w:rFonts w:cs="Arial"/>
        </w:rPr>
        <w:t xml:space="preserve">. </w:t>
      </w:r>
    </w:p>
    <w:p w14:paraId="6DF18602" w14:textId="77777777" w:rsidR="007448C3" w:rsidRPr="006C74B1" w:rsidRDefault="007448C3" w:rsidP="00743801">
      <w:pPr>
        <w:rPr>
          <w:rFonts w:cs="Arial"/>
        </w:rPr>
      </w:pPr>
    </w:p>
    <w:tbl>
      <w:tblPr>
        <w:tblStyle w:val="GridTable3-Accent2"/>
        <w:tblW w:w="7238" w:type="dxa"/>
        <w:tblInd w:w="5" w:type="dxa"/>
        <w:tblLook w:val="04A0" w:firstRow="1" w:lastRow="0" w:firstColumn="1" w:lastColumn="0" w:noHBand="0" w:noVBand="1"/>
      </w:tblPr>
      <w:tblGrid>
        <w:gridCol w:w="2875"/>
        <w:gridCol w:w="1150"/>
        <w:gridCol w:w="1340"/>
        <w:gridCol w:w="1340"/>
        <w:gridCol w:w="1340"/>
      </w:tblGrid>
      <w:tr w:rsidR="00743801" w:rsidRPr="00BB28AA" w14:paraId="5A928CDA" w14:textId="77777777" w:rsidTr="00C326DD">
        <w:trPr>
          <w:cnfStyle w:val="100000000000" w:firstRow="1" w:lastRow="0" w:firstColumn="0" w:lastColumn="0" w:oddVBand="0" w:evenVBand="0" w:oddHBand="0" w:evenHBand="0" w:firstRowFirstColumn="0" w:firstRowLastColumn="0" w:lastRowFirstColumn="0" w:lastRowLastColumn="0"/>
          <w:trHeight w:val="930"/>
        </w:trPr>
        <w:tc>
          <w:tcPr>
            <w:cnfStyle w:val="001000000100" w:firstRow="0" w:lastRow="0" w:firstColumn="1" w:lastColumn="0" w:oddVBand="0" w:evenVBand="0" w:oddHBand="0" w:evenHBand="0" w:firstRowFirstColumn="1" w:firstRowLastColumn="0" w:lastRowFirstColumn="0" w:lastRowLastColumn="0"/>
            <w:tcW w:w="2875" w:type="dxa"/>
            <w:noWrap/>
            <w:vAlign w:val="center"/>
            <w:hideMark/>
          </w:tcPr>
          <w:p w14:paraId="65AEDE01" w14:textId="77777777" w:rsidR="00743801" w:rsidRPr="001423DB" w:rsidRDefault="00743801" w:rsidP="00C326DD">
            <w:pPr>
              <w:jc w:val="center"/>
              <w:rPr>
                <w:rFonts w:asciiTheme="minorHAnsi" w:eastAsia="Times New Roman" w:hAnsiTheme="minorHAnsi" w:cstheme="minorHAnsi"/>
                <w:i w:val="0"/>
                <w:iCs w:val="0"/>
                <w:sz w:val="22"/>
                <w:szCs w:val="22"/>
              </w:rPr>
            </w:pPr>
            <w:r w:rsidRPr="001423DB">
              <w:rPr>
                <w:rFonts w:asciiTheme="minorHAnsi" w:eastAsia="Times New Roman" w:hAnsiTheme="minorHAnsi" w:cstheme="minorHAnsi"/>
                <w:i w:val="0"/>
                <w:iCs w:val="0"/>
                <w:sz w:val="22"/>
                <w:szCs w:val="22"/>
              </w:rPr>
              <w:t>Hospital Fiscal Year</w:t>
            </w:r>
          </w:p>
        </w:tc>
        <w:tc>
          <w:tcPr>
            <w:tcW w:w="343" w:type="dxa"/>
            <w:vAlign w:val="center"/>
            <w:hideMark/>
          </w:tcPr>
          <w:p w14:paraId="0087C022" w14:textId="77777777" w:rsidR="00743801" w:rsidRPr="00BB28AA" w:rsidRDefault="00743801" w:rsidP="00C326D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CBR - 3 Due</w:t>
            </w:r>
          </w:p>
        </w:tc>
        <w:tc>
          <w:tcPr>
            <w:tcW w:w="1340" w:type="dxa"/>
            <w:vAlign w:val="center"/>
            <w:hideMark/>
          </w:tcPr>
          <w:p w14:paraId="72E27DD0" w14:textId="77777777" w:rsidR="00743801" w:rsidRPr="00BB28AA" w:rsidRDefault="00743801" w:rsidP="00C326D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Initial Floor</w:t>
            </w:r>
          </w:p>
        </w:tc>
        <w:tc>
          <w:tcPr>
            <w:tcW w:w="1340" w:type="dxa"/>
            <w:vAlign w:val="center"/>
            <w:hideMark/>
          </w:tcPr>
          <w:p w14:paraId="76018DDF" w14:textId="77777777" w:rsidR="00743801" w:rsidRPr="00BB28AA" w:rsidRDefault="00743801" w:rsidP="00C326D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Hospital Response</w:t>
            </w:r>
          </w:p>
        </w:tc>
        <w:tc>
          <w:tcPr>
            <w:tcW w:w="1340" w:type="dxa"/>
            <w:vAlign w:val="center"/>
            <w:hideMark/>
          </w:tcPr>
          <w:p w14:paraId="34AC8C63" w14:textId="77777777" w:rsidR="00743801" w:rsidRPr="00BB28AA" w:rsidRDefault="00743801" w:rsidP="00C326D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Final Spending Floor</w:t>
            </w:r>
          </w:p>
        </w:tc>
      </w:tr>
      <w:tr w:rsidR="00743801" w:rsidRPr="00BB28AA" w14:paraId="1C9BCDAD" w14:textId="77777777" w:rsidTr="00C32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dxa"/>
            <w:noWrap/>
            <w:hideMark/>
          </w:tcPr>
          <w:p w14:paraId="43326DB3" w14:textId="77777777" w:rsidR="00743801" w:rsidRPr="00BB28AA" w:rsidRDefault="00743801" w:rsidP="00C326DD">
            <w:pPr>
              <w:rPr>
                <w:rFonts w:ascii="Calibri" w:eastAsia="Times New Roman" w:hAnsi="Calibri" w:cs="Calibri"/>
                <w:color w:val="000000"/>
              </w:rPr>
            </w:pPr>
            <w:r>
              <w:rPr>
                <w:rFonts w:ascii="Calibri" w:eastAsia="Times New Roman" w:hAnsi="Calibri" w:cs="Calibri"/>
                <w:color w:val="000000"/>
              </w:rPr>
              <w:t>April 1</w:t>
            </w:r>
            <w:r w:rsidRPr="00A10CC6">
              <w:rPr>
                <w:rFonts w:ascii="Calibri" w:eastAsia="Times New Roman" w:hAnsi="Calibri" w:cs="Calibri"/>
                <w:color w:val="000000"/>
                <w:vertAlign w:val="superscript"/>
              </w:rPr>
              <w:t>st</w:t>
            </w:r>
            <w:r>
              <w:rPr>
                <w:rFonts w:ascii="Calibri" w:eastAsia="Times New Roman" w:hAnsi="Calibri" w:cs="Calibri"/>
                <w:color w:val="000000"/>
              </w:rPr>
              <w:t xml:space="preserve"> Fiscal Year</w:t>
            </w:r>
          </w:p>
        </w:tc>
        <w:tc>
          <w:tcPr>
            <w:tcW w:w="343" w:type="dxa"/>
            <w:noWrap/>
            <w:hideMark/>
          </w:tcPr>
          <w:p w14:paraId="00A73217" w14:textId="42548E5E"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1/1/202</w:t>
            </w:r>
            <w:r w:rsidR="00F16139">
              <w:rPr>
                <w:rFonts w:ascii="Calibri" w:eastAsia="Times New Roman" w:hAnsi="Calibri" w:cs="Calibri"/>
                <w:color w:val="000000"/>
              </w:rPr>
              <w:t>3</w:t>
            </w:r>
          </w:p>
        </w:tc>
        <w:tc>
          <w:tcPr>
            <w:tcW w:w="1340" w:type="dxa"/>
            <w:noWrap/>
            <w:hideMark/>
          </w:tcPr>
          <w:p w14:paraId="29394977" w14:textId="65EE753F"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2/1/202</w:t>
            </w:r>
            <w:r w:rsidR="00F16139">
              <w:rPr>
                <w:rFonts w:ascii="Calibri" w:eastAsia="Times New Roman" w:hAnsi="Calibri" w:cs="Calibri"/>
                <w:color w:val="000000"/>
              </w:rPr>
              <w:t>3</w:t>
            </w:r>
          </w:p>
        </w:tc>
        <w:tc>
          <w:tcPr>
            <w:tcW w:w="1340" w:type="dxa"/>
            <w:noWrap/>
            <w:hideMark/>
          </w:tcPr>
          <w:p w14:paraId="15C41B0C" w14:textId="21E983F5"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3/1/202</w:t>
            </w:r>
            <w:r w:rsidR="00F16139">
              <w:rPr>
                <w:rFonts w:ascii="Calibri" w:eastAsia="Times New Roman" w:hAnsi="Calibri" w:cs="Calibri"/>
                <w:color w:val="000000"/>
              </w:rPr>
              <w:t>3</w:t>
            </w:r>
          </w:p>
        </w:tc>
        <w:tc>
          <w:tcPr>
            <w:tcW w:w="1340" w:type="dxa"/>
            <w:noWrap/>
            <w:hideMark/>
          </w:tcPr>
          <w:p w14:paraId="1F4E5EE9" w14:textId="195E4980"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4/1/202</w:t>
            </w:r>
            <w:r w:rsidR="00F16139">
              <w:rPr>
                <w:rFonts w:ascii="Calibri" w:eastAsia="Times New Roman" w:hAnsi="Calibri" w:cs="Calibri"/>
                <w:color w:val="000000"/>
              </w:rPr>
              <w:t>3</w:t>
            </w:r>
          </w:p>
        </w:tc>
      </w:tr>
      <w:tr w:rsidR="00743801" w:rsidRPr="00BB28AA" w14:paraId="6B531300" w14:textId="77777777" w:rsidTr="00C326DD">
        <w:trPr>
          <w:trHeight w:val="300"/>
        </w:trPr>
        <w:tc>
          <w:tcPr>
            <w:cnfStyle w:val="001000000000" w:firstRow="0" w:lastRow="0" w:firstColumn="1" w:lastColumn="0" w:oddVBand="0" w:evenVBand="0" w:oddHBand="0" w:evenHBand="0" w:firstRowFirstColumn="0" w:firstRowLastColumn="0" w:lastRowFirstColumn="0" w:lastRowLastColumn="0"/>
            <w:tcW w:w="2875" w:type="dxa"/>
            <w:noWrap/>
            <w:hideMark/>
          </w:tcPr>
          <w:p w14:paraId="202E2A72" w14:textId="77777777" w:rsidR="00743801" w:rsidRPr="00BB28AA" w:rsidRDefault="00743801" w:rsidP="00C326DD">
            <w:pPr>
              <w:rPr>
                <w:rFonts w:ascii="Calibri" w:eastAsia="Times New Roman" w:hAnsi="Calibri" w:cs="Calibri"/>
                <w:color w:val="000000"/>
              </w:rPr>
            </w:pPr>
            <w:r>
              <w:rPr>
                <w:rFonts w:ascii="Calibri" w:eastAsia="Times New Roman" w:hAnsi="Calibri" w:cs="Calibri"/>
                <w:color w:val="000000"/>
              </w:rPr>
              <w:t>May 1</w:t>
            </w:r>
            <w:r w:rsidRPr="00A10CC6">
              <w:rPr>
                <w:rFonts w:ascii="Calibri" w:eastAsia="Times New Roman" w:hAnsi="Calibri" w:cs="Calibri"/>
                <w:color w:val="000000"/>
                <w:vertAlign w:val="superscript"/>
              </w:rPr>
              <w:t>st</w:t>
            </w:r>
            <w:r>
              <w:rPr>
                <w:rFonts w:ascii="Calibri" w:eastAsia="Times New Roman" w:hAnsi="Calibri" w:cs="Calibri"/>
                <w:color w:val="000000"/>
              </w:rPr>
              <w:t xml:space="preserve"> Fiscal Year</w:t>
            </w:r>
          </w:p>
        </w:tc>
        <w:tc>
          <w:tcPr>
            <w:tcW w:w="343" w:type="dxa"/>
            <w:noWrap/>
            <w:hideMark/>
          </w:tcPr>
          <w:p w14:paraId="261F2946" w14:textId="2E97FC50"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2/1/202</w:t>
            </w:r>
            <w:r w:rsidR="00F16139">
              <w:rPr>
                <w:rFonts w:ascii="Calibri" w:eastAsia="Times New Roman" w:hAnsi="Calibri" w:cs="Calibri"/>
                <w:color w:val="000000"/>
              </w:rPr>
              <w:t>3</w:t>
            </w:r>
          </w:p>
        </w:tc>
        <w:tc>
          <w:tcPr>
            <w:tcW w:w="1340" w:type="dxa"/>
            <w:noWrap/>
            <w:hideMark/>
          </w:tcPr>
          <w:p w14:paraId="147F3A10" w14:textId="7054755B"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3/1/202</w:t>
            </w:r>
            <w:r w:rsidR="00F16139">
              <w:rPr>
                <w:rFonts w:ascii="Calibri" w:eastAsia="Times New Roman" w:hAnsi="Calibri" w:cs="Calibri"/>
                <w:color w:val="000000"/>
              </w:rPr>
              <w:t>3</w:t>
            </w:r>
          </w:p>
        </w:tc>
        <w:tc>
          <w:tcPr>
            <w:tcW w:w="1340" w:type="dxa"/>
            <w:noWrap/>
            <w:hideMark/>
          </w:tcPr>
          <w:p w14:paraId="6FE3288D" w14:textId="3E4B1FCF"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4/1/202</w:t>
            </w:r>
            <w:r w:rsidR="00F16139">
              <w:rPr>
                <w:rFonts w:ascii="Calibri" w:eastAsia="Times New Roman" w:hAnsi="Calibri" w:cs="Calibri"/>
                <w:color w:val="000000"/>
              </w:rPr>
              <w:t>3</w:t>
            </w:r>
          </w:p>
        </w:tc>
        <w:tc>
          <w:tcPr>
            <w:tcW w:w="1340" w:type="dxa"/>
            <w:noWrap/>
            <w:hideMark/>
          </w:tcPr>
          <w:p w14:paraId="78979C46" w14:textId="7EFC1406"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5/1/202</w:t>
            </w:r>
            <w:r w:rsidR="00F16139">
              <w:rPr>
                <w:rFonts w:ascii="Calibri" w:eastAsia="Times New Roman" w:hAnsi="Calibri" w:cs="Calibri"/>
                <w:color w:val="000000"/>
              </w:rPr>
              <w:t>3</w:t>
            </w:r>
          </w:p>
        </w:tc>
      </w:tr>
      <w:tr w:rsidR="00743801" w:rsidRPr="00BB28AA" w14:paraId="11C874E7" w14:textId="77777777" w:rsidTr="00C32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dxa"/>
            <w:noWrap/>
            <w:hideMark/>
          </w:tcPr>
          <w:p w14:paraId="6D0CE4A7" w14:textId="77777777" w:rsidR="00743801" w:rsidRPr="00BB28AA" w:rsidRDefault="00743801" w:rsidP="00C326DD">
            <w:pPr>
              <w:rPr>
                <w:rFonts w:ascii="Calibri" w:eastAsia="Times New Roman" w:hAnsi="Calibri" w:cs="Calibri"/>
                <w:color w:val="000000"/>
              </w:rPr>
            </w:pPr>
            <w:r>
              <w:rPr>
                <w:rFonts w:ascii="Calibri" w:eastAsia="Times New Roman" w:hAnsi="Calibri" w:cs="Calibri"/>
                <w:color w:val="000000"/>
              </w:rPr>
              <w:t>July 1</w:t>
            </w:r>
            <w:r w:rsidRPr="006C74B1">
              <w:rPr>
                <w:rFonts w:ascii="Calibri" w:eastAsia="Times New Roman" w:hAnsi="Calibri" w:cs="Calibri"/>
                <w:color w:val="000000"/>
                <w:vertAlign w:val="superscript"/>
              </w:rPr>
              <w:t>st</w:t>
            </w:r>
            <w:r>
              <w:rPr>
                <w:rFonts w:ascii="Calibri" w:eastAsia="Times New Roman" w:hAnsi="Calibri" w:cs="Calibri"/>
                <w:color w:val="000000"/>
              </w:rPr>
              <w:t xml:space="preserve"> Fiscal Year</w:t>
            </w:r>
          </w:p>
        </w:tc>
        <w:tc>
          <w:tcPr>
            <w:tcW w:w="343" w:type="dxa"/>
            <w:noWrap/>
            <w:hideMark/>
          </w:tcPr>
          <w:p w14:paraId="22ACCC09" w14:textId="37FC1A5F"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4/1/202</w:t>
            </w:r>
            <w:r w:rsidR="00F16139">
              <w:rPr>
                <w:rFonts w:ascii="Calibri" w:eastAsia="Times New Roman" w:hAnsi="Calibri" w:cs="Calibri"/>
                <w:color w:val="000000"/>
              </w:rPr>
              <w:t>3</w:t>
            </w:r>
          </w:p>
        </w:tc>
        <w:tc>
          <w:tcPr>
            <w:tcW w:w="1340" w:type="dxa"/>
            <w:noWrap/>
            <w:hideMark/>
          </w:tcPr>
          <w:p w14:paraId="5A1C485D" w14:textId="67503D11"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5/1/202</w:t>
            </w:r>
            <w:r w:rsidR="00F16139">
              <w:rPr>
                <w:rFonts w:ascii="Calibri" w:eastAsia="Times New Roman" w:hAnsi="Calibri" w:cs="Calibri"/>
                <w:color w:val="000000"/>
              </w:rPr>
              <w:t>3</w:t>
            </w:r>
          </w:p>
        </w:tc>
        <w:tc>
          <w:tcPr>
            <w:tcW w:w="1340" w:type="dxa"/>
            <w:noWrap/>
            <w:hideMark/>
          </w:tcPr>
          <w:p w14:paraId="0A11027D" w14:textId="578453C9"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6/1/202</w:t>
            </w:r>
            <w:r w:rsidR="00F16139">
              <w:rPr>
                <w:rFonts w:ascii="Calibri" w:eastAsia="Times New Roman" w:hAnsi="Calibri" w:cs="Calibri"/>
                <w:color w:val="000000"/>
              </w:rPr>
              <w:t>3</w:t>
            </w:r>
          </w:p>
        </w:tc>
        <w:tc>
          <w:tcPr>
            <w:tcW w:w="1340" w:type="dxa"/>
            <w:noWrap/>
            <w:hideMark/>
          </w:tcPr>
          <w:p w14:paraId="49991BB3" w14:textId="4125E091"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7/1/202</w:t>
            </w:r>
            <w:r w:rsidR="00F16139">
              <w:rPr>
                <w:rFonts w:ascii="Calibri" w:eastAsia="Times New Roman" w:hAnsi="Calibri" w:cs="Calibri"/>
                <w:color w:val="000000"/>
              </w:rPr>
              <w:t>3</w:t>
            </w:r>
          </w:p>
        </w:tc>
      </w:tr>
      <w:tr w:rsidR="00743801" w:rsidRPr="00BB28AA" w14:paraId="5A90EEB5" w14:textId="77777777" w:rsidTr="00C326DD">
        <w:trPr>
          <w:trHeight w:val="300"/>
        </w:trPr>
        <w:tc>
          <w:tcPr>
            <w:cnfStyle w:val="001000000000" w:firstRow="0" w:lastRow="0" w:firstColumn="1" w:lastColumn="0" w:oddVBand="0" w:evenVBand="0" w:oddHBand="0" w:evenHBand="0" w:firstRowFirstColumn="0" w:firstRowLastColumn="0" w:lastRowFirstColumn="0" w:lastRowLastColumn="0"/>
            <w:tcW w:w="2875" w:type="dxa"/>
            <w:noWrap/>
            <w:hideMark/>
          </w:tcPr>
          <w:p w14:paraId="52397159" w14:textId="77777777" w:rsidR="00743801" w:rsidRPr="00BB28AA" w:rsidRDefault="00743801" w:rsidP="00C326DD">
            <w:pPr>
              <w:rPr>
                <w:rFonts w:ascii="Calibri" w:eastAsia="Times New Roman" w:hAnsi="Calibri" w:cs="Calibri"/>
                <w:color w:val="000000"/>
              </w:rPr>
            </w:pPr>
            <w:r>
              <w:rPr>
                <w:rFonts w:ascii="Calibri" w:eastAsia="Times New Roman" w:hAnsi="Calibri" w:cs="Calibri"/>
                <w:color w:val="000000"/>
              </w:rPr>
              <w:t>October 1</w:t>
            </w:r>
            <w:r w:rsidRPr="006C74B1">
              <w:rPr>
                <w:rFonts w:ascii="Calibri" w:eastAsia="Times New Roman" w:hAnsi="Calibri" w:cs="Calibri"/>
                <w:color w:val="000000"/>
                <w:vertAlign w:val="superscript"/>
              </w:rPr>
              <w:t>st</w:t>
            </w:r>
            <w:r>
              <w:rPr>
                <w:rFonts w:ascii="Calibri" w:eastAsia="Times New Roman" w:hAnsi="Calibri" w:cs="Calibri"/>
                <w:color w:val="000000"/>
              </w:rPr>
              <w:t xml:space="preserve"> Fiscal Year</w:t>
            </w:r>
          </w:p>
        </w:tc>
        <w:tc>
          <w:tcPr>
            <w:tcW w:w="343" w:type="dxa"/>
            <w:noWrap/>
            <w:hideMark/>
          </w:tcPr>
          <w:p w14:paraId="00BE3C5A" w14:textId="6F44454F"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7/1/202</w:t>
            </w:r>
            <w:r w:rsidR="00F16139">
              <w:rPr>
                <w:rFonts w:ascii="Calibri" w:eastAsia="Times New Roman" w:hAnsi="Calibri" w:cs="Calibri"/>
                <w:color w:val="000000"/>
              </w:rPr>
              <w:t>3</w:t>
            </w:r>
          </w:p>
        </w:tc>
        <w:tc>
          <w:tcPr>
            <w:tcW w:w="1340" w:type="dxa"/>
            <w:noWrap/>
            <w:hideMark/>
          </w:tcPr>
          <w:p w14:paraId="1D1DF415" w14:textId="19929E71"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8/1/202</w:t>
            </w:r>
            <w:r w:rsidR="00F16139">
              <w:rPr>
                <w:rFonts w:ascii="Calibri" w:eastAsia="Times New Roman" w:hAnsi="Calibri" w:cs="Calibri"/>
                <w:color w:val="000000"/>
              </w:rPr>
              <w:t>3</w:t>
            </w:r>
          </w:p>
        </w:tc>
        <w:tc>
          <w:tcPr>
            <w:tcW w:w="1340" w:type="dxa"/>
            <w:noWrap/>
            <w:hideMark/>
          </w:tcPr>
          <w:p w14:paraId="212983A0" w14:textId="30A082C4"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9/1/202</w:t>
            </w:r>
            <w:r w:rsidR="00F16139">
              <w:rPr>
                <w:rFonts w:ascii="Calibri" w:eastAsia="Times New Roman" w:hAnsi="Calibri" w:cs="Calibri"/>
                <w:color w:val="000000"/>
              </w:rPr>
              <w:t>3</w:t>
            </w:r>
          </w:p>
        </w:tc>
        <w:tc>
          <w:tcPr>
            <w:tcW w:w="1340" w:type="dxa"/>
            <w:noWrap/>
            <w:hideMark/>
          </w:tcPr>
          <w:p w14:paraId="50AB66BB" w14:textId="552A049C" w:rsidR="00743801" w:rsidRPr="00BB28AA" w:rsidRDefault="00743801" w:rsidP="00C326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10/1/202</w:t>
            </w:r>
            <w:r w:rsidR="00F16139">
              <w:rPr>
                <w:rFonts w:ascii="Calibri" w:eastAsia="Times New Roman" w:hAnsi="Calibri" w:cs="Calibri"/>
                <w:color w:val="000000"/>
              </w:rPr>
              <w:t>3</w:t>
            </w:r>
          </w:p>
        </w:tc>
      </w:tr>
      <w:tr w:rsidR="00743801" w:rsidRPr="00BB28AA" w14:paraId="7359610E" w14:textId="77777777" w:rsidTr="00C326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dxa"/>
            <w:noWrap/>
            <w:hideMark/>
          </w:tcPr>
          <w:p w14:paraId="052284F4" w14:textId="77777777" w:rsidR="00743801" w:rsidRPr="00BB28AA" w:rsidRDefault="00743801" w:rsidP="00C326DD">
            <w:pPr>
              <w:rPr>
                <w:rFonts w:ascii="Calibri" w:eastAsia="Times New Roman" w:hAnsi="Calibri" w:cs="Calibri"/>
                <w:color w:val="000000"/>
              </w:rPr>
            </w:pPr>
            <w:r>
              <w:rPr>
                <w:rFonts w:ascii="Calibri" w:eastAsia="Times New Roman" w:hAnsi="Calibri" w:cs="Calibri"/>
                <w:color w:val="000000"/>
              </w:rPr>
              <w:t>January 1</w:t>
            </w:r>
            <w:r w:rsidRPr="006C74B1">
              <w:rPr>
                <w:rFonts w:ascii="Calibri" w:eastAsia="Times New Roman" w:hAnsi="Calibri" w:cs="Calibri"/>
                <w:color w:val="000000"/>
                <w:vertAlign w:val="superscript"/>
              </w:rPr>
              <w:t>st</w:t>
            </w:r>
            <w:r>
              <w:rPr>
                <w:rFonts w:ascii="Calibri" w:eastAsia="Times New Roman" w:hAnsi="Calibri" w:cs="Calibri"/>
                <w:color w:val="000000"/>
              </w:rPr>
              <w:t xml:space="preserve"> Fiscal Year</w:t>
            </w:r>
          </w:p>
        </w:tc>
        <w:tc>
          <w:tcPr>
            <w:tcW w:w="343" w:type="dxa"/>
            <w:noWrap/>
            <w:hideMark/>
          </w:tcPr>
          <w:p w14:paraId="18532709" w14:textId="616A7BE7"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10/1/202</w:t>
            </w:r>
            <w:r w:rsidR="00F16139">
              <w:rPr>
                <w:rFonts w:ascii="Calibri" w:eastAsia="Times New Roman" w:hAnsi="Calibri" w:cs="Calibri"/>
                <w:color w:val="000000"/>
              </w:rPr>
              <w:t>3</w:t>
            </w:r>
          </w:p>
        </w:tc>
        <w:tc>
          <w:tcPr>
            <w:tcW w:w="1340" w:type="dxa"/>
            <w:noWrap/>
            <w:hideMark/>
          </w:tcPr>
          <w:p w14:paraId="490D460E" w14:textId="138EE85C"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11/1/202</w:t>
            </w:r>
            <w:r w:rsidR="00F16139">
              <w:rPr>
                <w:rFonts w:ascii="Calibri" w:eastAsia="Times New Roman" w:hAnsi="Calibri" w:cs="Calibri"/>
                <w:color w:val="000000"/>
              </w:rPr>
              <w:t>3</w:t>
            </w:r>
          </w:p>
        </w:tc>
        <w:tc>
          <w:tcPr>
            <w:tcW w:w="1340" w:type="dxa"/>
            <w:noWrap/>
            <w:hideMark/>
          </w:tcPr>
          <w:p w14:paraId="1D45735C" w14:textId="68D88A4E"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12/1/202</w:t>
            </w:r>
            <w:r w:rsidR="00F16139">
              <w:rPr>
                <w:rFonts w:ascii="Calibri" w:eastAsia="Times New Roman" w:hAnsi="Calibri" w:cs="Calibri"/>
                <w:color w:val="000000"/>
              </w:rPr>
              <w:t>3</w:t>
            </w:r>
          </w:p>
        </w:tc>
        <w:tc>
          <w:tcPr>
            <w:tcW w:w="1340" w:type="dxa"/>
            <w:noWrap/>
            <w:hideMark/>
          </w:tcPr>
          <w:p w14:paraId="0C6755F5" w14:textId="35A0373B" w:rsidR="00743801" w:rsidRPr="00BB28AA" w:rsidRDefault="00743801" w:rsidP="00C326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BB28AA">
              <w:rPr>
                <w:rFonts w:ascii="Calibri" w:eastAsia="Times New Roman" w:hAnsi="Calibri" w:cs="Calibri"/>
                <w:color w:val="000000"/>
              </w:rPr>
              <w:t>1/1/202</w:t>
            </w:r>
            <w:r w:rsidR="00F16139">
              <w:rPr>
                <w:rFonts w:ascii="Calibri" w:eastAsia="Times New Roman" w:hAnsi="Calibri" w:cs="Calibri"/>
                <w:color w:val="000000"/>
              </w:rPr>
              <w:t>4</w:t>
            </w:r>
          </w:p>
        </w:tc>
      </w:tr>
    </w:tbl>
    <w:p w14:paraId="46ED5A1C" w14:textId="7258274B" w:rsidR="00700BF7" w:rsidRDefault="00700BF7">
      <w:pPr>
        <w:pStyle w:val="Default"/>
        <w:rPr>
          <w:rFonts w:ascii="Times New Roman" w:hAnsi="Times New Roman"/>
        </w:rPr>
      </w:pPr>
    </w:p>
    <w:p w14:paraId="3AE84B01" w14:textId="7C92286C" w:rsidR="00CD4CA7" w:rsidRDefault="00CD4CA7">
      <w:pPr>
        <w:rPr>
          <w:rFonts w:ascii="Times New Roman" w:hAnsi="Times New Roman" w:cs="Arial"/>
          <w:color w:val="000000"/>
          <w:w w:val="100"/>
        </w:rPr>
      </w:pPr>
      <w:r>
        <w:rPr>
          <w:rFonts w:ascii="Times New Roman" w:hAnsi="Times New Roman"/>
        </w:rPr>
        <w:br w:type="page"/>
      </w:r>
    </w:p>
    <w:p w14:paraId="76669EB6" w14:textId="77777777" w:rsidR="00EE7EAA" w:rsidRDefault="00EE7EAA">
      <w:pPr>
        <w:pStyle w:val="Default"/>
        <w:rPr>
          <w:rFonts w:ascii="Times New Roman" w:hAnsi="Times New Roman"/>
          <w:b/>
          <w:bCs/>
        </w:rPr>
      </w:pPr>
    </w:p>
    <w:p w14:paraId="62446A2B" w14:textId="77777777" w:rsidR="00EE7EAA" w:rsidRDefault="00EE7EAA" w:rsidP="00EE7EAA">
      <w:pPr>
        <w:jc w:val="center"/>
        <w:rPr>
          <w:rFonts w:ascii="Times New Roman" w:hAnsi="Times New Roman"/>
          <w:b/>
          <w:bCs/>
        </w:rPr>
      </w:pPr>
    </w:p>
    <w:p w14:paraId="0FEB2625" w14:textId="77777777" w:rsidR="00EE7EAA" w:rsidRDefault="00EE7EAA" w:rsidP="00EE7EAA">
      <w:pPr>
        <w:jc w:val="center"/>
        <w:rPr>
          <w:rFonts w:ascii="Times New Roman" w:hAnsi="Times New Roman"/>
          <w:b/>
          <w:bCs/>
        </w:rPr>
      </w:pPr>
    </w:p>
    <w:p w14:paraId="19FB6D53" w14:textId="77777777" w:rsidR="00EE7EAA" w:rsidRDefault="00EE7EAA" w:rsidP="00EE7EAA">
      <w:pPr>
        <w:jc w:val="center"/>
        <w:rPr>
          <w:rFonts w:ascii="Times New Roman" w:hAnsi="Times New Roman"/>
          <w:b/>
          <w:bCs/>
        </w:rPr>
      </w:pPr>
    </w:p>
    <w:p w14:paraId="06910737" w14:textId="77777777" w:rsidR="00EE7EAA" w:rsidRDefault="00EE7EAA" w:rsidP="00EE7EAA">
      <w:pPr>
        <w:jc w:val="center"/>
        <w:rPr>
          <w:rFonts w:ascii="Times New Roman" w:hAnsi="Times New Roman"/>
          <w:b/>
          <w:bCs/>
        </w:rPr>
      </w:pPr>
    </w:p>
    <w:p w14:paraId="0374C48E" w14:textId="77777777" w:rsidR="00EE7EAA" w:rsidRDefault="00EE7EAA" w:rsidP="00EE7EAA">
      <w:pPr>
        <w:jc w:val="center"/>
        <w:rPr>
          <w:rFonts w:ascii="Times New Roman" w:hAnsi="Times New Roman"/>
          <w:b/>
          <w:bCs/>
        </w:rPr>
      </w:pPr>
    </w:p>
    <w:p w14:paraId="2961869B" w14:textId="77777777" w:rsidR="00EE7EAA" w:rsidRDefault="00EE7EAA" w:rsidP="00EE7EAA">
      <w:pPr>
        <w:jc w:val="center"/>
        <w:rPr>
          <w:rFonts w:ascii="Times New Roman" w:hAnsi="Times New Roman"/>
          <w:b/>
          <w:bCs/>
        </w:rPr>
      </w:pPr>
    </w:p>
    <w:p w14:paraId="484D0CFF" w14:textId="77777777" w:rsidR="00EE7EAA" w:rsidRDefault="00EE7EAA" w:rsidP="00EE7EAA">
      <w:pPr>
        <w:jc w:val="center"/>
        <w:rPr>
          <w:rFonts w:ascii="Times New Roman" w:hAnsi="Times New Roman"/>
          <w:b/>
          <w:bCs/>
        </w:rPr>
      </w:pPr>
    </w:p>
    <w:p w14:paraId="2AB41E03" w14:textId="77777777" w:rsidR="00EE7EAA" w:rsidRDefault="00EE7EAA" w:rsidP="00EE7EAA">
      <w:pPr>
        <w:jc w:val="center"/>
        <w:rPr>
          <w:rFonts w:ascii="Times New Roman" w:hAnsi="Times New Roman"/>
          <w:b/>
          <w:bCs/>
        </w:rPr>
      </w:pPr>
    </w:p>
    <w:p w14:paraId="49D93D69" w14:textId="77777777" w:rsidR="00EE7EAA" w:rsidRDefault="00EE7EAA" w:rsidP="00EE7EAA">
      <w:pPr>
        <w:jc w:val="center"/>
        <w:rPr>
          <w:rFonts w:ascii="Times New Roman" w:hAnsi="Times New Roman"/>
          <w:b/>
          <w:bCs/>
        </w:rPr>
      </w:pPr>
    </w:p>
    <w:p w14:paraId="1529C5C1" w14:textId="77777777" w:rsidR="00EE7EAA" w:rsidRDefault="00EE7EAA" w:rsidP="00EE7EAA">
      <w:pPr>
        <w:jc w:val="center"/>
        <w:rPr>
          <w:rFonts w:ascii="Times New Roman" w:hAnsi="Times New Roman"/>
          <w:b/>
          <w:bCs/>
        </w:rPr>
      </w:pPr>
    </w:p>
    <w:p w14:paraId="16FED82F" w14:textId="77777777" w:rsidR="00EE7EAA" w:rsidRDefault="00EE7EAA" w:rsidP="00EE7EAA">
      <w:pPr>
        <w:jc w:val="center"/>
        <w:rPr>
          <w:rFonts w:ascii="Times New Roman" w:hAnsi="Times New Roman"/>
          <w:b/>
          <w:bCs/>
        </w:rPr>
      </w:pPr>
    </w:p>
    <w:p w14:paraId="3D5BF683" w14:textId="77777777" w:rsidR="00EE7EAA" w:rsidRDefault="00EE7EAA" w:rsidP="00EE7EAA">
      <w:pPr>
        <w:jc w:val="center"/>
        <w:rPr>
          <w:rFonts w:ascii="Times New Roman" w:hAnsi="Times New Roman"/>
          <w:b/>
          <w:bCs/>
        </w:rPr>
      </w:pPr>
    </w:p>
    <w:p w14:paraId="646B5DB7" w14:textId="77777777" w:rsidR="00EE7EAA" w:rsidRDefault="00EE7EAA" w:rsidP="00EE7EAA">
      <w:pPr>
        <w:jc w:val="center"/>
        <w:rPr>
          <w:rFonts w:ascii="Times New Roman" w:hAnsi="Times New Roman"/>
          <w:b/>
          <w:bCs/>
        </w:rPr>
      </w:pPr>
    </w:p>
    <w:p w14:paraId="77495273" w14:textId="77777777" w:rsidR="00EE7EAA" w:rsidRDefault="00EE7EAA" w:rsidP="00EE7EAA">
      <w:pPr>
        <w:jc w:val="center"/>
        <w:rPr>
          <w:rFonts w:ascii="Times New Roman" w:hAnsi="Times New Roman"/>
          <w:b/>
          <w:bCs/>
        </w:rPr>
      </w:pPr>
    </w:p>
    <w:p w14:paraId="6ADFF65C" w14:textId="77777777" w:rsidR="00EE7EAA" w:rsidRDefault="00EE7EAA" w:rsidP="00EE7EAA">
      <w:pPr>
        <w:jc w:val="center"/>
        <w:rPr>
          <w:rFonts w:ascii="Times New Roman" w:hAnsi="Times New Roman"/>
          <w:b/>
          <w:bCs/>
        </w:rPr>
      </w:pPr>
    </w:p>
    <w:p w14:paraId="35B10A66" w14:textId="77777777" w:rsidR="00EE7EAA" w:rsidRDefault="00EE7EAA" w:rsidP="00EE7EAA">
      <w:pPr>
        <w:jc w:val="center"/>
        <w:rPr>
          <w:rFonts w:ascii="Times New Roman" w:hAnsi="Times New Roman"/>
          <w:b/>
          <w:bCs/>
        </w:rPr>
      </w:pPr>
    </w:p>
    <w:p w14:paraId="72F900D2" w14:textId="77777777" w:rsidR="00EE7EAA" w:rsidRDefault="00EE7EAA" w:rsidP="00EE7EAA">
      <w:pPr>
        <w:jc w:val="center"/>
        <w:rPr>
          <w:rFonts w:ascii="Times New Roman" w:hAnsi="Times New Roman"/>
          <w:b/>
          <w:bCs/>
        </w:rPr>
      </w:pPr>
    </w:p>
    <w:p w14:paraId="2A56DC76" w14:textId="77777777" w:rsidR="00EE7EAA" w:rsidRDefault="00EE7EAA" w:rsidP="00EE7EAA">
      <w:pPr>
        <w:jc w:val="center"/>
        <w:rPr>
          <w:rFonts w:ascii="Times New Roman" w:hAnsi="Times New Roman"/>
          <w:b/>
          <w:bCs/>
        </w:rPr>
      </w:pPr>
    </w:p>
    <w:p w14:paraId="7E564936" w14:textId="77777777" w:rsidR="00EE7EAA" w:rsidRDefault="00EE7EAA" w:rsidP="00EE7EAA">
      <w:pPr>
        <w:jc w:val="center"/>
        <w:rPr>
          <w:rFonts w:ascii="Times New Roman" w:hAnsi="Times New Roman"/>
          <w:b/>
          <w:bCs/>
        </w:rPr>
      </w:pPr>
    </w:p>
    <w:p w14:paraId="6C93FC1C" w14:textId="77777777" w:rsidR="00EE7EAA" w:rsidRDefault="00EE7EAA" w:rsidP="00EE7EAA">
      <w:pPr>
        <w:jc w:val="center"/>
        <w:rPr>
          <w:rFonts w:ascii="Times New Roman" w:hAnsi="Times New Roman"/>
          <w:b/>
          <w:bCs/>
        </w:rPr>
      </w:pPr>
    </w:p>
    <w:p w14:paraId="0128F00A" w14:textId="77777777" w:rsidR="00EE7EAA" w:rsidRDefault="00EE7EAA" w:rsidP="00EE7EAA">
      <w:pPr>
        <w:jc w:val="center"/>
        <w:rPr>
          <w:rFonts w:ascii="Times New Roman" w:hAnsi="Times New Roman"/>
          <w:b/>
          <w:bCs/>
        </w:rPr>
      </w:pPr>
    </w:p>
    <w:p w14:paraId="0D960021" w14:textId="14B02E99" w:rsidR="00EE7EAA" w:rsidRDefault="00EE7EAA" w:rsidP="00EE7EAA">
      <w:pPr>
        <w:jc w:val="center"/>
        <w:rPr>
          <w:rFonts w:ascii="Times New Roman" w:hAnsi="Times New Roman" w:cs="Arial"/>
          <w:b/>
          <w:bCs/>
          <w:color w:val="000000"/>
          <w:w w:val="100"/>
        </w:rPr>
      </w:pPr>
      <w:r>
        <w:rPr>
          <w:rFonts w:ascii="Times New Roman" w:hAnsi="Times New Roman"/>
          <w:b/>
          <w:bCs/>
        </w:rPr>
        <w:t xml:space="preserve">This </w:t>
      </w:r>
      <w:r w:rsidR="000E6A07">
        <w:rPr>
          <w:rFonts w:ascii="Times New Roman" w:hAnsi="Times New Roman"/>
          <w:b/>
          <w:bCs/>
        </w:rPr>
        <w:t>page is intentionally left blank.</w:t>
      </w:r>
      <w:r>
        <w:rPr>
          <w:rFonts w:ascii="Times New Roman" w:hAnsi="Times New Roman"/>
          <w:b/>
          <w:bCs/>
        </w:rPr>
        <w:br w:type="page"/>
      </w:r>
    </w:p>
    <w:p w14:paraId="053570E9" w14:textId="59E3A74C" w:rsidR="00CD4CA7" w:rsidRPr="00CD4CA7" w:rsidRDefault="00CD4CA7">
      <w:pPr>
        <w:pStyle w:val="Default"/>
        <w:rPr>
          <w:rFonts w:ascii="Times New Roman" w:hAnsi="Times New Roman"/>
          <w:b/>
          <w:bCs/>
        </w:rPr>
      </w:pPr>
      <w:r w:rsidRPr="00CD4CA7">
        <w:rPr>
          <w:rFonts w:ascii="Times New Roman" w:hAnsi="Times New Roman"/>
          <w:b/>
          <w:bCs/>
        </w:rPr>
        <w:lastRenderedPageBreak/>
        <w:t>Appendix:</w:t>
      </w:r>
    </w:p>
    <w:p w14:paraId="0E25A6E2" w14:textId="0928127C" w:rsidR="00CD4CA7" w:rsidRPr="00CD4CA7" w:rsidRDefault="00CD4CA7">
      <w:pPr>
        <w:pStyle w:val="Default"/>
        <w:rPr>
          <w:rFonts w:ascii="Times New Roman" w:hAnsi="Times New Roman"/>
          <w:b/>
          <w:bCs/>
        </w:rPr>
      </w:pPr>
      <w:r w:rsidRPr="00CD4CA7">
        <w:rPr>
          <w:rFonts w:ascii="Times New Roman" w:hAnsi="Times New Roman"/>
          <w:b/>
          <w:bCs/>
        </w:rPr>
        <w:t>Community Benefit Minimum Spending Floor Development Whitepaper</w:t>
      </w:r>
    </w:p>
    <w:p w14:paraId="6159D166" w14:textId="4DC3124A" w:rsidR="00CD4CA7" w:rsidRDefault="00CD4CA7">
      <w:pPr>
        <w:pStyle w:val="Default"/>
        <w:rPr>
          <w:rFonts w:ascii="Times New Roman" w:hAnsi="Times New Roman"/>
        </w:rPr>
      </w:pPr>
    </w:p>
    <w:p w14:paraId="163FDF34" w14:textId="77777777" w:rsidR="00EE7EAA" w:rsidRPr="00A67EA2" w:rsidRDefault="00EE7EAA" w:rsidP="00EE7EAA">
      <w:pPr>
        <w:rPr>
          <w:rFonts w:cs="Arial"/>
          <w:u w:val="single"/>
        </w:rPr>
      </w:pPr>
      <w:r w:rsidRPr="00A67EA2">
        <w:rPr>
          <w:rFonts w:cs="Arial"/>
          <w:u w:val="single"/>
        </w:rPr>
        <w:t>Background</w:t>
      </w:r>
    </w:p>
    <w:p w14:paraId="2B629DC4" w14:textId="69A8B70A" w:rsidR="00EE7EAA" w:rsidRDefault="00EE7EAA" w:rsidP="00EE7EAA">
      <w:pPr>
        <w:rPr>
          <w:rFonts w:cs="Arial"/>
        </w:rPr>
      </w:pPr>
      <w:r w:rsidRPr="00A67EA2">
        <w:rPr>
          <w:rFonts w:cs="Arial"/>
        </w:rPr>
        <w:t>House Bill 3076 (2019) introduced significant changes to hospital community benefits</w:t>
      </w:r>
      <w:r>
        <w:rPr>
          <w:rFonts w:cs="Arial"/>
        </w:rPr>
        <w:t xml:space="preserve"> policy</w:t>
      </w:r>
      <w:r w:rsidRPr="00A67EA2">
        <w:rPr>
          <w:rFonts w:cs="Arial"/>
        </w:rPr>
        <w:t>. The bill created new standards for financial assistance</w:t>
      </w:r>
      <w:r>
        <w:rPr>
          <w:rFonts w:cs="Arial"/>
        </w:rPr>
        <w:t xml:space="preserve"> to patients</w:t>
      </w:r>
      <w:r w:rsidRPr="00A67EA2">
        <w:rPr>
          <w:rFonts w:cs="Arial"/>
        </w:rPr>
        <w:t>, limit</w:t>
      </w:r>
      <w:r>
        <w:rPr>
          <w:rFonts w:cs="Arial"/>
        </w:rPr>
        <w:t xml:space="preserve">ed </w:t>
      </w:r>
      <w:r w:rsidRPr="00A67EA2">
        <w:rPr>
          <w:rFonts w:cs="Arial"/>
        </w:rPr>
        <w:t xml:space="preserve">medical debt collection </w:t>
      </w:r>
      <w:r>
        <w:rPr>
          <w:rFonts w:cs="Arial"/>
        </w:rPr>
        <w:t xml:space="preserve">and </w:t>
      </w:r>
      <w:r w:rsidRPr="00A67EA2">
        <w:rPr>
          <w:rFonts w:cs="Arial"/>
        </w:rPr>
        <w:t>interest</w:t>
      </w:r>
      <w:r>
        <w:rPr>
          <w:rFonts w:cs="Arial"/>
        </w:rPr>
        <w:t xml:space="preserve">, instituted </w:t>
      </w:r>
      <w:r w:rsidRPr="00A67EA2">
        <w:rPr>
          <w:rFonts w:cs="Arial"/>
        </w:rPr>
        <w:t>new data reporting requirements</w:t>
      </w:r>
      <w:r>
        <w:rPr>
          <w:rFonts w:cs="Arial"/>
        </w:rPr>
        <w:t xml:space="preserve">, and </w:t>
      </w:r>
      <w:r w:rsidRPr="00A67EA2">
        <w:rPr>
          <w:rFonts w:cs="Arial"/>
        </w:rPr>
        <w:t>introduc</w:t>
      </w:r>
      <w:r>
        <w:rPr>
          <w:rFonts w:cs="Arial"/>
        </w:rPr>
        <w:t>ed</w:t>
      </w:r>
      <w:r w:rsidRPr="00A67EA2">
        <w:rPr>
          <w:rFonts w:cs="Arial"/>
        </w:rPr>
        <w:t xml:space="preserve"> a new </w:t>
      </w:r>
      <w:r>
        <w:rPr>
          <w:rFonts w:cs="Arial"/>
        </w:rPr>
        <w:t>c</w:t>
      </w:r>
      <w:r w:rsidRPr="00A67EA2">
        <w:rPr>
          <w:rFonts w:cs="Arial"/>
        </w:rPr>
        <w:t xml:space="preserve">ommunity </w:t>
      </w:r>
      <w:r>
        <w:rPr>
          <w:rFonts w:cs="Arial"/>
        </w:rPr>
        <w:t>b</w:t>
      </w:r>
      <w:r w:rsidRPr="00A67EA2">
        <w:rPr>
          <w:rFonts w:cs="Arial"/>
        </w:rPr>
        <w:t xml:space="preserve">enefit </w:t>
      </w:r>
      <w:r>
        <w:rPr>
          <w:rFonts w:cs="Arial"/>
        </w:rPr>
        <w:t>m</w:t>
      </w:r>
      <w:r w:rsidRPr="00A67EA2">
        <w:rPr>
          <w:rFonts w:cs="Arial"/>
        </w:rPr>
        <w:t xml:space="preserve">inimum </w:t>
      </w:r>
      <w:r>
        <w:rPr>
          <w:rFonts w:cs="Arial"/>
        </w:rPr>
        <w:t>s</w:t>
      </w:r>
      <w:r w:rsidRPr="00A67EA2">
        <w:rPr>
          <w:rFonts w:cs="Arial"/>
        </w:rPr>
        <w:t xml:space="preserve">pending </w:t>
      </w:r>
      <w:r>
        <w:rPr>
          <w:rFonts w:cs="Arial"/>
        </w:rPr>
        <w:t>f</w:t>
      </w:r>
      <w:r w:rsidRPr="00A67EA2">
        <w:rPr>
          <w:rFonts w:cs="Arial"/>
        </w:rPr>
        <w:t>loor</w:t>
      </w:r>
      <w:r>
        <w:rPr>
          <w:rFonts w:cs="Arial"/>
        </w:rPr>
        <w:t xml:space="preserve"> </w:t>
      </w:r>
      <w:r w:rsidRPr="00A67EA2">
        <w:rPr>
          <w:rFonts w:cs="Arial"/>
        </w:rPr>
        <w:t>program</w:t>
      </w:r>
      <w:r>
        <w:rPr>
          <w:rFonts w:cs="Arial"/>
        </w:rPr>
        <w:t>. Under the spending floor program, the</w:t>
      </w:r>
      <w:r w:rsidRPr="00A67EA2">
        <w:rPr>
          <w:rFonts w:cs="Arial"/>
        </w:rPr>
        <w:t xml:space="preserve"> Oregon Health Authority (OHA)</w:t>
      </w:r>
      <w:r>
        <w:rPr>
          <w:rFonts w:cs="Arial"/>
        </w:rPr>
        <w:t xml:space="preserve"> must</w:t>
      </w:r>
      <w:r w:rsidRPr="00A67EA2">
        <w:rPr>
          <w:rFonts w:cs="Arial"/>
        </w:rPr>
        <w:t xml:space="preserve"> </w:t>
      </w:r>
      <w:r>
        <w:rPr>
          <w:rFonts w:cs="Arial"/>
        </w:rPr>
        <w:t xml:space="preserve">every two years set the minimum amount each hospital must spend on community benefits. The legislature directed </w:t>
      </w:r>
      <w:r w:rsidRPr="00A67EA2">
        <w:rPr>
          <w:rFonts w:cs="Arial"/>
        </w:rPr>
        <w:t xml:space="preserve">OHA to develop a methodology for </w:t>
      </w:r>
      <w:r>
        <w:rPr>
          <w:rFonts w:cs="Arial"/>
        </w:rPr>
        <w:t>determining</w:t>
      </w:r>
      <w:r w:rsidRPr="00A67EA2">
        <w:rPr>
          <w:rFonts w:cs="Arial"/>
        </w:rPr>
        <w:t xml:space="preserve"> th</w:t>
      </w:r>
      <w:r>
        <w:rPr>
          <w:rFonts w:cs="Arial"/>
        </w:rPr>
        <w:t>is s</w:t>
      </w:r>
      <w:r w:rsidRPr="00A67EA2">
        <w:rPr>
          <w:rFonts w:cs="Arial"/>
        </w:rPr>
        <w:t xml:space="preserve">pending </w:t>
      </w:r>
      <w:r>
        <w:rPr>
          <w:rFonts w:cs="Arial"/>
        </w:rPr>
        <w:t>f</w:t>
      </w:r>
      <w:r w:rsidRPr="00A67EA2">
        <w:rPr>
          <w:rFonts w:cs="Arial"/>
        </w:rPr>
        <w:t xml:space="preserve">loor </w:t>
      </w:r>
      <w:r>
        <w:rPr>
          <w:rFonts w:cs="Arial"/>
        </w:rPr>
        <w:t>in</w:t>
      </w:r>
      <w:r w:rsidRPr="00A67EA2">
        <w:rPr>
          <w:rFonts w:cs="Arial"/>
        </w:rPr>
        <w:t xml:space="preserve"> consultation </w:t>
      </w:r>
      <w:r>
        <w:rPr>
          <w:rFonts w:cs="Arial"/>
        </w:rPr>
        <w:t>with</w:t>
      </w:r>
      <w:r w:rsidRPr="00A67EA2">
        <w:rPr>
          <w:rFonts w:cs="Arial"/>
        </w:rPr>
        <w:t xml:space="preserve"> hospitals, health care economists, and the general public. </w:t>
      </w:r>
    </w:p>
    <w:p w14:paraId="0882FD29" w14:textId="77777777" w:rsidR="00D94AC3" w:rsidRPr="00A67EA2" w:rsidRDefault="00D94AC3" w:rsidP="00EE7EAA">
      <w:pPr>
        <w:rPr>
          <w:rFonts w:cs="Arial"/>
        </w:rPr>
      </w:pPr>
    </w:p>
    <w:p w14:paraId="014B33CF" w14:textId="77777777" w:rsidR="00EE7EAA" w:rsidRPr="00A67EA2" w:rsidRDefault="00EE7EAA" w:rsidP="00EE7EAA">
      <w:pPr>
        <w:rPr>
          <w:rFonts w:cs="Arial"/>
          <w:u w:val="single"/>
        </w:rPr>
      </w:pPr>
      <w:r w:rsidRPr="00A67EA2">
        <w:rPr>
          <w:rFonts w:cs="Arial"/>
          <w:u w:val="single"/>
        </w:rPr>
        <w:t>Methodology Requirements</w:t>
      </w:r>
    </w:p>
    <w:p w14:paraId="3D0F4A3E" w14:textId="77777777" w:rsidR="00EE7EAA" w:rsidRPr="00A67EA2" w:rsidRDefault="00EE7EAA" w:rsidP="00EE7EAA">
      <w:pPr>
        <w:rPr>
          <w:rFonts w:cs="Arial"/>
        </w:rPr>
      </w:pPr>
      <w:r w:rsidRPr="00A67EA2">
        <w:rPr>
          <w:rFonts w:cs="Arial"/>
        </w:rPr>
        <w:t xml:space="preserve">The bill allows hospitals to </w:t>
      </w:r>
      <w:r>
        <w:rPr>
          <w:rFonts w:cs="Arial"/>
        </w:rPr>
        <w:t>choose the grouping the spending floor is</w:t>
      </w:r>
      <w:r w:rsidRPr="00A67EA2">
        <w:rPr>
          <w:rFonts w:cs="Arial"/>
        </w:rPr>
        <w:t xml:space="preserve"> applied</w:t>
      </w:r>
      <w:r>
        <w:rPr>
          <w:rFonts w:cs="Arial"/>
        </w:rPr>
        <w:t xml:space="preserve"> to, including but not limited to: </w:t>
      </w:r>
    </w:p>
    <w:p w14:paraId="0E9FEF4A" w14:textId="77777777" w:rsidR="00EE7EAA" w:rsidRPr="00A67EA2" w:rsidRDefault="00EE7EAA" w:rsidP="00EE7EAA">
      <w:pPr>
        <w:pStyle w:val="ListParagraph"/>
        <w:numPr>
          <w:ilvl w:val="0"/>
          <w:numId w:val="40"/>
        </w:numPr>
        <w:spacing w:after="160" w:line="259" w:lineRule="auto"/>
        <w:rPr>
          <w:rFonts w:cs="Arial"/>
        </w:rPr>
      </w:pPr>
      <w:r w:rsidRPr="00A67EA2">
        <w:rPr>
          <w:rFonts w:cs="Arial"/>
        </w:rPr>
        <w:t>Each individual hospital and all the hospital’s nonprofit affiliated clinics</w:t>
      </w:r>
    </w:p>
    <w:p w14:paraId="28ABA2C1" w14:textId="77777777" w:rsidR="00EE7EAA" w:rsidRPr="00A67EA2" w:rsidRDefault="00EE7EAA" w:rsidP="00EE7EAA">
      <w:pPr>
        <w:pStyle w:val="ListParagraph"/>
        <w:numPr>
          <w:ilvl w:val="0"/>
          <w:numId w:val="40"/>
        </w:numPr>
        <w:spacing w:after="160" w:line="259" w:lineRule="auto"/>
        <w:rPr>
          <w:rFonts w:cs="Arial"/>
        </w:rPr>
      </w:pPr>
      <w:r>
        <w:rPr>
          <w:rFonts w:cs="Arial"/>
        </w:rPr>
        <w:t>A</w:t>
      </w:r>
      <w:r w:rsidRPr="00A67EA2">
        <w:rPr>
          <w:rFonts w:cs="Arial"/>
        </w:rPr>
        <w:t xml:space="preserve"> hospital and a group of the hospital’s nonprofit affiliated clinics</w:t>
      </w:r>
    </w:p>
    <w:p w14:paraId="5B8F9AC8" w14:textId="77777777" w:rsidR="00EE7EAA" w:rsidRDefault="00EE7EAA" w:rsidP="00EE7EAA">
      <w:pPr>
        <w:pStyle w:val="ListParagraph"/>
        <w:numPr>
          <w:ilvl w:val="0"/>
          <w:numId w:val="40"/>
        </w:numPr>
        <w:spacing w:after="160" w:line="259" w:lineRule="auto"/>
        <w:rPr>
          <w:rFonts w:cs="Arial"/>
        </w:rPr>
      </w:pPr>
      <w:r>
        <w:rPr>
          <w:rFonts w:cs="Arial"/>
        </w:rPr>
        <w:t>A</w:t>
      </w:r>
      <w:r w:rsidRPr="00A67EA2">
        <w:rPr>
          <w:rFonts w:cs="Arial"/>
        </w:rPr>
        <w:t>ll the hospitals that are under common ownership and control and all of the hospitals’ nonprofit affiliated clinics</w:t>
      </w:r>
    </w:p>
    <w:p w14:paraId="2F31CE3D" w14:textId="77777777" w:rsidR="00EE7EAA" w:rsidRPr="00A67EA2" w:rsidRDefault="00EE7EAA" w:rsidP="00EE7EAA">
      <w:pPr>
        <w:rPr>
          <w:rFonts w:cs="Arial"/>
        </w:rPr>
      </w:pPr>
      <w:r w:rsidRPr="00A67EA2">
        <w:rPr>
          <w:rFonts w:cs="Arial"/>
        </w:rPr>
        <w:t xml:space="preserve">The bill further requires OHA to consider several factors when developing the </w:t>
      </w:r>
      <w:r>
        <w:rPr>
          <w:rFonts w:cs="Arial"/>
        </w:rPr>
        <w:t>spending floor</w:t>
      </w:r>
      <w:r w:rsidRPr="00A67EA2">
        <w:rPr>
          <w:rFonts w:cs="Arial"/>
        </w:rPr>
        <w:t>, including but not limited to:</w:t>
      </w:r>
    </w:p>
    <w:p w14:paraId="24C1BD00" w14:textId="77777777" w:rsidR="00EE7EAA" w:rsidRDefault="00EE7EAA" w:rsidP="00EE7EAA">
      <w:pPr>
        <w:pStyle w:val="ListParagraph"/>
        <w:numPr>
          <w:ilvl w:val="0"/>
          <w:numId w:val="39"/>
        </w:numPr>
        <w:spacing w:after="160" w:line="259" w:lineRule="auto"/>
        <w:rPr>
          <w:rFonts w:cs="Arial"/>
        </w:rPr>
      </w:pPr>
      <w:r w:rsidRPr="00A67EA2">
        <w:rPr>
          <w:rFonts w:cs="Arial"/>
        </w:rPr>
        <w:t xml:space="preserve">Historic and current </w:t>
      </w:r>
      <w:r>
        <w:rPr>
          <w:rFonts w:cs="Arial"/>
        </w:rPr>
        <w:t xml:space="preserve">community benefit </w:t>
      </w:r>
      <w:r w:rsidRPr="00A67EA2">
        <w:rPr>
          <w:rFonts w:cs="Arial"/>
        </w:rPr>
        <w:t>expenditures by the hospital and the hospital’s affiliated clinics</w:t>
      </w:r>
      <w:r>
        <w:rPr>
          <w:rFonts w:cs="Arial"/>
        </w:rPr>
        <w:t>.</w:t>
      </w:r>
    </w:p>
    <w:p w14:paraId="377C5D60" w14:textId="77777777" w:rsidR="00EE7EAA" w:rsidRPr="00A67EA2" w:rsidRDefault="00EE7EAA" w:rsidP="00EE7EAA">
      <w:pPr>
        <w:pStyle w:val="ListParagraph"/>
        <w:numPr>
          <w:ilvl w:val="0"/>
          <w:numId w:val="39"/>
        </w:numPr>
        <w:spacing w:after="160" w:line="259" w:lineRule="auto"/>
        <w:rPr>
          <w:rFonts w:cs="Arial"/>
        </w:rPr>
      </w:pPr>
      <w:r>
        <w:rPr>
          <w:rFonts w:cs="Arial"/>
        </w:rPr>
        <w:t>Demographics of the population served</w:t>
      </w:r>
    </w:p>
    <w:p w14:paraId="39170471" w14:textId="77777777" w:rsidR="00EE7EAA" w:rsidRPr="006D5E40" w:rsidRDefault="00EE7EAA" w:rsidP="00EE7EAA">
      <w:pPr>
        <w:pStyle w:val="ListParagraph"/>
        <w:numPr>
          <w:ilvl w:val="0"/>
          <w:numId w:val="39"/>
        </w:numPr>
        <w:spacing w:after="160" w:line="259" w:lineRule="auto"/>
        <w:rPr>
          <w:rFonts w:cs="Arial"/>
        </w:rPr>
      </w:pPr>
      <w:r>
        <w:rPr>
          <w:rFonts w:cs="Arial"/>
        </w:rPr>
        <w:t>S</w:t>
      </w:r>
      <w:r w:rsidRPr="00A67EA2">
        <w:rPr>
          <w:rFonts w:cs="Arial"/>
        </w:rPr>
        <w:t>pending on social determinants of health by the hospital and affiliated clinics</w:t>
      </w:r>
    </w:p>
    <w:p w14:paraId="4312315A" w14:textId="77777777" w:rsidR="00EE7EAA" w:rsidRPr="00A67EA2" w:rsidRDefault="00EE7EAA" w:rsidP="00EE7EAA">
      <w:pPr>
        <w:pStyle w:val="ListParagraph"/>
        <w:numPr>
          <w:ilvl w:val="0"/>
          <w:numId w:val="39"/>
        </w:numPr>
        <w:spacing w:after="160" w:line="259" w:lineRule="auto"/>
        <w:rPr>
          <w:rFonts w:cs="Arial"/>
        </w:rPr>
      </w:pPr>
      <w:r w:rsidRPr="00A67EA2">
        <w:rPr>
          <w:rFonts w:cs="Arial"/>
        </w:rPr>
        <w:t>Identified community needs</w:t>
      </w:r>
    </w:p>
    <w:p w14:paraId="2BFC1C6B" w14:textId="77777777" w:rsidR="00EE7EAA" w:rsidRPr="00A67EA2" w:rsidRDefault="00EE7EAA" w:rsidP="00EE7EAA">
      <w:pPr>
        <w:pStyle w:val="ListParagraph"/>
        <w:numPr>
          <w:ilvl w:val="0"/>
          <w:numId w:val="39"/>
        </w:numPr>
        <w:spacing w:after="160" w:line="259" w:lineRule="auto"/>
        <w:rPr>
          <w:rFonts w:cs="Arial"/>
        </w:rPr>
      </w:pPr>
      <w:r w:rsidRPr="00A67EA2">
        <w:rPr>
          <w:rFonts w:cs="Arial"/>
        </w:rPr>
        <w:t>The hospital’s need to expand the health care workforce</w:t>
      </w:r>
    </w:p>
    <w:p w14:paraId="01DAFCBB" w14:textId="77777777" w:rsidR="00EE7EAA" w:rsidRPr="00A67EA2" w:rsidRDefault="00EE7EAA" w:rsidP="00EE7EAA">
      <w:pPr>
        <w:pStyle w:val="ListParagraph"/>
        <w:numPr>
          <w:ilvl w:val="0"/>
          <w:numId w:val="39"/>
        </w:numPr>
        <w:spacing w:after="160" w:line="259" w:lineRule="auto"/>
        <w:rPr>
          <w:rFonts w:cs="Arial"/>
        </w:rPr>
      </w:pPr>
      <w:r w:rsidRPr="00A67EA2">
        <w:rPr>
          <w:rFonts w:cs="Arial"/>
        </w:rPr>
        <w:t>The overall financial position of the hospital and affiliated clinics based on audited financial statements</w:t>
      </w:r>
    </w:p>
    <w:p w14:paraId="491E4CD4" w14:textId="77777777" w:rsidR="00EE7EAA" w:rsidRPr="00A67EA2" w:rsidRDefault="00EE7EAA" w:rsidP="00EE7EAA">
      <w:pPr>
        <w:pStyle w:val="ListParagraph"/>
        <w:numPr>
          <w:ilvl w:val="0"/>
          <w:numId w:val="39"/>
        </w:numPr>
        <w:spacing w:after="160" w:line="259" w:lineRule="auto"/>
        <w:rPr>
          <w:rFonts w:cs="Arial"/>
        </w:rPr>
      </w:pPr>
      <w:r w:rsidRPr="00A67EA2">
        <w:rPr>
          <w:rFonts w:cs="Arial"/>
        </w:rPr>
        <w:t>Taxes paid to federal, state</w:t>
      </w:r>
      <w:r>
        <w:rPr>
          <w:rFonts w:cs="Arial"/>
        </w:rPr>
        <w:t>,</w:t>
      </w:r>
      <w:r w:rsidRPr="00A67EA2">
        <w:rPr>
          <w:rFonts w:cs="Arial"/>
        </w:rPr>
        <w:t xml:space="preserve"> or local municipalities </w:t>
      </w:r>
    </w:p>
    <w:p w14:paraId="2A763204" w14:textId="2436D168" w:rsidR="00EE7EAA" w:rsidRDefault="00EE7EAA" w:rsidP="00EE7EAA">
      <w:pPr>
        <w:rPr>
          <w:rFonts w:cs="Arial"/>
        </w:rPr>
      </w:pPr>
      <w:r w:rsidRPr="00A67EA2">
        <w:rPr>
          <w:rFonts w:cs="Arial"/>
        </w:rPr>
        <w:t xml:space="preserve">OHA is required to apply the </w:t>
      </w:r>
      <w:r>
        <w:rPr>
          <w:rFonts w:cs="Arial"/>
        </w:rPr>
        <w:t>s</w:t>
      </w:r>
      <w:r w:rsidRPr="00A67EA2">
        <w:rPr>
          <w:rFonts w:cs="Arial"/>
        </w:rPr>
        <w:t xml:space="preserve">pending </w:t>
      </w:r>
      <w:r>
        <w:rPr>
          <w:rFonts w:cs="Arial"/>
        </w:rPr>
        <w:t>f</w:t>
      </w:r>
      <w:r w:rsidRPr="00A67EA2">
        <w:rPr>
          <w:rFonts w:cs="Arial"/>
        </w:rPr>
        <w:t xml:space="preserve">loor every two years. </w:t>
      </w:r>
      <w:r>
        <w:rPr>
          <w:rFonts w:cs="Arial"/>
        </w:rPr>
        <w:t>However, t</w:t>
      </w:r>
      <w:r w:rsidRPr="00A67EA2">
        <w:rPr>
          <w:rFonts w:cs="Arial"/>
        </w:rPr>
        <w:t xml:space="preserve">he bill does not specify </w:t>
      </w:r>
      <w:r>
        <w:rPr>
          <w:rFonts w:cs="Arial"/>
        </w:rPr>
        <w:t xml:space="preserve">whether </w:t>
      </w:r>
      <w:r w:rsidRPr="00A67EA2">
        <w:rPr>
          <w:rFonts w:cs="Arial"/>
        </w:rPr>
        <w:t xml:space="preserve">the </w:t>
      </w:r>
      <w:r>
        <w:rPr>
          <w:rFonts w:cs="Arial"/>
        </w:rPr>
        <w:t>s</w:t>
      </w:r>
      <w:r w:rsidRPr="00A67EA2">
        <w:rPr>
          <w:rFonts w:cs="Arial"/>
        </w:rPr>
        <w:t xml:space="preserve">pending </w:t>
      </w:r>
      <w:r>
        <w:rPr>
          <w:rFonts w:cs="Arial"/>
        </w:rPr>
        <w:t>f</w:t>
      </w:r>
      <w:r w:rsidRPr="00A67EA2">
        <w:rPr>
          <w:rFonts w:cs="Arial"/>
        </w:rPr>
        <w:t xml:space="preserve">loor </w:t>
      </w:r>
      <w:r>
        <w:rPr>
          <w:rFonts w:cs="Arial"/>
        </w:rPr>
        <w:t>must</w:t>
      </w:r>
      <w:r w:rsidRPr="00A67EA2">
        <w:rPr>
          <w:rFonts w:cs="Arial"/>
        </w:rPr>
        <w:t xml:space="preserve"> be </w:t>
      </w:r>
      <w:r>
        <w:rPr>
          <w:rFonts w:cs="Arial"/>
        </w:rPr>
        <w:t>the</w:t>
      </w:r>
      <w:r w:rsidRPr="00A67EA2">
        <w:rPr>
          <w:rFonts w:cs="Arial"/>
        </w:rPr>
        <w:t xml:space="preserve"> </w:t>
      </w:r>
      <w:r>
        <w:rPr>
          <w:rFonts w:cs="Arial"/>
        </w:rPr>
        <w:t>same for</w:t>
      </w:r>
      <w:r w:rsidRPr="00A67EA2">
        <w:rPr>
          <w:rFonts w:cs="Arial"/>
        </w:rPr>
        <w:t xml:space="preserve"> </w:t>
      </w:r>
      <w:r>
        <w:rPr>
          <w:rFonts w:cs="Arial"/>
        </w:rPr>
        <w:t xml:space="preserve">both </w:t>
      </w:r>
      <w:r w:rsidRPr="00A67EA2">
        <w:rPr>
          <w:rFonts w:cs="Arial"/>
        </w:rPr>
        <w:t xml:space="preserve">years or </w:t>
      </w:r>
      <w:r>
        <w:rPr>
          <w:rFonts w:cs="Arial"/>
        </w:rPr>
        <w:t>calculated separately for each of</w:t>
      </w:r>
      <w:r w:rsidRPr="00A67EA2">
        <w:rPr>
          <w:rFonts w:cs="Arial"/>
        </w:rPr>
        <w:t xml:space="preserve"> the next two years. </w:t>
      </w:r>
      <w:r>
        <w:rPr>
          <w:rFonts w:cs="Arial"/>
        </w:rPr>
        <w:t>OHA is opting for the latter approach and calculating the spending floor for each year, two years at a time.</w:t>
      </w:r>
    </w:p>
    <w:p w14:paraId="660C4F81" w14:textId="77777777" w:rsidR="00D94AC3" w:rsidRPr="00A67EA2" w:rsidRDefault="00D94AC3" w:rsidP="00EE7EAA">
      <w:pPr>
        <w:rPr>
          <w:rFonts w:cs="Arial"/>
        </w:rPr>
      </w:pPr>
    </w:p>
    <w:p w14:paraId="13699B7F" w14:textId="77777777" w:rsidR="00EE7EAA" w:rsidRPr="00A67EA2" w:rsidRDefault="00EE7EAA" w:rsidP="00EE7EAA">
      <w:pPr>
        <w:rPr>
          <w:rFonts w:cs="Arial"/>
          <w:u w:val="single"/>
        </w:rPr>
      </w:pPr>
      <w:r w:rsidRPr="00A67EA2">
        <w:rPr>
          <w:rFonts w:cs="Arial"/>
          <w:u w:val="single"/>
        </w:rPr>
        <w:t>Methodology Guiding Principles</w:t>
      </w:r>
    </w:p>
    <w:p w14:paraId="557F1B05" w14:textId="77777777" w:rsidR="00EE7EAA" w:rsidRDefault="00EE7EAA" w:rsidP="00EE7EAA">
      <w:pPr>
        <w:rPr>
          <w:rFonts w:cs="Arial"/>
        </w:rPr>
      </w:pPr>
      <w:r w:rsidRPr="00A67EA2">
        <w:rPr>
          <w:rFonts w:cs="Arial"/>
        </w:rPr>
        <w:t>In developing the</w:t>
      </w:r>
      <w:r>
        <w:rPr>
          <w:rFonts w:cs="Arial"/>
        </w:rPr>
        <w:t xml:space="preserve"> minimum</w:t>
      </w:r>
      <w:r w:rsidRPr="00A67EA2">
        <w:rPr>
          <w:rFonts w:cs="Arial"/>
        </w:rPr>
        <w:t xml:space="preserve"> </w:t>
      </w:r>
      <w:r>
        <w:rPr>
          <w:rFonts w:cs="Arial"/>
        </w:rPr>
        <w:t>spending floor</w:t>
      </w:r>
      <w:r w:rsidRPr="00A67EA2">
        <w:rPr>
          <w:rFonts w:cs="Arial"/>
        </w:rPr>
        <w:t xml:space="preserve"> methodology, OHA adopted several guiding principles</w:t>
      </w:r>
      <w:r>
        <w:rPr>
          <w:rFonts w:cs="Arial"/>
        </w:rPr>
        <w:t xml:space="preserve"> that go</w:t>
      </w:r>
      <w:r w:rsidRPr="00A67EA2">
        <w:rPr>
          <w:rFonts w:cs="Arial"/>
        </w:rPr>
        <w:t xml:space="preserve"> beyond the direct requirements of the bill. These principles were informed through conversations with key stakeholders </w:t>
      </w:r>
      <w:r>
        <w:rPr>
          <w:rFonts w:cs="Arial"/>
        </w:rPr>
        <w:t>and</w:t>
      </w:r>
      <w:r w:rsidRPr="00A67EA2">
        <w:rPr>
          <w:rFonts w:cs="Arial"/>
        </w:rPr>
        <w:t xml:space="preserve"> legal analysis of the bill</w:t>
      </w:r>
      <w:r>
        <w:rPr>
          <w:rFonts w:cs="Arial"/>
        </w:rPr>
        <w:t>. One such principle is that “m</w:t>
      </w:r>
      <w:r w:rsidRPr="006E7D81">
        <w:rPr>
          <w:rFonts w:cs="Arial"/>
        </w:rPr>
        <w:t>inimum</w:t>
      </w:r>
      <w:r>
        <w:rPr>
          <w:rFonts w:cs="Arial"/>
        </w:rPr>
        <w:t>”</w:t>
      </w:r>
      <w:r w:rsidRPr="006E7D81">
        <w:rPr>
          <w:rFonts w:cs="Arial"/>
        </w:rPr>
        <w:t xml:space="preserve"> really means </w:t>
      </w:r>
      <w:r>
        <w:rPr>
          <w:rFonts w:cs="Arial"/>
        </w:rPr>
        <w:t>“</w:t>
      </w:r>
      <w:r w:rsidRPr="006E7D81">
        <w:rPr>
          <w:rFonts w:cs="Arial"/>
        </w:rPr>
        <w:t>minimum.</w:t>
      </w:r>
      <w:r>
        <w:rPr>
          <w:rFonts w:cs="Arial"/>
        </w:rPr>
        <w:t>”</w:t>
      </w:r>
      <w:r w:rsidRPr="006E7D81">
        <w:rPr>
          <w:rFonts w:cs="Arial"/>
        </w:rPr>
        <w:t xml:space="preserve"> All hospitals should exceed their minimum spending </w:t>
      </w:r>
      <w:r>
        <w:rPr>
          <w:rFonts w:cs="Arial"/>
        </w:rPr>
        <w:t>floor</w:t>
      </w:r>
      <w:r w:rsidRPr="006E7D81">
        <w:rPr>
          <w:rFonts w:cs="Arial"/>
        </w:rPr>
        <w:t>, and</w:t>
      </w:r>
      <w:r>
        <w:rPr>
          <w:rFonts w:cs="Arial"/>
        </w:rPr>
        <w:t xml:space="preserve"> the spending floor should not be a disincentive for hospitals with robust spending to maintain those levels. OHA considered adopting a methodology that codified that principle by requiring hospitals to expend community benefit amounts that equaled or exceeded historic practice. Instead, OHA proposes a methodology that achieves a similar end, but with greater transparency, nuance and responsiveness to financial trends. For example, the methodology:</w:t>
      </w:r>
    </w:p>
    <w:p w14:paraId="083C7E63" w14:textId="77777777" w:rsidR="00EE7EAA" w:rsidRPr="006E7D81" w:rsidRDefault="00EE7EAA" w:rsidP="00EE7EAA">
      <w:pPr>
        <w:pStyle w:val="ListParagraph"/>
        <w:numPr>
          <w:ilvl w:val="0"/>
          <w:numId w:val="43"/>
        </w:numPr>
        <w:spacing w:after="160" w:line="259" w:lineRule="auto"/>
        <w:rPr>
          <w:rFonts w:cs="Arial"/>
        </w:rPr>
      </w:pPr>
      <w:r>
        <w:rPr>
          <w:rFonts w:cs="Arial"/>
        </w:rPr>
        <w:lastRenderedPageBreak/>
        <w:t>Links the minimum spending floor to operating margin.</w:t>
      </w:r>
      <w:r w:rsidRPr="007475FB">
        <w:rPr>
          <w:rFonts w:cs="Arial"/>
        </w:rPr>
        <w:t xml:space="preserve"> </w:t>
      </w:r>
      <w:r>
        <w:rPr>
          <w:rFonts w:cs="Arial"/>
        </w:rPr>
        <w:t>Hospitals in robust financial health (as defined in the methodology, below) will have their spending floor adjusted upward, even if they are already making strong community benefit investments. H</w:t>
      </w:r>
      <w:r w:rsidRPr="006E7D81">
        <w:rPr>
          <w:rFonts w:cs="Arial"/>
        </w:rPr>
        <w:t>ospitals that are financially struggling</w:t>
      </w:r>
      <w:r>
        <w:rPr>
          <w:rFonts w:cs="Arial"/>
        </w:rPr>
        <w:t xml:space="preserve"> will </w:t>
      </w:r>
      <w:r w:rsidRPr="006E7D81">
        <w:rPr>
          <w:rFonts w:cs="Arial"/>
        </w:rPr>
        <w:t xml:space="preserve">have their spending floor adjusted downward. </w:t>
      </w:r>
    </w:p>
    <w:p w14:paraId="13C96134" w14:textId="77777777" w:rsidR="00EE7EAA" w:rsidRDefault="00EE7EAA" w:rsidP="00EE7EAA">
      <w:pPr>
        <w:pStyle w:val="ListParagraph"/>
        <w:numPr>
          <w:ilvl w:val="0"/>
          <w:numId w:val="43"/>
        </w:numPr>
        <w:spacing w:after="160" w:line="259" w:lineRule="auto"/>
        <w:rPr>
          <w:rFonts w:cs="Arial"/>
        </w:rPr>
      </w:pPr>
      <w:r>
        <w:rPr>
          <w:rFonts w:cs="Arial"/>
        </w:rPr>
        <w:t xml:space="preserve">Breaks out hospitals’ </w:t>
      </w:r>
      <w:r w:rsidRPr="004965BB">
        <w:rPr>
          <w:rFonts w:cs="Arial"/>
        </w:rPr>
        <w:t xml:space="preserve">spending on direct </w:t>
      </w:r>
      <w:r>
        <w:rPr>
          <w:rFonts w:cs="Arial"/>
        </w:rPr>
        <w:t xml:space="preserve">community benefit </w:t>
      </w:r>
      <w:r w:rsidRPr="004965BB">
        <w:rPr>
          <w:rFonts w:cs="Arial"/>
        </w:rPr>
        <w:t>servi</w:t>
      </w:r>
      <w:r>
        <w:rPr>
          <w:rFonts w:cs="Arial"/>
        </w:rPr>
        <w:t>c</w:t>
      </w:r>
      <w:r w:rsidRPr="004965BB">
        <w:rPr>
          <w:rFonts w:cs="Arial"/>
        </w:rPr>
        <w:t>es</w:t>
      </w:r>
      <w:r>
        <w:rPr>
          <w:rFonts w:cs="Arial"/>
        </w:rPr>
        <w:t xml:space="preserve"> -- such as spending to address the social determinants of health and health equity – from their unreimbursed care obligations and expects greater spending from urban hospitals than rural. This more granular approach also allows for </w:t>
      </w:r>
      <w:r w:rsidRPr="004965BB">
        <w:rPr>
          <w:rFonts w:cs="Arial"/>
        </w:rPr>
        <w:t>fine-tun</w:t>
      </w:r>
      <w:r>
        <w:rPr>
          <w:rFonts w:cs="Arial"/>
        </w:rPr>
        <w:t>ing</w:t>
      </w:r>
      <w:r w:rsidRPr="004965BB">
        <w:rPr>
          <w:rFonts w:cs="Arial"/>
        </w:rPr>
        <w:t xml:space="preserve"> when there are fluctuations in</w:t>
      </w:r>
      <w:r>
        <w:rPr>
          <w:rFonts w:cs="Arial"/>
        </w:rPr>
        <w:t xml:space="preserve"> the need for</w:t>
      </w:r>
      <w:r w:rsidRPr="004965BB">
        <w:rPr>
          <w:rFonts w:cs="Arial"/>
        </w:rPr>
        <w:t xml:space="preserve"> unreimbursed </w:t>
      </w:r>
      <w:r>
        <w:rPr>
          <w:rFonts w:cs="Arial"/>
        </w:rPr>
        <w:t>care.</w:t>
      </w:r>
    </w:p>
    <w:p w14:paraId="2FA2B513" w14:textId="77777777" w:rsidR="00EE7EAA" w:rsidRDefault="00EE7EAA" w:rsidP="00EE7EAA">
      <w:pPr>
        <w:pStyle w:val="ListParagraph"/>
        <w:numPr>
          <w:ilvl w:val="1"/>
          <w:numId w:val="43"/>
        </w:numPr>
        <w:spacing w:after="160" w:line="259" w:lineRule="auto"/>
        <w:rPr>
          <w:rFonts w:cs="Arial"/>
        </w:rPr>
      </w:pPr>
      <w:r>
        <w:rPr>
          <w:rFonts w:cs="Arial"/>
        </w:rPr>
        <w:t>While hospitals can meet their spending floor through spending on any on any of the ten categories mentioned below, the methodology reflects the importance of both types of spending by breaking out unreimbursed care from direct spending when calculating the overall spending floor.</w:t>
      </w:r>
    </w:p>
    <w:p w14:paraId="100961B0" w14:textId="77777777" w:rsidR="00EE7EAA" w:rsidRPr="001C4782" w:rsidRDefault="00EE7EAA" w:rsidP="00EE7EAA">
      <w:pPr>
        <w:pStyle w:val="ListParagraph"/>
        <w:numPr>
          <w:ilvl w:val="0"/>
          <w:numId w:val="43"/>
        </w:numPr>
        <w:spacing w:after="160" w:line="259" w:lineRule="auto"/>
        <w:rPr>
          <w:rFonts w:cs="Arial"/>
        </w:rPr>
      </w:pPr>
      <w:r>
        <w:rPr>
          <w:rFonts w:cs="Arial"/>
        </w:rPr>
        <w:t>Is responsive to fluctuations in net patient revenue. The community benefit spending floor adjusts up or down in response to prolonged trends in revenue.</w:t>
      </w:r>
    </w:p>
    <w:p w14:paraId="52F550DD" w14:textId="1E36D815" w:rsidR="00EE7EAA" w:rsidRDefault="00EE7EAA" w:rsidP="00EE7EAA">
      <w:pPr>
        <w:rPr>
          <w:rFonts w:cs="Arial"/>
        </w:rPr>
      </w:pPr>
      <w:r>
        <w:rPr>
          <w:rFonts w:cs="Arial"/>
        </w:rPr>
        <w:t>The methodology is also guided by the following principles:</w:t>
      </w:r>
    </w:p>
    <w:p w14:paraId="390C529B" w14:textId="77777777" w:rsidR="00D94AC3" w:rsidRPr="009C1381" w:rsidRDefault="00D94AC3" w:rsidP="00EE7EAA">
      <w:pPr>
        <w:rPr>
          <w:rFonts w:cs="Arial"/>
        </w:rPr>
      </w:pPr>
    </w:p>
    <w:p w14:paraId="282C0368" w14:textId="77777777" w:rsidR="00EE7EAA" w:rsidRDefault="00EE7EAA" w:rsidP="00EE7EAA">
      <w:pPr>
        <w:pStyle w:val="ListParagraph"/>
        <w:numPr>
          <w:ilvl w:val="0"/>
          <w:numId w:val="41"/>
        </w:numPr>
        <w:spacing w:after="160" w:line="259" w:lineRule="auto"/>
        <w:rPr>
          <w:rFonts w:cs="Arial"/>
        </w:rPr>
      </w:pPr>
      <w:r>
        <w:rPr>
          <w:rFonts w:cs="Arial"/>
        </w:rPr>
        <w:t xml:space="preserve">Comprehensive. </w:t>
      </w:r>
      <w:r w:rsidRPr="00A67EA2">
        <w:rPr>
          <w:rFonts w:cs="Arial"/>
        </w:rPr>
        <w:t xml:space="preserve">Spending </w:t>
      </w:r>
      <w:r>
        <w:rPr>
          <w:rFonts w:cs="Arial"/>
        </w:rPr>
        <w:t xml:space="preserve">against the established </w:t>
      </w:r>
      <w:r w:rsidRPr="00A67EA2">
        <w:rPr>
          <w:rFonts w:cs="Arial"/>
        </w:rPr>
        <w:t xml:space="preserve">floor </w:t>
      </w:r>
      <w:r>
        <w:rPr>
          <w:rFonts w:cs="Arial"/>
        </w:rPr>
        <w:t xml:space="preserve">will include </w:t>
      </w:r>
      <w:r w:rsidRPr="00A67EA2">
        <w:rPr>
          <w:rFonts w:cs="Arial"/>
        </w:rPr>
        <w:t>all 10 categories of community benefit spending recognized by Oregon statutes</w:t>
      </w:r>
      <w:r>
        <w:rPr>
          <w:rFonts w:cs="Arial"/>
        </w:rPr>
        <w:t xml:space="preserve"> including financial assistance spending categories such as charity care and Medicaid</w:t>
      </w:r>
      <w:r w:rsidRPr="00A67EA2">
        <w:rPr>
          <w:rFonts w:cs="Arial"/>
        </w:rPr>
        <w:t>.</w:t>
      </w:r>
    </w:p>
    <w:p w14:paraId="3B8B6D72" w14:textId="77777777" w:rsidR="00EE7EAA" w:rsidRPr="00A67EA2" w:rsidRDefault="00EE7EAA" w:rsidP="00EE7EAA">
      <w:pPr>
        <w:pStyle w:val="ListParagraph"/>
        <w:numPr>
          <w:ilvl w:val="0"/>
          <w:numId w:val="41"/>
        </w:numPr>
        <w:spacing w:after="160" w:line="259" w:lineRule="auto"/>
        <w:rPr>
          <w:rFonts w:cs="Arial"/>
        </w:rPr>
      </w:pPr>
      <w:r>
        <w:rPr>
          <w:rFonts w:cs="Arial"/>
        </w:rPr>
        <w:t>Prospective defined amount. The spending floor is a known dollar amount given at the start of the fiscal year.</w:t>
      </w:r>
    </w:p>
    <w:p w14:paraId="6EF27EE2" w14:textId="77777777" w:rsidR="00EE7EAA" w:rsidRPr="00A67EA2" w:rsidRDefault="00EE7EAA" w:rsidP="00EE7EAA">
      <w:pPr>
        <w:pStyle w:val="ListParagraph"/>
        <w:numPr>
          <w:ilvl w:val="0"/>
          <w:numId w:val="41"/>
        </w:numPr>
        <w:spacing w:after="160" w:line="259" w:lineRule="auto"/>
        <w:rPr>
          <w:rFonts w:cs="Arial"/>
        </w:rPr>
      </w:pPr>
      <w:r w:rsidRPr="00A67EA2">
        <w:rPr>
          <w:rFonts w:cs="Arial"/>
        </w:rPr>
        <w:t>No new data reporting</w:t>
      </w:r>
      <w:r>
        <w:rPr>
          <w:rFonts w:cs="Arial"/>
        </w:rPr>
        <w:t xml:space="preserve"> systems</w:t>
      </w:r>
      <w:r w:rsidRPr="00A67EA2">
        <w:rPr>
          <w:rFonts w:cs="Arial"/>
        </w:rPr>
        <w:t xml:space="preserve">. </w:t>
      </w:r>
      <w:r>
        <w:rPr>
          <w:rFonts w:cs="Arial"/>
        </w:rPr>
        <w:t xml:space="preserve">While some new data points are required, OHA will continue to utilize the </w:t>
      </w:r>
      <w:r w:rsidRPr="00A67EA2">
        <w:rPr>
          <w:rFonts w:cs="Arial"/>
        </w:rPr>
        <w:t>Community Benefit Reporting (form CBR-1) and the Audited Financial Report (</w:t>
      </w:r>
      <w:r>
        <w:rPr>
          <w:rFonts w:cs="Arial"/>
        </w:rPr>
        <w:t>f</w:t>
      </w:r>
      <w:r w:rsidRPr="00A67EA2">
        <w:rPr>
          <w:rFonts w:cs="Arial"/>
        </w:rPr>
        <w:t xml:space="preserve">orm FR-3). </w:t>
      </w:r>
    </w:p>
    <w:p w14:paraId="67FAA773" w14:textId="77777777" w:rsidR="00EE7EAA" w:rsidRDefault="00EE7EAA" w:rsidP="00EE7EAA">
      <w:pPr>
        <w:pStyle w:val="ListParagraph"/>
        <w:numPr>
          <w:ilvl w:val="0"/>
          <w:numId w:val="41"/>
        </w:numPr>
        <w:spacing w:after="160" w:line="259" w:lineRule="auto"/>
        <w:rPr>
          <w:rFonts w:cs="Arial"/>
        </w:rPr>
      </w:pPr>
      <w:r w:rsidRPr="00A67EA2">
        <w:rPr>
          <w:rFonts w:cs="Arial"/>
        </w:rPr>
        <w:t xml:space="preserve">Simple and scalable. The formula should be objective and straightforward. All hospitals should be able to readily calculate </w:t>
      </w:r>
      <w:r>
        <w:rPr>
          <w:rFonts w:cs="Arial"/>
        </w:rPr>
        <w:t>their own minimum spending floor for each spending cycle.</w:t>
      </w:r>
    </w:p>
    <w:p w14:paraId="15F6D0A7" w14:textId="77777777" w:rsidR="00EE7EAA" w:rsidRDefault="00EE7EAA" w:rsidP="00EE7EAA">
      <w:pPr>
        <w:pStyle w:val="ListParagraph"/>
        <w:numPr>
          <w:ilvl w:val="0"/>
          <w:numId w:val="41"/>
        </w:numPr>
        <w:spacing w:after="160" w:line="259" w:lineRule="auto"/>
        <w:rPr>
          <w:rFonts w:cs="Arial"/>
        </w:rPr>
      </w:pPr>
      <w:r w:rsidRPr="00E710DD">
        <w:rPr>
          <w:rFonts w:cs="Arial"/>
        </w:rPr>
        <w:t>Flexible. Processes will be established to allow for modifications needed by hospitals experiencing financial challenge or significant changes in circumstance.</w:t>
      </w:r>
    </w:p>
    <w:p w14:paraId="38AF6365" w14:textId="77777777" w:rsidR="00EE7EAA" w:rsidRPr="008748A0" w:rsidRDefault="00EE7EAA" w:rsidP="00EE7EAA">
      <w:pPr>
        <w:pStyle w:val="ListParagraph"/>
        <w:numPr>
          <w:ilvl w:val="0"/>
          <w:numId w:val="41"/>
        </w:numPr>
        <w:spacing w:after="160" w:line="259" w:lineRule="auto"/>
        <w:rPr>
          <w:rFonts w:cs="Arial"/>
        </w:rPr>
      </w:pPr>
      <w:r w:rsidRPr="008748A0">
        <w:rPr>
          <w:rFonts w:cs="Arial"/>
        </w:rPr>
        <w:t xml:space="preserve">Does not create negative trends. The formula should not negatively affect community benefit trends or be incentive to reduce spending. </w:t>
      </w:r>
    </w:p>
    <w:p w14:paraId="3B84F388" w14:textId="77777777" w:rsidR="00EE7EAA" w:rsidRDefault="00EE7EAA" w:rsidP="00EE7EAA">
      <w:pPr>
        <w:rPr>
          <w:rFonts w:cs="Arial"/>
          <w:u w:val="single"/>
        </w:rPr>
      </w:pPr>
    </w:p>
    <w:p w14:paraId="767F7A13" w14:textId="77777777" w:rsidR="00EE7EAA" w:rsidRPr="00E710DD" w:rsidRDefault="00EE7EAA" w:rsidP="00EE7EAA">
      <w:pPr>
        <w:rPr>
          <w:rFonts w:cs="Arial"/>
        </w:rPr>
      </w:pPr>
      <w:r w:rsidRPr="00E710DD">
        <w:rPr>
          <w:rFonts w:cs="Arial"/>
          <w:u w:val="single"/>
        </w:rPr>
        <w:t>Spending floor Methodology</w:t>
      </w:r>
    </w:p>
    <w:p w14:paraId="137B2AA8" w14:textId="002256D9" w:rsidR="00EE7EAA" w:rsidRPr="00A67EA2" w:rsidRDefault="00EE7EAA" w:rsidP="00EE7EAA">
      <w:pPr>
        <w:rPr>
          <w:rFonts w:cs="Arial"/>
        </w:rPr>
      </w:pPr>
      <w:r w:rsidRPr="00A67EA2">
        <w:rPr>
          <w:rFonts w:cs="Arial"/>
        </w:rPr>
        <w:t xml:space="preserve">OHA will use the following formula for assigning the Community Benefit Minimum </w:t>
      </w:r>
      <w:r>
        <w:rPr>
          <w:rFonts w:cs="Arial"/>
        </w:rPr>
        <w:t>spending floor for the two-year cycle of 202</w:t>
      </w:r>
      <w:r w:rsidR="00F16139">
        <w:rPr>
          <w:rFonts w:cs="Arial"/>
        </w:rPr>
        <w:t>4</w:t>
      </w:r>
      <w:r>
        <w:rPr>
          <w:rFonts w:cs="Arial"/>
        </w:rPr>
        <w:t>-202</w:t>
      </w:r>
      <w:r w:rsidR="00F16139">
        <w:rPr>
          <w:rFonts w:cs="Arial"/>
        </w:rPr>
        <w:t>5</w:t>
      </w:r>
      <w:r w:rsidRPr="00A67EA2">
        <w:rPr>
          <w:rFonts w:cs="Arial"/>
        </w:rPr>
        <w:t>:</w:t>
      </w:r>
    </w:p>
    <w:p w14:paraId="77203D54" w14:textId="77777777" w:rsidR="00EE7EAA" w:rsidRPr="00A67EA2" w:rsidRDefault="00EE7EAA" w:rsidP="00EE7EAA">
      <w:pPr>
        <w:rPr>
          <w:rFonts w:cs="Arial"/>
        </w:rPr>
      </w:pPr>
      <w:r w:rsidRPr="00A67EA2">
        <w:rPr>
          <w:rFonts w:cs="Arial"/>
        </w:rPr>
        <w:t xml:space="preserve">Year 1 </w:t>
      </w:r>
      <w:r>
        <w:rPr>
          <w:rFonts w:cs="Arial"/>
        </w:rPr>
        <w:t>spending floor</w:t>
      </w:r>
      <w:r w:rsidRPr="00A67EA2">
        <w:rPr>
          <w:rFonts w:cs="Arial"/>
        </w:rPr>
        <w:t xml:space="preserve"> = </w:t>
      </w:r>
      <w:r w:rsidRPr="00A67EA2">
        <w:rPr>
          <w:rFonts w:cs="Arial"/>
          <w:b/>
          <w:bCs/>
          <w:i/>
          <w:iCs/>
          <w:color w:val="00B0F0"/>
        </w:rPr>
        <w:t xml:space="preserve">3-year average of </w:t>
      </w:r>
      <w:r w:rsidRPr="00A67EA2">
        <w:rPr>
          <w:rFonts w:cs="Arial"/>
          <w:b/>
          <w:i/>
          <w:color w:val="00B0F0"/>
        </w:rPr>
        <w:t>unreimbursed care spending</w:t>
      </w:r>
      <w:r w:rsidRPr="00A67EA2">
        <w:rPr>
          <w:rFonts w:cs="Arial"/>
        </w:rPr>
        <w:t xml:space="preserve"> + </w:t>
      </w:r>
      <w:r>
        <w:rPr>
          <w:rFonts w:cs="Arial"/>
        </w:rPr>
        <w:t>(</w:t>
      </w:r>
      <w:r>
        <w:rPr>
          <w:rFonts w:cs="Arial"/>
          <w:b/>
          <w:i/>
          <w:color w:val="FF0000"/>
        </w:rPr>
        <w:t>Direct Spending Net Patient Revenue Percentage</w:t>
      </w:r>
      <w:r w:rsidRPr="00A67EA2">
        <w:rPr>
          <w:rFonts w:cs="Arial"/>
        </w:rPr>
        <w:t xml:space="preserve"> x </w:t>
      </w:r>
      <w:r w:rsidRPr="00A67EA2">
        <w:rPr>
          <w:rFonts w:cs="Arial"/>
          <w:b/>
          <w:bCs/>
          <w:i/>
          <w:iCs/>
          <w:color w:val="C0504D" w:themeColor="accent2"/>
        </w:rPr>
        <w:t xml:space="preserve">3-year </w:t>
      </w:r>
      <w:r w:rsidRPr="00A67EA2">
        <w:rPr>
          <w:rFonts w:cs="Arial"/>
          <w:b/>
          <w:i/>
          <w:color w:val="C0504D" w:themeColor="accent2"/>
        </w:rPr>
        <w:t>average operating margin</w:t>
      </w:r>
      <w:r w:rsidRPr="00A67EA2">
        <w:rPr>
          <w:rFonts w:cs="Arial"/>
          <w:b/>
          <w:color w:val="C0504D" w:themeColor="accent2"/>
        </w:rPr>
        <w:t xml:space="preserve"> </w:t>
      </w:r>
      <w:r w:rsidRPr="00A67EA2">
        <w:rPr>
          <w:rFonts w:cs="Arial"/>
          <w:b/>
          <w:i/>
          <w:iCs/>
          <w:color w:val="C0504D" w:themeColor="accent2"/>
        </w:rPr>
        <w:t>multiplier</w:t>
      </w:r>
      <w:r w:rsidRPr="00A67EA2">
        <w:rPr>
          <w:rFonts w:cs="Arial"/>
        </w:rPr>
        <w:t>)</w:t>
      </w:r>
    </w:p>
    <w:p w14:paraId="2ADDB89A" w14:textId="77777777" w:rsidR="00EE7EAA" w:rsidRPr="00A67EA2" w:rsidRDefault="00EE7EAA" w:rsidP="00EE7EAA">
      <w:pPr>
        <w:rPr>
          <w:rFonts w:cs="Arial"/>
        </w:rPr>
      </w:pPr>
      <w:r w:rsidRPr="00A67EA2">
        <w:rPr>
          <w:rFonts w:cs="Arial"/>
        </w:rPr>
        <w:t xml:space="preserve">Year 2 </w:t>
      </w:r>
      <w:r>
        <w:rPr>
          <w:rFonts w:cs="Arial"/>
        </w:rPr>
        <w:t>spending floor</w:t>
      </w:r>
      <w:r w:rsidRPr="00A67EA2">
        <w:rPr>
          <w:rFonts w:cs="Arial"/>
        </w:rPr>
        <w:t xml:space="preserve"> = </w:t>
      </w:r>
      <w:r w:rsidRPr="00A67EA2">
        <w:rPr>
          <w:rFonts w:cs="Arial"/>
          <w:b/>
          <w:bCs/>
          <w:i/>
          <w:iCs/>
        </w:rPr>
        <w:t xml:space="preserve">Year 1 </w:t>
      </w:r>
      <w:r>
        <w:rPr>
          <w:rFonts w:cs="Arial"/>
          <w:b/>
          <w:bCs/>
          <w:i/>
          <w:iCs/>
        </w:rPr>
        <w:t>spending floor</w:t>
      </w:r>
      <w:r w:rsidRPr="00A67EA2">
        <w:rPr>
          <w:rFonts w:cs="Arial"/>
        </w:rPr>
        <w:t xml:space="preserve"> + (</w:t>
      </w:r>
      <w:r w:rsidRPr="00A67EA2">
        <w:rPr>
          <w:rFonts w:cs="Arial"/>
          <w:b/>
          <w:bCs/>
          <w:i/>
          <w:iCs/>
        </w:rPr>
        <w:t xml:space="preserve">Year 1 </w:t>
      </w:r>
      <w:r>
        <w:rPr>
          <w:rFonts w:cs="Arial"/>
          <w:b/>
          <w:bCs/>
          <w:i/>
          <w:iCs/>
        </w:rPr>
        <w:t>spending floor</w:t>
      </w:r>
      <w:r w:rsidRPr="00A67EA2">
        <w:rPr>
          <w:rFonts w:cs="Arial"/>
        </w:rPr>
        <w:t xml:space="preserve">* </w:t>
      </w:r>
      <w:r>
        <w:rPr>
          <w:rFonts w:cs="Arial"/>
          <w:b/>
          <w:bCs/>
          <w:i/>
          <w:iCs/>
          <w:color w:val="F79646" w:themeColor="accent6"/>
        </w:rPr>
        <w:t>4</w:t>
      </w:r>
      <w:r w:rsidRPr="00A67EA2">
        <w:rPr>
          <w:rFonts w:cs="Arial"/>
          <w:b/>
          <w:bCs/>
          <w:i/>
          <w:iCs/>
          <w:color w:val="F79646" w:themeColor="accent6"/>
        </w:rPr>
        <w:t xml:space="preserve">-year average </w:t>
      </w:r>
      <w:r w:rsidRPr="00A67EA2">
        <w:rPr>
          <w:rFonts w:cs="Arial"/>
          <w:b/>
          <w:i/>
          <w:color w:val="E36C0A" w:themeColor="accent6" w:themeShade="BF"/>
        </w:rPr>
        <w:t xml:space="preserve">percent change in </w:t>
      </w:r>
      <w:r>
        <w:rPr>
          <w:rFonts w:cs="Arial"/>
          <w:b/>
          <w:i/>
          <w:color w:val="E36C0A" w:themeColor="accent6" w:themeShade="BF"/>
        </w:rPr>
        <w:t>net patient revenue, capped at +/- 10%</w:t>
      </w:r>
      <w:r>
        <w:rPr>
          <w:rFonts w:cs="Arial"/>
          <w:b/>
          <w:bCs/>
          <w:i/>
          <w:iCs/>
        </w:rPr>
        <w:t xml:space="preserve"> </w:t>
      </w:r>
      <w:r w:rsidRPr="00A67EA2">
        <w:rPr>
          <w:rFonts w:cs="Arial"/>
        </w:rPr>
        <w:t>)</w:t>
      </w:r>
    </w:p>
    <w:p w14:paraId="16FFB3CE" w14:textId="77777777" w:rsidR="00EE7EAA" w:rsidRPr="00A67EA2" w:rsidRDefault="00EE7EAA" w:rsidP="00EE7EAA">
      <w:pPr>
        <w:rPr>
          <w:rFonts w:cs="Arial"/>
        </w:rPr>
      </w:pPr>
      <w:r w:rsidRPr="00A67EA2">
        <w:rPr>
          <w:rFonts w:cs="Arial"/>
        </w:rPr>
        <w:t>Where:</w:t>
      </w:r>
    </w:p>
    <w:p w14:paraId="6AA1A0BA" w14:textId="77777777" w:rsidR="00EE7EAA" w:rsidRPr="00A67EA2" w:rsidRDefault="00EE7EAA" w:rsidP="00EE7EAA">
      <w:pPr>
        <w:rPr>
          <w:rFonts w:cs="Arial"/>
        </w:rPr>
      </w:pPr>
      <w:r w:rsidRPr="00A67EA2">
        <w:rPr>
          <w:rFonts w:cs="Arial"/>
          <w:i/>
          <w:color w:val="00B0F0"/>
        </w:rPr>
        <w:t>Three-year average of unreimbursed care</w:t>
      </w:r>
      <w:r w:rsidRPr="00A67EA2">
        <w:rPr>
          <w:rFonts w:cs="Arial"/>
          <w:color w:val="00B0F0"/>
        </w:rPr>
        <w:t xml:space="preserve"> </w:t>
      </w:r>
      <w:r w:rsidRPr="00A67EA2">
        <w:rPr>
          <w:rFonts w:cs="Arial"/>
        </w:rPr>
        <w:t xml:space="preserve">is the arithmetic mean of the sum of unreimbursed Medicaid net costs, charity care net costs, other public programs net costs, and subsidized health services net costs for the most recent three years reported to OHA on the CBR-1 form. </w:t>
      </w:r>
    </w:p>
    <w:p w14:paraId="559FF6EE" w14:textId="4ABBA790" w:rsidR="00EE7EAA" w:rsidRPr="00A67EA2" w:rsidRDefault="00EE7EAA" w:rsidP="00EE7EAA">
      <w:pPr>
        <w:rPr>
          <w:rFonts w:cs="Arial"/>
        </w:rPr>
      </w:pPr>
      <w:r>
        <w:rPr>
          <w:rFonts w:cs="Arial"/>
          <w:i/>
          <w:color w:val="FF0000"/>
        </w:rPr>
        <w:lastRenderedPageBreak/>
        <w:t>Direct Spending Net Patient Revenue Percentage</w:t>
      </w:r>
      <w:r w:rsidRPr="00A67EA2">
        <w:rPr>
          <w:rFonts w:cs="Arial"/>
          <w:color w:val="FF0000"/>
        </w:rPr>
        <w:t xml:space="preserve"> </w:t>
      </w:r>
      <w:r>
        <w:rPr>
          <w:rFonts w:cs="Arial"/>
        </w:rPr>
        <w:t xml:space="preserve">is a percentage of the most recently reported net patient revenue amount on form FR-3. </w:t>
      </w:r>
      <w:r w:rsidR="007F411D">
        <w:rPr>
          <w:rFonts w:cs="Arial"/>
        </w:rPr>
        <w:t>The percent amount is based on hospital type. For DRG hospitals, the amount is 1.5% of net patient revenue, for Type A and Type B hospitals it is 1.0% of net patient revenue.</w:t>
      </w:r>
    </w:p>
    <w:p w14:paraId="74D0EFDC" w14:textId="77777777" w:rsidR="00EE7EAA" w:rsidRPr="00A67EA2" w:rsidRDefault="00EE7EAA" w:rsidP="00EE7EAA">
      <w:pPr>
        <w:rPr>
          <w:rFonts w:cs="Arial"/>
        </w:rPr>
      </w:pPr>
      <w:r w:rsidRPr="00A67EA2">
        <w:rPr>
          <w:rFonts w:cs="Arial"/>
          <w:i/>
          <w:color w:val="C0504D" w:themeColor="accent2"/>
        </w:rPr>
        <w:t>Three-year average operating margin multiplier</w:t>
      </w:r>
      <w:r w:rsidRPr="00A67EA2">
        <w:rPr>
          <w:rFonts w:cs="Arial"/>
          <w:color w:val="C0504D" w:themeColor="accent2"/>
        </w:rPr>
        <w:t xml:space="preserve"> </w:t>
      </w:r>
      <w:r w:rsidRPr="00A67EA2">
        <w:rPr>
          <w:rFonts w:cs="Arial"/>
        </w:rPr>
        <w:t>is a multiplying factor applied to the</w:t>
      </w:r>
      <w:r>
        <w:rPr>
          <w:rFonts w:cs="Arial"/>
        </w:rPr>
        <w:t xml:space="preserve"> direct spending</w:t>
      </w:r>
      <w:r w:rsidRPr="00A67EA2">
        <w:rPr>
          <w:rFonts w:cs="Arial"/>
        </w:rPr>
        <w:t xml:space="preserve"> </w:t>
      </w:r>
      <w:r>
        <w:rPr>
          <w:rFonts w:cs="Arial"/>
        </w:rPr>
        <w:t>net patient revenue portion</w:t>
      </w:r>
      <w:r w:rsidRPr="00A67EA2">
        <w:rPr>
          <w:rFonts w:cs="Arial"/>
        </w:rPr>
        <w:t xml:space="preserve"> of the formula based on the arithmetic mean of the three most recently reported operating margin</w:t>
      </w:r>
      <w:r>
        <w:rPr>
          <w:rFonts w:cs="Arial"/>
        </w:rPr>
        <w:t>s</w:t>
      </w:r>
      <w:r w:rsidRPr="00A67EA2">
        <w:rPr>
          <w:rFonts w:cs="Arial"/>
        </w:rPr>
        <w:t>, expressed as a percentage of operating revenue, as reported to OHA on form FR-3. The factors are:</w:t>
      </w:r>
    </w:p>
    <w:p w14:paraId="0E8EBE3D" w14:textId="77777777" w:rsidR="00EE7EAA" w:rsidRPr="00A67EA2" w:rsidRDefault="00EE7EAA" w:rsidP="00EE7EAA">
      <w:pPr>
        <w:pStyle w:val="ListParagraph"/>
        <w:numPr>
          <w:ilvl w:val="0"/>
          <w:numId w:val="37"/>
        </w:numPr>
        <w:spacing w:after="160" w:line="259" w:lineRule="auto"/>
        <w:rPr>
          <w:rFonts w:cs="Arial"/>
        </w:rPr>
      </w:pPr>
      <w:r w:rsidRPr="00A67EA2">
        <w:rPr>
          <w:rFonts w:cs="Arial"/>
        </w:rPr>
        <w:t>1.</w:t>
      </w:r>
      <w:r>
        <w:rPr>
          <w:rFonts w:cs="Arial"/>
        </w:rPr>
        <w:t>05</w:t>
      </w:r>
      <w:r w:rsidRPr="00A67EA2">
        <w:rPr>
          <w:rFonts w:cs="Arial"/>
        </w:rPr>
        <w:t xml:space="preserve"> for three-year average operating margins of 6% or more</w:t>
      </w:r>
    </w:p>
    <w:p w14:paraId="1524F29E" w14:textId="77777777" w:rsidR="00EE7EAA" w:rsidRPr="00A67EA2" w:rsidRDefault="00EE7EAA" w:rsidP="00EE7EAA">
      <w:pPr>
        <w:pStyle w:val="ListParagraph"/>
        <w:numPr>
          <w:ilvl w:val="0"/>
          <w:numId w:val="37"/>
        </w:numPr>
        <w:spacing w:after="160" w:line="259" w:lineRule="auto"/>
        <w:rPr>
          <w:rFonts w:cs="Arial"/>
        </w:rPr>
      </w:pPr>
      <w:r>
        <w:rPr>
          <w:rFonts w:cs="Arial"/>
        </w:rPr>
        <w:t>1.0</w:t>
      </w:r>
      <w:r w:rsidRPr="00A67EA2">
        <w:rPr>
          <w:rFonts w:cs="Arial"/>
        </w:rPr>
        <w:t xml:space="preserve"> for three-year average operating margins between 3% and 6%</w:t>
      </w:r>
    </w:p>
    <w:p w14:paraId="457C63AD" w14:textId="77777777" w:rsidR="00EE7EAA" w:rsidRPr="00A67EA2" w:rsidRDefault="00EE7EAA" w:rsidP="00EE7EAA">
      <w:pPr>
        <w:pStyle w:val="ListParagraph"/>
        <w:numPr>
          <w:ilvl w:val="0"/>
          <w:numId w:val="37"/>
        </w:numPr>
        <w:spacing w:after="160" w:line="259" w:lineRule="auto"/>
        <w:rPr>
          <w:rFonts w:cs="Arial"/>
        </w:rPr>
      </w:pPr>
      <w:r>
        <w:rPr>
          <w:rFonts w:cs="Arial"/>
        </w:rPr>
        <w:t>0.9</w:t>
      </w:r>
      <w:r w:rsidRPr="00A67EA2">
        <w:rPr>
          <w:rFonts w:cs="Arial"/>
        </w:rPr>
        <w:t xml:space="preserve"> for three-year average operating margins between 0% and 3%</w:t>
      </w:r>
    </w:p>
    <w:p w14:paraId="5008BA3D" w14:textId="77777777" w:rsidR="00EE7EAA" w:rsidRPr="00A67EA2" w:rsidRDefault="00EE7EAA" w:rsidP="00EE7EAA">
      <w:pPr>
        <w:pStyle w:val="ListParagraph"/>
        <w:numPr>
          <w:ilvl w:val="0"/>
          <w:numId w:val="37"/>
        </w:numPr>
        <w:spacing w:after="160" w:line="259" w:lineRule="auto"/>
        <w:rPr>
          <w:rFonts w:cs="Arial"/>
        </w:rPr>
      </w:pPr>
      <w:r w:rsidRPr="00A67EA2">
        <w:rPr>
          <w:rFonts w:cs="Arial"/>
        </w:rPr>
        <w:t>0.</w:t>
      </w:r>
      <w:r>
        <w:rPr>
          <w:rFonts w:cs="Arial"/>
        </w:rPr>
        <w:t>8</w:t>
      </w:r>
      <w:r w:rsidRPr="00A67EA2">
        <w:rPr>
          <w:rFonts w:cs="Arial"/>
        </w:rPr>
        <w:t xml:space="preserve"> for three-year average operating margins between -2% and 0%</w:t>
      </w:r>
    </w:p>
    <w:p w14:paraId="79DDA08E" w14:textId="77777777" w:rsidR="00EE7EAA" w:rsidRPr="00A67EA2" w:rsidRDefault="00EE7EAA" w:rsidP="00EE7EAA">
      <w:pPr>
        <w:pStyle w:val="ListParagraph"/>
        <w:numPr>
          <w:ilvl w:val="0"/>
          <w:numId w:val="37"/>
        </w:numPr>
        <w:spacing w:after="160" w:line="259" w:lineRule="auto"/>
        <w:rPr>
          <w:rFonts w:cs="Arial"/>
        </w:rPr>
      </w:pPr>
      <w:r w:rsidRPr="00A67EA2">
        <w:rPr>
          <w:rFonts w:cs="Arial"/>
        </w:rPr>
        <w:t>0</w:t>
      </w:r>
      <w:r>
        <w:rPr>
          <w:rFonts w:cs="Arial"/>
        </w:rPr>
        <w:t>.75</w:t>
      </w:r>
      <w:r w:rsidRPr="00A67EA2">
        <w:rPr>
          <w:rFonts w:cs="Arial"/>
        </w:rPr>
        <w:t xml:space="preserve"> for three-year average operating margins less than -2%</w:t>
      </w:r>
    </w:p>
    <w:p w14:paraId="46656517" w14:textId="77777777" w:rsidR="00EE7EAA" w:rsidRDefault="00EE7EAA" w:rsidP="00EE7EAA">
      <w:pPr>
        <w:rPr>
          <w:rFonts w:cs="Arial"/>
        </w:rPr>
      </w:pPr>
      <w:r>
        <w:rPr>
          <w:rFonts w:cs="Arial"/>
          <w:i/>
          <w:color w:val="E36C0A" w:themeColor="accent6" w:themeShade="BF"/>
        </w:rPr>
        <w:t>Four</w:t>
      </w:r>
      <w:r w:rsidRPr="00A67EA2">
        <w:rPr>
          <w:rFonts w:cs="Arial"/>
          <w:i/>
          <w:color w:val="E36C0A" w:themeColor="accent6" w:themeShade="BF"/>
        </w:rPr>
        <w:t xml:space="preserve">-year average percent change </w:t>
      </w:r>
      <w:r>
        <w:rPr>
          <w:rFonts w:cs="Arial"/>
          <w:i/>
          <w:color w:val="E36C0A" w:themeColor="accent6" w:themeShade="BF"/>
        </w:rPr>
        <w:t xml:space="preserve">net patient revenue </w:t>
      </w:r>
      <w:r w:rsidRPr="00A67EA2">
        <w:rPr>
          <w:rFonts w:cs="Arial"/>
        </w:rPr>
        <w:t>is the</w:t>
      </w:r>
      <w:r>
        <w:rPr>
          <w:rFonts w:cs="Arial"/>
        </w:rPr>
        <w:t xml:space="preserve"> arithmetic</w:t>
      </w:r>
      <w:r w:rsidRPr="00A67EA2">
        <w:rPr>
          <w:rFonts w:cs="Arial"/>
        </w:rPr>
        <w:t xml:space="preserve"> average </w:t>
      </w:r>
      <w:r>
        <w:rPr>
          <w:rFonts w:cs="Arial"/>
        </w:rPr>
        <w:t xml:space="preserve">of year over year </w:t>
      </w:r>
      <w:r w:rsidRPr="00A67EA2">
        <w:rPr>
          <w:rFonts w:cs="Arial"/>
        </w:rPr>
        <w:t xml:space="preserve">change in </w:t>
      </w:r>
      <w:r>
        <w:rPr>
          <w:rFonts w:cs="Arial"/>
        </w:rPr>
        <w:t>net patient revenue for the most recent 4-year period</w:t>
      </w:r>
      <w:r w:rsidRPr="00A67EA2">
        <w:rPr>
          <w:rFonts w:cs="Arial"/>
        </w:rPr>
        <w:t>.</w:t>
      </w:r>
      <w:r>
        <w:rPr>
          <w:rFonts w:cs="Arial"/>
        </w:rPr>
        <w:t xml:space="preserve"> The percent change adjustment is capped at + or – 10%. </w:t>
      </w:r>
    </w:p>
    <w:p w14:paraId="3AE406C9" w14:textId="28C9C7E5" w:rsidR="00EE7EAA" w:rsidRDefault="00EE7EAA" w:rsidP="00EE7EAA">
      <w:pPr>
        <w:rPr>
          <w:rFonts w:cs="Arial"/>
        </w:rPr>
      </w:pPr>
      <w:r>
        <w:rPr>
          <w:rFonts w:cs="Arial"/>
        </w:rPr>
        <w:t xml:space="preserve">In the case of the two for-profit hospitals in Oregon, the spending floor shall be the remaining amount after subtracting the net sum of state income and property taxes paid in the most recent tax year. </w:t>
      </w:r>
    </w:p>
    <w:p w14:paraId="60066FE2" w14:textId="77777777" w:rsidR="00D94AC3" w:rsidRDefault="00D94AC3" w:rsidP="00EE7EAA">
      <w:pPr>
        <w:rPr>
          <w:rFonts w:cs="Arial"/>
        </w:rPr>
      </w:pPr>
    </w:p>
    <w:p w14:paraId="58E52848" w14:textId="77777777" w:rsidR="00EE7EAA" w:rsidRPr="00A67EA2" w:rsidRDefault="00EE7EAA" w:rsidP="00EE7EAA">
      <w:pPr>
        <w:rPr>
          <w:rFonts w:cs="Arial"/>
          <w:u w:val="single"/>
        </w:rPr>
      </w:pPr>
      <w:r>
        <w:rPr>
          <w:rFonts w:cs="Arial"/>
          <w:u w:val="single"/>
        </w:rPr>
        <w:t>Spending Floor</w:t>
      </w:r>
      <w:r w:rsidRPr="00A67EA2">
        <w:rPr>
          <w:rFonts w:cs="Arial"/>
          <w:u w:val="single"/>
        </w:rPr>
        <w:t xml:space="preserve"> Process Outline</w:t>
      </w:r>
    </w:p>
    <w:p w14:paraId="6A473522" w14:textId="28CDE04F" w:rsidR="00EE7EAA" w:rsidRDefault="00EE7EAA" w:rsidP="00EE7EAA">
      <w:pPr>
        <w:rPr>
          <w:rFonts w:cs="Arial"/>
        </w:rPr>
      </w:pPr>
      <w:r w:rsidRPr="00A67EA2">
        <w:rPr>
          <w:rFonts w:cs="Arial"/>
        </w:rPr>
        <w:t xml:space="preserve">OHA </w:t>
      </w:r>
      <w:r>
        <w:rPr>
          <w:rFonts w:cs="Arial"/>
        </w:rPr>
        <w:t>establish</w:t>
      </w:r>
      <w:r w:rsidR="00EF1F2A">
        <w:rPr>
          <w:rFonts w:cs="Arial"/>
        </w:rPr>
        <w:t>ed</w:t>
      </w:r>
      <w:r w:rsidRPr="00A67EA2">
        <w:rPr>
          <w:rFonts w:cs="Arial"/>
        </w:rPr>
        <w:t xml:space="preserve"> </w:t>
      </w:r>
      <w:r>
        <w:rPr>
          <w:rFonts w:cs="Arial"/>
        </w:rPr>
        <w:t xml:space="preserve">the formula for annual spending floors in two-year cycles. </w:t>
      </w:r>
      <w:r w:rsidRPr="00A67EA2">
        <w:rPr>
          <w:rFonts w:cs="Arial"/>
        </w:rPr>
        <w:t>For example, beginning in January of 2021, OHA assign</w:t>
      </w:r>
      <w:r w:rsidR="00EF1F2A">
        <w:rPr>
          <w:rFonts w:cs="Arial"/>
        </w:rPr>
        <w:t>ed</w:t>
      </w:r>
      <w:r w:rsidRPr="00A67EA2">
        <w:rPr>
          <w:rFonts w:cs="Arial"/>
        </w:rPr>
        <w:t xml:space="preserve"> a </w:t>
      </w:r>
      <w:r>
        <w:rPr>
          <w:rFonts w:cs="Arial"/>
        </w:rPr>
        <w:t>spending floor</w:t>
      </w:r>
      <w:r w:rsidRPr="00A67EA2">
        <w:rPr>
          <w:rFonts w:cs="Arial"/>
        </w:rPr>
        <w:t xml:space="preserve"> for hospitals</w:t>
      </w:r>
      <w:r>
        <w:rPr>
          <w:rFonts w:cs="Arial"/>
        </w:rPr>
        <w:t>’</w:t>
      </w:r>
      <w:r w:rsidRPr="00A67EA2">
        <w:rPr>
          <w:rFonts w:cs="Arial"/>
        </w:rPr>
        <w:t xml:space="preserve"> 2022 and 2023 fiscal years. </w:t>
      </w:r>
      <w:r>
        <w:rPr>
          <w:rFonts w:cs="Arial"/>
        </w:rPr>
        <w:t>The formula for the 2022-2023 cycle generate</w:t>
      </w:r>
      <w:r w:rsidR="00EF1F2A">
        <w:rPr>
          <w:rFonts w:cs="Arial"/>
        </w:rPr>
        <w:t>d</w:t>
      </w:r>
      <w:r>
        <w:rPr>
          <w:rFonts w:cs="Arial"/>
        </w:rPr>
        <w:t xml:space="preserve"> a specific spending floor for each year. </w:t>
      </w:r>
      <w:r w:rsidRPr="00A67EA2">
        <w:rPr>
          <w:rFonts w:cs="Arial"/>
        </w:rPr>
        <w:t>In January of 2023, a new cycle will be initiated</w:t>
      </w:r>
      <w:r>
        <w:rPr>
          <w:rFonts w:cs="Arial"/>
        </w:rPr>
        <w:t>. H</w:t>
      </w:r>
      <w:r w:rsidRPr="00A67EA2">
        <w:rPr>
          <w:rFonts w:cs="Arial"/>
        </w:rPr>
        <w:t xml:space="preserve">ospitals will have the opportunity to change their choice of organizational structure for the methodology and </w:t>
      </w:r>
      <w:r>
        <w:rPr>
          <w:rFonts w:cs="Arial"/>
        </w:rPr>
        <w:t>the formula established for the next two-year cycle will generate specific spending floor</w:t>
      </w:r>
      <w:r w:rsidRPr="00A67EA2">
        <w:rPr>
          <w:rFonts w:cs="Arial"/>
        </w:rPr>
        <w:t xml:space="preserve">s for 2024 and 2025 </w:t>
      </w:r>
      <w:r>
        <w:rPr>
          <w:rFonts w:cs="Arial"/>
        </w:rPr>
        <w:t>for each hospital</w:t>
      </w:r>
      <w:r w:rsidRPr="00A67EA2">
        <w:rPr>
          <w:rFonts w:cs="Arial"/>
        </w:rPr>
        <w:t xml:space="preserve">.   </w:t>
      </w:r>
    </w:p>
    <w:p w14:paraId="66CFB269" w14:textId="77777777" w:rsidR="000E6A07" w:rsidRPr="00A67EA2" w:rsidRDefault="000E6A07" w:rsidP="00EE7EAA">
      <w:pPr>
        <w:rPr>
          <w:rFonts w:cs="Arial"/>
        </w:rPr>
      </w:pPr>
    </w:p>
    <w:p w14:paraId="48CE5788" w14:textId="513445AF" w:rsidR="00EE7EAA" w:rsidRDefault="00EE7EAA" w:rsidP="00EE7EAA">
      <w:pPr>
        <w:rPr>
          <w:rFonts w:cs="Arial"/>
        </w:rPr>
      </w:pPr>
      <w:r w:rsidRPr="00A67EA2">
        <w:rPr>
          <w:rFonts w:cs="Arial"/>
        </w:rPr>
        <w:t>An issue arises in that hospital fiscal years vary in Oregon, with five different years in use. Fiscal year 202</w:t>
      </w:r>
      <w:r w:rsidR="00EF1F2A">
        <w:rPr>
          <w:rFonts w:cs="Arial"/>
        </w:rPr>
        <w:t>4</w:t>
      </w:r>
      <w:r w:rsidRPr="00A67EA2">
        <w:rPr>
          <w:rFonts w:cs="Arial"/>
        </w:rPr>
        <w:t xml:space="preserve"> starts as early as April 1</w:t>
      </w:r>
      <w:r w:rsidRPr="00A67EA2">
        <w:rPr>
          <w:rFonts w:cs="Arial"/>
          <w:vertAlign w:val="superscript"/>
        </w:rPr>
        <w:t>st</w:t>
      </w:r>
      <w:r w:rsidRPr="00A67EA2">
        <w:rPr>
          <w:rFonts w:cs="Arial"/>
        </w:rPr>
        <w:t>, 202</w:t>
      </w:r>
      <w:r w:rsidR="00EF1F2A">
        <w:rPr>
          <w:rFonts w:cs="Arial"/>
        </w:rPr>
        <w:t>3</w:t>
      </w:r>
      <w:r w:rsidRPr="00A67EA2">
        <w:rPr>
          <w:rFonts w:cs="Arial"/>
        </w:rPr>
        <w:t xml:space="preserve"> with additional start dates </w:t>
      </w:r>
      <w:r>
        <w:rPr>
          <w:rFonts w:cs="Arial"/>
        </w:rPr>
        <w:t>on</w:t>
      </w:r>
      <w:r w:rsidRPr="00A67EA2">
        <w:rPr>
          <w:rFonts w:cs="Arial"/>
        </w:rPr>
        <w:t xml:space="preserve"> May 1</w:t>
      </w:r>
      <w:r w:rsidRPr="00A67EA2">
        <w:rPr>
          <w:rFonts w:cs="Arial"/>
          <w:vertAlign w:val="superscript"/>
        </w:rPr>
        <w:t>st</w:t>
      </w:r>
      <w:r w:rsidRPr="00A67EA2">
        <w:rPr>
          <w:rFonts w:cs="Arial"/>
        </w:rPr>
        <w:t>, July 1</w:t>
      </w:r>
      <w:r w:rsidRPr="00A67EA2">
        <w:rPr>
          <w:rFonts w:cs="Arial"/>
          <w:vertAlign w:val="superscript"/>
        </w:rPr>
        <w:t>st</w:t>
      </w:r>
      <w:r w:rsidRPr="00A67EA2">
        <w:rPr>
          <w:rFonts w:cs="Arial"/>
        </w:rPr>
        <w:t>, October 1</w:t>
      </w:r>
      <w:r w:rsidRPr="00ED6216">
        <w:rPr>
          <w:rFonts w:cs="Arial"/>
          <w:vertAlign w:val="superscript"/>
        </w:rPr>
        <w:t>st</w:t>
      </w:r>
      <w:r w:rsidRPr="00A67EA2">
        <w:rPr>
          <w:rFonts w:cs="Arial"/>
        </w:rPr>
        <w:t>, and finally January 1</w:t>
      </w:r>
      <w:r w:rsidRPr="00A67EA2">
        <w:rPr>
          <w:rFonts w:cs="Arial"/>
          <w:vertAlign w:val="superscript"/>
        </w:rPr>
        <w:t>st</w:t>
      </w:r>
      <w:r w:rsidRPr="00A67EA2">
        <w:rPr>
          <w:rFonts w:cs="Arial"/>
        </w:rPr>
        <w:t>, 202</w:t>
      </w:r>
      <w:r w:rsidR="00EF1F2A">
        <w:rPr>
          <w:rFonts w:cs="Arial"/>
        </w:rPr>
        <w:t>4</w:t>
      </w:r>
      <w:r w:rsidRPr="00A67EA2">
        <w:rPr>
          <w:rFonts w:cs="Arial"/>
        </w:rPr>
        <w:t>.</w:t>
      </w:r>
    </w:p>
    <w:p w14:paraId="150C2039" w14:textId="77777777" w:rsidR="000E6A07" w:rsidRPr="00A67EA2" w:rsidRDefault="000E6A07" w:rsidP="00EE7EAA">
      <w:pPr>
        <w:rPr>
          <w:rFonts w:cs="Arial"/>
        </w:rPr>
      </w:pPr>
    </w:p>
    <w:p w14:paraId="2F00D1C0" w14:textId="1F851564" w:rsidR="00EE7EAA" w:rsidRDefault="00EE7EAA" w:rsidP="00EE7EAA">
      <w:pPr>
        <w:rPr>
          <w:rFonts w:cs="Arial"/>
        </w:rPr>
      </w:pPr>
      <w:r w:rsidRPr="00A67EA2">
        <w:rPr>
          <w:rFonts w:cs="Arial"/>
        </w:rPr>
        <w:t xml:space="preserve">OHA will define its </w:t>
      </w:r>
      <w:r>
        <w:rPr>
          <w:rFonts w:cs="Arial"/>
        </w:rPr>
        <w:t>spending floor</w:t>
      </w:r>
      <w:r w:rsidRPr="00A67EA2">
        <w:rPr>
          <w:rFonts w:cs="Arial"/>
        </w:rPr>
        <w:t xml:space="preserve"> cycles in terms of when </w:t>
      </w:r>
      <w:r>
        <w:rPr>
          <w:rFonts w:cs="Arial"/>
        </w:rPr>
        <w:t>OHA</w:t>
      </w:r>
      <w:r w:rsidRPr="00A67EA2">
        <w:rPr>
          <w:rFonts w:cs="Arial"/>
        </w:rPr>
        <w:t xml:space="preserve"> perform</w:t>
      </w:r>
      <w:r>
        <w:rPr>
          <w:rFonts w:cs="Arial"/>
        </w:rPr>
        <w:t>s</w:t>
      </w:r>
      <w:r w:rsidRPr="00A67EA2">
        <w:rPr>
          <w:rFonts w:cs="Arial"/>
        </w:rPr>
        <w:t xml:space="preserve"> the administrative work that supports assigning the </w:t>
      </w:r>
      <w:r>
        <w:rPr>
          <w:rFonts w:cs="Arial"/>
        </w:rPr>
        <w:t>spending floor</w:t>
      </w:r>
      <w:r w:rsidRPr="00A67EA2">
        <w:rPr>
          <w:rFonts w:cs="Arial"/>
        </w:rPr>
        <w:t xml:space="preserve">. A two-year </w:t>
      </w:r>
      <w:r>
        <w:rPr>
          <w:rFonts w:cs="Arial"/>
        </w:rPr>
        <w:t>spending floor</w:t>
      </w:r>
      <w:r w:rsidRPr="00A67EA2">
        <w:rPr>
          <w:rFonts w:cs="Arial"/>
        </w:rPr>
        <w:t xml:space="preserve"> cycle starts on January 1</w:t>
      </w:r>
      <w:r w:rsidRPr="00A67EA2">
        <w:rPr>
          <w:rFonts w:cs="Arial"/>
          <w:vertAlign w:val="superscript"/>
        </w:rPr>
        <w:t>st</w:t>
      </w:r>
      <w:r w:rsidRPr="00A67EA2">
        <w:rPr>
          <w:rFonts w:cs="Arial"/>
        </w:rPr>
        <w:t xml:space="preserve"> of an odd number year and ends on December 31</w:t>
      </w:r>
      <w:r w:rsidRPr="00A67EA2">
        <w:rPr>
          <w:rFonts w:cs="Arial"/>
          <w:vertAlign w:val="superscript"/>
        </w:rPr>
        <w:t>st</w:t>
      </w:r>
      <w:r w:rsidRPr="00A67EA2">
        <w:rPr>
          <w:rFonts w:cs="Arial"/>
        </w:rPr>
        <w:t xml:space="preserve"> of an even number year. For example, the first </w:t>
      </w:r>
      <w:r>
        <w:rPr>
          <w:rFonts w:cs="Arial"/>
        </w:rPr>
        <w:t>spending floor</w:t>
      </w:r>
      <w:r w:rsidRPr="00A67EA2">
        <w:rPr>
          <w:rFonts w:cs="Arial"/>
        </w:rPr>
        <w:t xml:space="preserve"> cycle</w:t>
      </w:r>
      <w:r w:rsidR="00EF1F2A">
        <w:rPr>
          <w:rFonts w:cs="Arial"/>
        </w:rPr>
        <w:t xml:space="preserve"> </w:t>
      </w:r>
      <w:r w:rsidRPr="00A67EA2">
        <w:rPr>
          <w:rFonts w:cs="Arial"/>
        </w:rPr>
        <w:t>beg</w:t>
      </w:r>
      <w:r w:rsidR="00EF1F2A">
        <w:rPr>
          <w:rFonts w:cs="Arial"/>
        </w:rPr>
        <w:t>a</w:t>
      </w:r>
      <w:r w:rsidRPr="00A67EA2">
        <w:rPr>
          <w:rFonts w:cs="Arial"/>
        </w:rPr>
        <w:t>n January 1, 2021 and end</w:t>
      </w:r>
      <w:r w:rsidR="00EF1F2A">
        <w:rPr>
          <w:rFonts w:cs="Arial"/>
        </w:rPr>
        <w:t>ed</w:t>
      </w:r>
      <w:r w:rsidRPr="00A67EA2">
        <w:rPr>
          <w:rFonts w:cs="Arial"/>
        </w:rPr>
        <w:t xml:space="preserve"> December 31</w:t>
      </w:r>
      <w:r w:rsidRPr="00A67EA2">
        <w:rPr>
          <w:rFonts w:cs="Arial"/>
          <w:vertAlign w:val="superscript"/>
        </w:rPr>
        <w:t>st</w:t>
      </w:r>
      <w:r w:rsidRPr="00A67EA2">
        <w:rPr>
          <w:rFonts w:cs="Arial"/>
        </w:rPr>
        <w:t xml:space="preserve">, 2022. In that cycle, </w:t>
      </w:r>
      <w:r>
        <w:rPr>
          <w:rFonts w:cs="Arial"/>
        </w:rPr>
        <w:t>spending floor</w:t>
      </w:r>
      <w:r w:rsidRPr="00A67EA2">
        <w:rPr>
          <w:rFonts w:cs="Arial"/>
        </w:rPr>
        <w:t xml:space="preserve">s for hospital fiscal years of 2022 and 2023 </w:t>
      </w:r>
      <w:r w:rsidR="00EF1F2A">
        <w:rPr>
          <w:rFonts w:cs="Arial"/>
        </w:rPr>
        <w:t>were</w:t>
      </w:r>
      <w:r w:rsidRPr="00A67EA2">
        <w:rPr>
          <w:rFonts w:cs="Arial"/>
        </w:rPr>
        <w:t xml:space="preserve"> assigned</w:t>
      </w:r>
      <w:r>
        <w:rPr>
          <w:rFonts w:cs="Arial"/>
        </w:rPr>
        <w:t xml:space="preserve"> on April 1</w:t>
      </w:r>
      <w:r w:rsidRPr="00ED6216">
        <w:rPr>
          <w:rFonts w:cs="Arial"/>
          <w:vertAlign w:val="superscript"/>
        </w:rPr>
        <w:t>st</w:t>
      </w:r>
      <w:r>
        <w:rPr>
          <w:rFonts w:cs="Arial"/>
        </w:rPr>
        <w:t>, May 1</w:t>
      </w:r>
      <w:r w:rsidRPr="00ED6216">
        <w:rPr>
          <w:rFonts w:cs="Arial"/>
          <w:vertAlign w:val="superscript"/>
        </w:rPr>
        <w:t>st</w:t>
      </w:r>
      <w:r>
        <w:rPr>
          <w:rFonts w:cs="Arial"/>
        </w:rPr>
        <w:t>, July 1</w:t>
      </w:r>
      <w:r w:rsidRPr="00ED6216">
        <w:rPr>
          <w:rFonts w:cs="Arial"/>
          <w:vertAlign w:val="superscript"/>
        </w:rPr>
        <w:t>st</w:t>
      </w:r>
      <w:r>
        <w:rPr>
          <w:rFonts w:cs="Arial"/>
        </w:rPr>
        <w:t>, October 1</w:t>
      </w:r>
      <w:r w:rsidRPr="00ED6216">
        <w:rPr>
          <w:rFonts w:cs="Arial"/>
          <w:vertAlign w:val="superscript"/>
        </w:rPr>
        <w:t>st</w:t>
      </w:r>
      <w:r>
        <w:rPr>
          <w:rFonts w:cs="Arial"/>
        </w:rPr>
        <w:t xml:space="preserve"> and January 1</w:t>
      </w:r>
      <w:r w:rsidRPr="00ED6216">
        <w:rPr>
          <w:rFonts w:cs="Arial"/>
          <w:vertAlign w:val="superscript"/>
        </w:rPr>
        <w:t>st</w:t>
      </w:r>
      <w:r>
        <w:rPr>
          <w:rFonts w:cs="Arial"/>
        </w:rPr>
        <w:t xml:space="preserve">. </w:t>
      </w:r>
      <w:r w:rsidRPr="00A67EA2">
        <w:rPr>
          <w:rFonts w:cs="Arial"/>
        </w:rPr>
        <w:t xml:space="preserve">The next cycle will start January 1, 2023, assigning </w:t>
      </w:r>
      <w:r>
        <w:rPr>
          <w:rFonts w:cs="Arial"/>
        </w:rPr>
        <w:t>spending floor</w:t>
      </w:r>
      <w:r w:rsidRPr="00A67EA2">
        <w:rPr>
          <w:rFonts w:cs="Arial"/>
        </w:rPr>
        <w:t xml:space="preserve">s to fiscal years 2024 and 2025, and so forth.  </w:t>
      </w:r>
    </w:p>
    <w:p w14:paraId="75DF0351" w14:textId="77777777" w:rsidR="000E6A07" w:rsidRPr="00A67EA2" w:rsidRDefault="000E6A07" w:rsidP="00EE7EAA">
      <w:pPr>
        <w:rPr>
          <w:rFonts w:cs="Arial"/>
        </w:rPr>
      </w:pPr>
    </w:p>
    <w:p w14:paraId="4D7B8851" w14:textId="078F3636" w:rsidR="00EE7EAA" w:rsidRDefault="00EE7EAA" w:rsidP="00EE7EAA">
      <w:pPr>
        <w:rPr>
          <w:rFonts w:cs="Arial"/>
        </w:rPr>
      </w:pPr>
      <w:r w:rsidRPr="00A67EA2">
        <w:rPr>
          <w:rFonts w:cs="Arial"/>
        </w:rPr>
        <w:t xml:space="preserve">The </w:t>
      </w:r>
      <w:r>
        <w:rPr>
          <w:rFonts w:cs="Arial"/>
        </w:rPr>
        <w:t xml:space="preserve">general two-year </w:t>
      </w:r>
      <w:r w:rsidRPr="00A67EA2">
        <w:rPr>
          <w:rFonts w:cs="Arial"/>
        </w:rPr>
        <w:t>process is summarized as</w:t>
      </w:r>
      <w:r>
        <w:rPr>
          <w:rFonts w:cs="Arial"/>
        </w:rPr>
        <w:t xml:space="preserve"> follows</w:t>
      </w:r>
      <w:r w:rsidRPr="00A67EA2">
        <w:rPr>
          <w:rFonts w:cs="Arial"/>
        </w:rPr>
        <w:t>:</w:t>
      </w:r>
    </w:p>
    <w:p w14:paraId="1C1F6BCB" w14:textId="77777777" w:rsidR="000E6A07" w:rsidRPr="00A67EA2" w:rsidRDefault="000E6A07" w:rsidP="00EE7EAA">
      <w:pPr>
        <w:rPr>
          <w:rFonts w:cs="Arial"/>
        </w:rPr>
      </w:pPr>
    </w:p>
    <w:p w14:paraId="172975E7" w14:textId="7C770ABB" w:rsidR="00EE7EAA" w:rsidRDefault="00EE7EAA" w:rsidP="00EE7EAA">
      <w:pPr>
        <w:rPr>
          <w:rFonts w:cs="Arial"/>
        </w:rPr>
      </w:pPr>
      <w:r w:rsidRPr="00A67EA2">
        <w:rPr>
          <w:rFonts w:cs="Arial"/>
        </w:rPr>
        <w:t xml:space="preserve">Step 1: OHA publicizes the </w:t>
      </w:r>
      <w:r>
        <w:rPr>
          <w:rFonts w:cs="Arial"/>
        </w:rPr>
        <w:t>spending floor</w:t>
      </w:r>
      <w:r w:rsidRPr="00A67EA2">
        <w:rPr>
          <w:rFonts w:cs="Arial"/>
        </w:rPr>
        <w:t xml:space="preserve"> formula by January 1</w:t>
      </w:r>
      <w:r w:rsidRPr="00A67EA2">
        <w:rPr>
          <w:rFonts w:cs="Arial"/>
          <w:vertAlign w:val="superscript"/>
        </w:rPr>
        <w:t>st</w:t>
      </w:r>
      <w:r w:rsidRPr="00A67EA2">
        <w:rPr>
          <w:rFonts w:cs="Arial"/>
        </w:rPr>
        <w:t xml:space="preserve"> of every odd numbered year and notifies hospitals of any changes to the formula from previous </w:t>
      </w:r>
      <w:r>
        <w:rPr>
          <w:rFonts w:cs="Arial"/>
        </w:rPr>
        <w:t>spending floor</w:t>
      </w:r>
      <w:r w:rsidRPr="00A67EA2">
        <w:rPr>
          <w:rFonts w:cs="Arial"/>
        </w:rPr>
        <w:t xml:space="preserve"> cycles. </w:t>
      </w:r>
    </w:p>
    <w:p w14:paraId="7DE3ACC7" w14:textId="77777777" w:rsidR="000E6A07" w:rsidRPr="00A67EA2" w:rsidRDefault="000E6A07" w:rsidP="00EE7EAA">
      <w:pPr>
        <w:rPr>
          <w:rFonts w:cs="Arial"/>
        </w:rPr>
      </w:pPr>
    </w:p>
    <w:p w14:paraId="2C9CD6AB" w14:textId="77777777" w:rsidR="00EE7EAA" w:rsidRPr="00A67EA2" w:rsidRDefault="00EE7EAA" w:rsidP="00EE7EAA">
      <w:pPr>
        <w:rPr>
          <w:rFonts w:cs="Arial"/>
        </w:rPr>
      </w:pPr>
      <w:r w:rsidRPr="00A67EA2">
        <w:rPr>
          <w:rFonts w:cs="Arial"/>
        </w:rPr>
        <w:t xml:space="preserve">Step 2: Hospitals or Health systems notify OHA of their elected organizational grouping(s) 90 days prior to the start of their fiscal year in the first year of the two-year </w:t>
      </w:r>
      <w:r>
        <w:rPr>
          <w:rFonts w:cs="Arial"/>
        </w:rPr>
        <w:t>spending floor</w:t>
      </w:r>
      <w:r w:rsidRPr="00A67EA2">
        <w:rPr>
          <w:rFonts w:cs="Arial"/>
        </w:rPr>
        <w:t xml:space="preserve"> cycle. </w:t>
      </w:r>
    </w:p>
    <w:p w14:paraId="17E416FF" w14:textId="22685072" w:rsidR="00EE7EAA" w:rsidRDefault="00EE7EAA" w:rsidP="00EE7EAA">
      <w:pPr>
        <w:rPr>
          <w:rFonts w:cs="Arial"/>
        </w:rPr>
      </w:pPr>
      <w:r w:rsidRPr="00A67EA2">
        <w:rPr>
          <w:rFonts w:cs="Arial"/>
        </w:rPr>
        <w:lastRenderedPageBreak/>
        <w:t xml:space="preserve">Step 3: OHA computes the </w:t>
      </w:r>
      <w:r>
        <w:rPr>
          <w:rFonts w:cs="Arial"/>
        </w:rPr>
        <w:t>spending floor</w:t>
      </w:r>
      <w:r w:rsidRPr="00A67EA2">
        <w:rPr>
          <w:rFonts w:cs="Arial"/>
        </w:rPr>
        <w:t xml:space="preserve"> and provides it to the hospital or health system 60 days prior to the start of their fiscal year</w:t>
      </w:r>
    </w:p>
    <w:p w14:paraId="16E2EC86" w14:textId="77777777" w:rsidR="000E6A07" w:rsidRPr="00A67EA2" w:rsidRDefault="000E6A07" w:rsidP="00EE7EAA">
      <w:pPr>
        <w:rPr>
          <w:rFonts w:cs="Arial"/>
        </w:rPr>
      </w:pPr>
    </w:p>
    <w:p w14:paraId="2452E2F2" w14:textId="1A98929F" w:rsidR="00EE7EAA" w:rsidRDefault="00EE7EAA" w:rsidP="00EE7EAA">
      <w:pPr>
        <w:rPr>
          <w:rFonts w:cs="Arial"/>
        </w:rPr>
      </w:pPr>
      <w:r w:rsidRPr="00A67EA2">
        <w:rPr>
          <w:rFonts w:cs="Arial"/>
        </w:rPr>
        <w:t xml:space="preserve">Step 4: The hospital or health system has 30 days to notify OHA if they wish to challenge the </w:t>
      </w:r>
      <w:r>
        <w:rPr>
          <w:rFonts w:cs="Arial"/>
        </w:rPr>
        <w:t>spending floor</w:t>
      </w:r>
      <w:r w:rsidRPr="00A67EA2">
        <w:rPr>
          <w:rFonts w:cs="Arial"/>
        </w:rPr>
        <w:t xml:space="preserve"> based on projections or information that indicates a significant change in trend from the computed three</w:t>
      </w:r>
      <w:r>
        <w:rPr>
          <w:rFonts w:cs="Arial"/>
        </w:rPr>
        <w:t>-</w:t>
      </w:r>
      <w:r w:rsidRPr="00A67EA2">
        <w:rPr>
          <w:rFonts w:cs="Arial"/>
        </w:rPr>
        <w:t xml:space="preserve">year average, or if projections or other information indicate the hospital or health system would experience significant hardship achieving the minimum spending amount. </w:t>
      </w:r>
    </w:p>
    <w:p w14:paraId="6A3D8B3E" w14:textId="77777777" w:rsidR="000E6A07" w:rsidRPr="00A67EA2" w:rsidRDefault="000E6A07" w:rsidP="00EE7EAA">
      <w:pPr>
        <w:rPr>
          <w:rFonts w:cs="Arial"/>
        </w:rPr>
      </w:pPr>
    </w:p>
    <w:p w14:paraId="1AD91B22" w14:textId="5613AD2D" w:rsidR="00EE7EAA" w:rsidRDefault="00EE7EAA" w:rsidP="00EE7EAA">
      <w:pPr>
        <w:rPr>
          <w:rFonts w:cs="Arial"/>
        </w:rPr>
      </w:pPr>
      <w:r w:rsidRPr="00A67EA2">
        <w:rPr>
          <w:rFonts w:cs="Arial"/>
        </w:rPr>
        <w:t xml:space="preserve">Step 5: OHA accepts or rejects a request to modify the </w:t>
      </w:r>
      <w:r>
        <w:rPr>
          <w:rFonts w:cs="Arial"/>
        </w:rPr>
        <w:t>spending floor</w:t>
      </w:r>
      <w:r w:rsidRPr="00A67EA2">
        <w:rPr>
          <w:rFonts w:cs="Arial"/>
        </w:rPr>
        <w:t xml:space="preserve"> and finalizes the </w:t>
      </w:r>
      <w:r>
        <w:rPr>
          <w:rFonts w:cs="Arial"/>
        </w:rPr>
        <w:t>floor</w:t>
      </w:r>
      <w:r w:rsidRPr="00A67EA2">
        <w:rPr>
          <w:rFonts w:cs="Arial"/>
        </w:rPr>
        <w:t xml:space="preserve"> no later than the first day of the hospital or health system’s fiscal year.</w:t>
      </w:r>
    </w:p>
    <w:p w14:paraId="4BE78784" w14:textId="77777777" w:rsidR="000E6A07" w:rsidRPr="00A67EA2" w:rsidRDefault="000E6A07" w:rsidP="00EE7EAA">
      <w:pPr>
        <w:rPr>
          <w:rFonts w:cs="Arial"/>
        </w:rPr>
      </w:pPr>
    </w:p>
    <w:p w14:paraId="15F2AA31" w14:textId="0C46A993" w:rsidR="00EE7EAA" w:rsidRDefault="00EE7EAA" w:rsidP="00EE7EAA">
      <w:pPr>
        <w:rPr>
          <w:rFonts w:cs="Arial"/>
        </w:rPr>
      </w:pPr>
      <w:r w:rsidRPr="00A67EA2">
        <w:rPr>
          <w:rFonts w:cs="Arial"/>
        </w:rPr>
        <w:t xml:space="preserve">Step 6: At the close of the first fiscal year, OHA and the hospital and health system </w:t>
      </w:r>
      <w:r>
        <w:rPr>
          <w:rFonts w:cs="Arial"/>
        </w:rPr>
        <w:t>may</w:t>
      </w:r>
      <w:r w:rsidRPr="00A67EA2">
        <w:rPr>
          <w:rFonts w:cs="Arial"/>
        </w:rPr>
        <w:t xml:space="preserve"> review recent trend data and other information and adjust the year 2 amount, if necessary.</w:t>
      </w:r>
    </w:p>
    <w:p w14:paraId="0DE41EFB" w14:textId="77777777" w:rsidR="000E6A07" w:rsidRPr="00A67EA2" w:rsidRDefault="000E6A07" w:rsidP="00EE7EAA">
      <w:pPr>
        <w:rPr>
          <w:rFonts w:cs="Arial"/>
        </w:rPr>
      </w:pPr>
    </w:p>
    <w:p w14:paraId="1977CE2E" w14:textId="03854DF7" w:rsidR="00EE7EAA" w:rsidRDefault="00EE7EAA" w:rsidP="00EE7EAA">
      <w:pPr>
        <w:rPr>
          <w:rFonts w:cs="Arial"/>
        </w:rPr>
      </w:pPr>
      <w:r w:rsidRPr="00A67EA2">
        <w:rPr>
          <w:rFonts w:cs="Arial"/>
        </w:rPr>
        <w:t xml:space="preserve">Step 7: OHA collects feedback, consults with stakeholders, and reviews performance of the </w:t>
      </w:r>
      <w:r>
        <w:rPr>
          <w:rFonts w:cs="Arial"/>
        </w:rPr>
        <w:t>spending floor</w:t>
      </w:r>
      <w:r w:rsidRPr="00A67EA2">
        <w:rPr>
          <w:rFonts w:cs="Arial"/>
        </w:rPr>
        <w:t xml:space="preserve"> formula</w:t>
      </w:r>
      <w:r>
        <w:rPr>
          <w:rFonts w:cs="Arial"/>
        </w:rPr>
        <w:t xml:space="preserve">, </w:t>
      </w:r>
      <w:r w:rsidRPr="00A67EA2">
        <w:rPr>
          <w:rFonts w:cs="Arial"/>
        </w:rPr>
        <w:t xml:space="preserve">updating as necessary. </w:t>
      </w:r>
    </w:p>
    <w:p w14:paraId="6575361E" w14:textId="77777777" w:rsidR="00D94AC3" w:rsidRDefault="00D94AC3" w:rsidP="00EE7EAA">
      <w:pPr>
        <w:rPr>
          <w:rFonts w:cs="Arial"/>
        </w:rPr>
      </w:pPr>
    </w:p>
    <w:p w14:paraId="7DB81B4E" w14:textId="77777777" w:rsidR="00EE7EAA" w:rsidRPr="0016431E" w:rsidRDefault="00EE7EAA" w:rsidP="00EE7EAA">
      <w:pPr>
        <w:rPr>
          <w:rFonts w:cs="Arial"/>
          <w:u w:val="single"/>
        </w:rPr>
      </w:pPr>
      <w:r w:rsidRPr="0016431E">
        <w:rPr>
          <w:rFonts w:cs="Arial"/>
          <w:u w:val="single"/>
        </w:rPr>
        <w:t>Reporting on Community Benefit Spending</w:t>
      </w:r>
    </w:p>
    <w:p w14:paraId="1AFC786C" w14:textId="7F68E08F" w:rsidR="00EE7EAA" w:rsidRDefault="00EE7EAA" w:rsidP="00EE7EAA">
      <w:pPr>
        <w:rPr>
          <w:rFonts w:cs="Arial"/>
        </w:rPr>
      </w:pPr>
      <w:r w:rsidRPr="00A67EA2">
        <w:rPr>
          <w:rFonts w:cs="Arial"/>
        </w:rPr>
        <w:t xml:space="preserve">OHA produces a report on Community Benefit Spending every year. OHA will include spending reported by each hospital against its </w:t>
      </w:r>
      <w:r>
        <w:rPr>
          <w:rFonts w:cs="Arial"/>
        </w:rPr>
        <w:t>spending floor</w:t>
      </w:r>
      <w:r w:rsidRPr="00A67EA2">
        <w:rPr>
          <w:rFonts w:cs="Arial"/>
        </w:rPr>
        <w:t xml:space="preserve"> in this report and envisions highlighting the following types of spending</w:t>
      </w:r>
      <w:r>
        <w:rPr>
          <w:rFonts w:cs="Arial"/>
        </w:rPr>
        <w:t xml:space="preserve"> as the data becomes available</w:t>
      </w:r>
      <w:r w:rsidRPr="00A67EA2">
        <w:rPr>
          <w:rFonts w:cs="Arial"/>
        </w:rPr>
        <w:t>:</w:t>
      </w:r>
    </w:p>
    <w:p w14:paraId="757BC3F5" w14:textId="77777777" w:rsidR="000E6A07" w:rsidRPr="00A67EA2" w:rsidRDefault="000E6A07" w:rsidP="00EE7EAA">
      <w:pPr>
        <w:rPr>
          <w:rFonts w:cs="Arial"/>
        </w:rPr>
      </w:pPr>
    </w:p>
    <w:p w14:paraId="62A48F17" w14:textId="77777777" w:rsidR="00EE7EAA" w:rsidRDefault="00EE7EAA" w:rsidP="00EE7EAA">
      <w:pPr>
        <w:pStyle w:val="ListParagraph"/>
        <w:numPr>
          <w:ilvl w:val="0"/>
          <w:numId w:val="42"/>
        </w:numPr>
        <w:spacing w:after="160" w:line="259" w:lineRule="auto"/>
        <w:rPr>
          <w:rFonts w:cs="Arial"/>
        </w:rPr>
      </w:pPr>
      <w:r>
        <w:rPr>
          <w:rFonts w:cs="Arial"/>
        </w:rPr>
        <w:t>Reporting all hospitals’ actual spending in comparison to their minimum floors</w:t>
      </w:r>
    </w:p>
    <w:p w14:paraId="5E12469C" w14:textId="77777777" w:rsidR="00EE7EAA" w:rsidRPr="00A67EA2" w:rsidRDefault="00EE7EAA" w:rsidP="00EE7EAA">
      <w:pPr>
        <w:pStyle w:val="ListParagraph"/>
        <w:numPr>
          <w:ilvl w:val="0"/>
          <w:numId w:val="42"/>
        </w:numPr>
        <w:spacing w:after="160" w:line="259" w:lineRule="auto"/>
        <w:rPr>
          <w:rFonts w:cs="Arial"/>
        </w:rPr>
      </w:pPr>
      <w:r>
        <w:rPr>
          <w:rFonts w:cs="Arial"/>
        </w:rPr>
        <w:t>Highlighting s</w:t>
      </w:r>
      <w:r w:rsidRPr="00A67EA2">
        <w:rPr>
          <w:rFonts w:cs="Arial"/>
        </w:rPr>
        <w:t xml:space="preserve">pending that is significantly above the hospital’s </w:t>
      </w:r>
      <w:r>
        <w:rPr>
          <w:rFonts w:cs="Arial"/>
        </w:rPr>
        <w:t>spending floor</w:t>
      </w:r>
    </w:p>
    <w:p w14:paraId="7E2BC607" w14:textId="77777777" w:rsidR="00EE7EAA" w:rsidRPr="00A67EA2" w:rsidRDefault="00EE7EAA" w:rsidP="00EE7EAA">
      <w:pPr>
        <w:pStyle w:val="ListParagraph"/>
        <w:numPr>
          <w:ilvl w:val="0"/>
          <w:numId w:val="42"/>
        </w:numPr>
        <w:spacing w:after="160" w:line="259" w:lineRule="auto"/>
        <w:rPr>
          <w:rFonts w:cs="Arial"/>
        </w:rPr>
      </w:pPr>
      <w:r>
        <w:rPr>
          <w:rFonts w:cs="Arial"/>
        </w:rPr>
        <w:t>Highlighting s</w:t>
      </w:r>
      <w:r w:rsidRPr="00A67EA2">
        <w:rPr>
          <w:rFonts w:cs="Arial"/>
        </w:rPr>
        <w:t>pending on community</w:t>
      </w:r>
      <w:r>
        <w:rPr>
          <w:rFonts w:cs="Arial"/>
        </w:rPr>
        <w:t xml:space="preserve"> level spending, particularly spending that addresses community need identified in partnership with CCOs and/or local public health</w:t>
      </w:r>
      <w:r w:rsidRPr="00A67EA2">
        <w:rPr>
          <w:rFonts w:cs="Arial"/>
        </w:rPr>
        <w:t xml:space="preserve"> </w:t>
      </w:r>
    </w:p>
    <w:p w14:paraId="7059084E" w14:textId="77777777" w:rsidR="00EE7EAA" w:rsidRPr="00A67EA2" w:rsidRDefault="00EE7EAA" w:rsidP="00EE7EAA">
      <w:pPr>
        <w:rPr>
          <w:rFonts w:cs="Arial"/>
          <w:u w:val="single"/>
        </w:rPr>
      </w:pPr>
      <w:r w:rsidRPr="00A67EA2">
        <w:rPr>
          <w:rFonts w:cs="Arial"/>
          <w:u w:val="single"/>
        </w:rPr>
        <w:t>Formula Modelling Results</w:t>
      </w:r>
    </w:p>
    <w:p w14:paraId="22A08BA7" w14:textId="77777777" w:rsidR="00EE7EAA" w:rsidRDefault="00EE7EAA" w:rsidP="00EE7EAA">
      <w:pPr>
        <w:rPr>
          <w:rFonts w:cs="Arial"/>
        </w:rPr>
      </w:pPr>
      <w:r>
        <w:rPr>
          <w:rFonts w:cs="Arial"/>
        </w:rPr>
        <w:t xml:space="preserve">The spending floor was modelled using historic community benefit spending data. Data for 2015-2017 was used to assign a floor to compare with actual spending in 2018. The formula assigned a spending floor that was an average of 90% of actual 2018 community benefit spending, and a median of 81% of actual spending. In 2018, 13 (22%) of hospitals had actual spending lower than the assigned floor. </w:t>
      </w:r>
    </w:p>
    <w:p w14:paraId="041A4E21" w14:textId="28199181" w:rsidR="00EE7EAA" w:rsidRDefault="00EE7EAA" w:rsidP="00EE7EAA">
      <w:pPr>
        <w:rPr>
          <w:rFonts w:cs="Arial"/>
        </w:rPr>
      </w:pPr>
      <w:r>
        <w:rPr>
          <w:rFonts w:cs="Arial"/>
        </w:rPr>
        <w:t xml:space="preserve">The formula has a notable outlier in the case of Oregon Health Sciences University, due primarily to the disproportionately high amount of health professions education and research spending compared with other hospitals. The formula sets a spending floor nearly $150 million below actual spending in 2018. It is reasonable that OHA should make special modifications for OHSU, due to its status as the only public academic medical school in the state, and as a hospital that does nearly double the patient service of the next-largest hospital. </w:t>
      </w:r>
    </w:p>
    <w:p w14:paraId="77EFD34F" w14:textId="77777777" w:rsidR="000E6A07" w:rsidRDefault="000E6A07" w:rsidP="00EE7EAA">
      <w:pPr>
        <w:rPr>
          <w:rFonts w:cs="Arial"/>
        </w:rPr>
      </w:pPr>
    </w:p>
    <w:p w14:paraId="0033EDE8" w14:textId="5CAA1934" w:rsidR="00EE7EAA" w:rsidRDefault="00EE7EAA" w:rsidP="00EE7EAA">
      <w:pPr>
        <w:rPr>
          <w:rFonts w:cs="Arial"/>
        </w:rPr>
      </w:pPr>
      <w:r>
        <w:rPr>
          <w:rFonts w:cs="Arial"/>
        </w:rPr>
        <w:t xml:space="preserve">The impact of the COVID-19 pandemic on net patient revenue is a concern. Net patient revenue was forecasted for 2019 through 2023 using 2011-2018 data to fit a linear forecasting model. A variety of assumptions for the drop in 2020 net patient revenue were tested to determine if a short-term drop produces an unintentional downward adjustment of the spending floor in 2023 or 2025. The 4-year average of net patient revenue can absorb significant year over year drops in net patient revenue, up to approximately 20% statewide, if at least partial recovery to predicted trends occurs in the following years. If net patient revenue does not return to trend, the year 2 adjustment does run the risk of decreasing from </w:t>
      </w:r>
      <w:r>
        <w:rPr>
          <w:rFonts w:cs="Arial"/>
        </w:rPr>
        <w:lastRenderedPageBreak/>
        <w:t xml:space="preserve">the year 2 amount, however, it is likely that such a downward adjustment would be appropriate because the true trend in net patient revenue was decreasing. </w:t>
      </w:r>
    </w:p>
    <w:p w14:paraId="0495C6D9" w14:textId="77777777" w:rsidR="00D94AC3" w:rsidRPr="00A67EA2" w:rsidRDefault="00D94AC3" w:rsidP="00EE7EAA">
      <w:pPr>
        <w:rPr>
          <w:rFonts w:cs="Arial"/>
        </w:rPr>
      </w:pPr>
    </w:p>
    <w:p w14:paraId="633A8D4F" w14:textId="77777777" w:rsidR="00EE7EAA" w:rsidRPr="00A67EA2" w:rsidRDefault="00EE7EAA" w:rsidP="00EE7EAA">
      <w:pPr>
        <w:rPr>
          <w:rFonts w:cs="Arial"/>
          <w:u w:val="single"/>
        </w:rPr>
      </w:pPr>
      <w:r w:rsidRPr="00A67EA2">
        <w:rPr>
          <w:rFonts w:cs="Arial"/>
          <w:u w:val="single"/>
        </w:rPr>
        <w:t>Formula Limitations</w:t>
      </w:r>
    </w:p>
    <w:p w14:paraId="584BFA19" w14:textId="468A688C" w:rsidR="00EE7EAA" w:rsidRDefault="00EE7EAA" w:rsidP="00EE7EAA">
      <w:pPr>
        <w:rPr>
          <w:rFonts w:cs="Arial"/>
        </w:rPr>
      </w:pPr>
      <w:r w:rsidRPr="00A67EA2">
        <w:rPr>
          <w:rFonts w:cs="Arial"/>
        </w:rPr>
        <w:t xml:space="preserve">The key limitation of the formula is it relies on historic trend data for spending that lags by two years. As a result, the formula cannot account for sudden spikes in spending either up or down. When modelling the formula against historic data, hospitals that failed to meet the </w:t>
      </w:r>
      <w:r>
        <w:rPr>
          <w:rFonts w:cs="Arial"/>
        </w:rPr>
        <w:t>spending floor</w:t>
      </w:r>
      <w:r w:rsidRPr="00A67EA2">
        <w:rPr>
          <w:rFonts w:cs="Arial"/>
        </w:rPr>
        <w:t xml:space="preserve"> all had sharp drops in unreimbursed spending compared to previous year’s trends. Likewise, hospitals that greatly exceeded the </w:t>
      </w:r>
      <w:r>
        <w:rPr>
          <w:rFonts w:cs="Arial"/>
        </w:rPr>
        <w:t>spending floor</w:t>
      </w:r>
      <w:r w:rsidRPr="00A67EA2">
        <w:rPr>
          <w:rFonts w:cs="Arial"/>
        </w:rPr>
        <w:t xml:space="preserve"> amount had significant increases. </w:t>
      </w:r>
      <w:r>
        <w:rPr>
          <w:rFonts w:cs="Arial"/>
        </w:rPr>
        <w:t xml:space="preserve">The Affordable Care Act introduced significant disruptions to the ongoing trends of unreimbursed care spending hospitals, in many cases drastically reducing the amount of unreimbursed care expenditures. This trend disruption reinforces the need to have a manual review of the data, and reasonably adapt to spikes or drops in the data. </w:t>
      </w:r>
    </w:p>
    <w:p w14:paraId="46D99D99" w14:textId="77777777" w:rsidR="000E6A07" w:rsidRDefault="000E6A07" w:rsidP="00EE7EAA">
      <w:pPr>
        <w:rPr>
          <w:rFonts w:cs="Arial"/>
        </w:rPr>
      </w:pPr>
    </w:p>
    <w:p w14:paraId="75C6769B" w14:textId="7DD63D7C" w:rsidR="00EE7EAA" w:rsidRPr="00A67EA2" w:rsidRDefault="00EE7EAA" w:rsidP="00EE7EAA">
      <w:pPr>
        <w:rPr>
          <w:rFonts w:cs="Arial"/>
        </w:rPr>
      </w:pPr>
      <w:r w:rsidRPr="00A67EA2">
        <w:rPr>
          <w:rFonts w:cs="Arial"/>
        </w:rPr>
        <w:t xml:space="preserve">The operating margin </w:t>
      </w:r>
      <w:r w:rsidR="000E6A07">
        <w:rPr>
          <w:rFonts w:cs="Arial"/>
        </w:rPr>
        <w:t>multipliers</w:t>
      </w:r>
      <w:r w:rsidRPr="00A67EA2">
        <w:rPr>
          <w:rFonts w:cs="Arial"/>
        </w:rPr>
        <w:t xml:space="preserve"> could be drawn from more current data sources to blunt the effect of older spending data, if the organizational grouping allows. As referenced above, hospitals will also have the opportunity to challenge assigned minimum spending floors by introducing projections or information that indicates a significant change in trend from the computed three-year average (see Step 4 in the Process Outline).</w:t>
      </w:r>
    </w:p>
    <w:p w14:paraId="4FA191B9" w14:textId="77777777" w:rsidR="00CD4CA7" w:rsidRPr="007B6FDE" w:rsidRDefault="00CD4CA7">
      <w:pPr>
        <w:pStyle w:val="Default"/>
        <w:rPr>
          <w:rFonts w:ascii="Times New Roman" w:hAnsi="Times New Roman"/>
        </w:rPr>
      </w:pPr>
    </w:p>
    <w:sectPr w:rsidR="00CD4CA7" w:rsidRPr="007B6FDE" w:rsidSect="008A2D37">
      <w:headerReference w:type="default" r:id="rId9"/>
      <w:footerReference w:type="default" r:id="rId10"/>
      <w:headerReference w:type="first" r:id="rId11"/>
      <w:footerReference w:type="first" r:id="rId12"/>
      <w:type w:val="continuous"/>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2EDE" w14:textId="77777777" w:rsidR="00DF416E" w:rsidRDefault="00DF416E">
      <w:r>
        <w:separator/>
      </w:r>
    </w:p>
  </w:endnote>
  <w:endnote w:type="continuationSeparator" w:id="0">
    <w:p w14:paraId="260936E7" w14:textId="77777777" w:rsidR="00DF416E" w:rsidRDefault="00DF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00665"/>
      <w:docPartObj>
        <w:docPartGallery w:val="Page Numbers (Bottom of Page)"/>
        <w:docPartUnique/>
      </w:docPartObj>
    </w:sdtPr>
    <w:sdtEndPr/>
    <w:sdtContent>
      <w:p w14:paraId="742C1196" w14:textId="77777777" w:rsidR="006F32BC" w:rsidRDefault="00841B42" w:rsidP="005B73B1">
        <w:pPr>
          <w:pStyle w:val="Footer"/>
          <w:jc w:val="right"/>
        </w:pPr>
        <w:r>
          <w:fldChar w:fldCharType="begin"/>
        </w:r>
        <w:r>
          <w:instrText xml:space="preserve"> PAGE   \* MERGEFORMAT </w:instrText>
        </w:r>
        <w:r>
          <w:fldChar w:fldCharType="separate"/>
        </w:r>
        <w:r w:rsidR="004E43B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3203"/>
      <w:docPartObj>
        <w:docPartGallery w:val="Page Numbers (Bottom of Page)"/>
        <w:docPartUnique/>
      </w:docPartObj>
    </w:sdtPr>
    <w:sdtEndPr/>
    <w:sdtContent>
      <w:p w14:paraId="1617D2D9" w14:textId="77777777" w:rsidR="006F32BC" w:rsidRDefault="00EF1F2A">
        <w:pPr>
          <w:pStyle w:val="Footer"/>
          <w:jc w:val="right"/>
        </w:pPr>
      </w:p>
    </w:sdtContent>
  </w:sdt>
  <w:p w14:paraId="2B009BA3" w14:textId="77777777" w:rsidR="006F32BC" w:rsidRDefault="006F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4A8B" w14:textId="77777777" w:rsidR="00DF416E" w:rsidRDefault="00DF416E">
      <w:r>
        <w:separator/>
      </w:r>
    </w:p>
  </w:footnote>
  <w:footnote w:type="continuationSeparator" w:id="0">
    <w:p w14:paraId="75BA90EC" w14:textId="77777777" w:rsidR="00DF416E" w:rsidRDefault="00DF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F77C" w14:textId="11BB0F4D" w:rsidR="006F32BC" w:rsidRPr="00CF04F5" w:rsidRDefault="006F32BC" w:rsidP="005B73B1">
    <w:pPr>
      <w:pStyle w:val="Header"/>
      <w:tabs>
        <w:tab w:val="clear" w:pos="4320"/>
        <w:tab w:val="clear" w:pos="8640"/>
        <w:tab w:val="right" w:pos="10080"/>
      </w:tabs>
      <w:rPr>
        <w:color w:val="005595"/>
        <w:sz w:val="22"/>
      </w:rPr>
    </w:pPr>
    <w:r>
      <w:rPr>
        <w:rStyle w:val="DivisionnameChar"/>
      </w:rPr>
      <w:t>OFFICE OF HEALTH ANALYTICS</w:t>
    </w:r>
    <w:r>
      <w:rPr>
        <w:rStyle w:val="DivisionnameChar"/>
      </w:rPr>
      <w:tab/>
    </w:r>
    <w:r w:rsidR="00743801">
      <w:rPr>
        <w:rStyle w:val="DivisionnameChar"/>
      </w:rPr>
      <w:t>FY202</w:t>
    </w:r>
    <w:r w:rsidR="00F16139">
      <w:rPr>
        <w:rStyle w:val="DivisionnameChar"/>
      </w:rPr>
      <w:t>4</w:t>
    </w:r>
    <w:r w:rsidR="00743801">
      <w:rPr>
        <w:rStyle w:val="DivisionnameChar"/>
      </w:rPr>
      <w:t>-FY202</w:t>
    </w:r>
    <w:r w:rsidR="00F16139">
      <w:rPr>
        <w:rStyle w:val="DivisionnameChar"/>
      </w:rPr>
      <w:t>5</w:t>
    </w:r>
    <w:r w:rsidR="00743801">
      <w:rPr>
        <w:rStyle w:val="DivisionnameChar"/>
      </w:rPr>
      <w:t xml:space="preserve"> Spending Floor Formula</w:t>
    </w:r>
    <w:r>
      <w:br/>
    </w:r>
    <w:r w:rsidR="00CF04F5">
      <w:rPr>
        <w:rStyle w:val="OfficeChar"/>
      </w:rPr>
      <w:t>Hospital Reporting Program</w:t>
    </w:r>
    <w:r>
      <w:tab/>
    </w:r>
  </w:p>
  <w:p w14:paraId="399426D1" w14:textId="77777777" w:rsidR="006F32BC" w:rsidRPr="005B73B1" w:rsidRDefault="00094132" w:rsidP="00ED14AE">
    <w:pPr>
      <w:pStyle w:val="Header"/>
      <w:tabs>
        <w:tab w:val="clear" w:pos="4320"/>
        <w:tab w:val="clear" w:pos="8640"/>
        <w:tab w:val="right" w:pos="10800"/>
      </w:tabs>
      <w:rPr>
        <w:b/>
        <w:sz w:val="28"/>
        <w:szCs w:val="28"/>
        <w:u w:val="single"/>
      </w:rPr>
    </w:pPr>
    <w:r>
      <w:rPr>
        <w:b/>
        <w:noProof/>
        <w:w w:val="100"/>
        <w:sz w:val="28"/>
        <w:szCs w:val="28"/>
        <w:u w:val="single"/>
      </w:rPr>
      <mc:AlternateContent>
        <mc:Choice Requires="wps">
          <w:drawing>
            <wp:anchor distT="4294967294" distB="4294967294" distL="114300" distR="114300" simplePos="0" relativeHeight="251676672" behindDoc="0" locked="0" layoutInCell="1" allowOverlap="1" wp14:anchorId="08DC63AF" wp14:editId="09E8D4EB">
              <wp:simplePos x="0" y="0"/>
              <wp:positionH relativeFrom="column">
                <wp:posOffset>-1270</wp:posOffset>
              </wp:positionH>
              <wp:positionV relativeFrom="paragraph">
                <wp:posOffset>19049</wp:posOffset>
              </wp:positionV>
              <wp:extent cx="6418580" cy="0"/>
              <wp:effectExtent l="0" t="0" r="2032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0"/>
                      </a:xfrm>
                      <a:prstGeom prst="straightConnector1">
                        <a:avLst/>
                      </a:prstGeom>
                      <a:noFill/>
                      <a:ln w="9525">
                        <a:solidFill>
                          <a:srgbClr val="EC89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3B2A9" id="_x0000_t32" coordsize="21600,21600" o:spt="32" o:oned="t" path="m,l21600,21600e" filled="f">
              <v:path arrowok="t" fillok="f" o:connecttype="none"/>
              <o:lock v:ext="edit" shapetype="t"/>
            </v:shapetype>
            <v:shape id="AutoShape 1" o:spid="_x0000_s1026" type="#_x0000_t32" style="position:absolute;margin-left:-.1pt;margin-top:1.5pt;width:505.4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" strokecolor="#ec890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306"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6F32BC" w14:paraId="543E8DB7" w14:textId="77777777" w:rsidTr="008F5FD0">
      <w:trPr>
        <w:cantSplit/>
        <w:trHeight w:val="903"/>
      </w:trPr>
      <w:tc>
        <w:tcPr>
          <w:tcW w:w="1161" w:type="dxa"/>
          <w:vMerge w:val="restart"/>
          <w:tcBorders>
            <w:top w:val="nil"/>
          </w:tcBorders>
          <w:vAlign w:val="bottom"/>
        </w:tcPr>
        <w:p w14:paraId="254257F8" w14:textId="77777777" w:rsidR="006F32BC" w:rsidRDefault="006F32BC" w:rsidP="008F5FD0">
          <w:pPr>
            <w:ind w:left="-115"/>
            <w:jc w:val="right"/>
            <w:rPr>
              <w:color w:val="005595"/>
            </w:rPr>
          </w:pPr>
          <w:r>
            <w:rPr>
              <w:noProof/>
              <w:color w:val="005595"/>
            </w:rPr>
            <w:drawing>
              <wp:inline distT="0" distB="0" distL="0" distR="0" wp14:anchorId="443CF285" wp14:editId="7130A62A">
                <wp:extent cx="561975" cy="561975"/>
                <wp:effectExtent l="19050" t="0" r="9525"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srcRect/>
                        <a:stretch>
                          <a:fillRect/>
                        </a:stretch>
                      </pic:blipFill>
                      <pic:spPr bwMode="auto">
                        <a:xfrm>
                          <a:off x="0" y="0"/>
                          <a:ext cx="561975" cy="561975"/>
                        </a:xfrm>
                        <a:prstGeom prst="rect">
                          <a:avLst/>
                        </a:prstGeom>
                        <a:noFill/>
                        <a:ln w="9525">
                          <a:noFill/>
                          <a:miter lim="800000"/>
                          <a:headEnd/>
                          <a:tailEnd/>
                        </a:ln>
                      </pic:spPr>
                    </pic:pic>
                  </a:graphicData>
                </a:graphic>
              </wp:inline>
            </w:drawing>
          </w:r>
        </w:p>
      </w:tc>
      <w:tc>
        <w:tcPr>
          <w:tcW w:w="6507" w:type="dxa"/>
          <w:tcBorders>
            <w:top w:val="nil"/>
            <w:bottom w:val="single" w:sz="12" w:space="0" w:color="F79646"/>
          </w:tcBorders>
          <w:vAlign w:val="center"/>
        </w:tcPr>
        <w:p w14:paraId="7D3598DC" w14:textId="77777777" w:rsidR="006F32BC" w:rsidRPr="00B23C5D" w:rsidRDefault="006F32BC" w:rsidP="00CF04F5">
          <w:pPr>
            <w:pStyle w:val="Office"/>
            <w:ind w:left="-101"/>
          </w:pPr>
          <w:r>
            <w:br/>
          </w:r>
          <w:r>
            <w:rPr>
              <w:rStyle w:val="DivisionnameChar"/>
            </w:rPr>
            <w:t>OFFICE OF HEALTH ANALYTICS</w:t>
          </w:r>
          <w:r>
            <w:br/>
          </w:r>
          <w:r w:rsidR="00CF04F5">
            <w:rPr>
              <w:rStyle w:val="OfficeChar"/>
            </w:rPr>
            <w:t xml:space="preserve">Hospital Reporting Program </w:t>
          </w:r>
        </w:p>
      </w:tc>
      <w:tc>
        <w:tcPr>
          <w:tcW w:w="3159" w:type="dxa"/>
          <w:vMerge w:val="restart"/>
          <w:tcBorders>
            <w:top w:val="nil"/>
            <w:bottom w:val="single" w:sz="4" w:space="0" w:color="F79646"/>
          </w:tcBorders>
          <w:vAlign w:val="center"/>
        </w:tcPr>
        <w:p w14:paraId="0C3632FA" w14:textId="77777777" w:rsidR="006F32BC" w:rsidRDefault="006F32BC" w:rsidP="008F5FD0">
          <w:pPr>
            <w:spacing w:line="60" w:lineRule="exact"/>
          </w:pPr>
        </w:p>
        <w:p w14:paraId="164E4876" w14:textId="77777777" w:rsidR="006F32BC" w:rsidRDefault="006F32BC" w:rsidP="008F5FD0">
          <w:r>
            <w:rPr>
              <w:noProof/>
            </w:rPr>
            <w:drawing>
              <wp:inline distT="0" distB="0" distL="0" distR="0" wp14:anchorId="72638EE4" wp14:editId="706DC7EC">
                <wp:extent cx="1866900" cy="6953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866900" cy="695325"/>
                        </a:xfrm>
                        <a:prstGeom prst="rect">
                          <a:avLst/>
                        </a:prstGeom>
                        <a:noFill/>
                        <a:ln w="9525">
                          <a:noFill/>
                          <a:miter lim="800000"/>
                          <a:headEnd/>
                          <a:tailEnd/>
                        </a:ln>
                      </pic:spPr>
                    </pic:pic>
                  </a:graphicData>
                </a:graphic>
              </wp:inline>
            </w:drawing>
          </w:r>
        </w:p>
      </w:tc>
    </w:tr>
    <w:tr w:rsidR="006F32BC" w14:paraId="725843F6" w14:textId="77777777" w:rsidTr="008F5FD0">
      <w:trPr>
        <w:cantSplit/>
        <w:trHeight w:val="225"/>
      </w:trPr>
      <w:tc>
        <w:tcPr>
          <w:tcW w:w="1161" w:type="dxa"/>
          <w:vMerge/>
          <w:tcBorders>
            <w:bottom w:val="nil"/>
          </w:tcBorders>
        </w:tcPr>
        <w:p w14:paraId="7ECF7DD1" w14:textId="77777777" w:rsidR="006F32BC" w:rsidRDefault="006F32BC" w:rsidP="008F5FD0">
          <w:pPr>
            <w:ind w:left="-108"/>
            <w:rPr>
              <w:color w:val="005595"/>
              <w:sz w:val="18"/>
            </w:rPr>
          </w:pPr>
        </w:p>
      </w:tc>
      <w:tc>
        <w:tcPr>
          <w:tcW w:w="6507" w:type="dxa"/>
          <w:tcBorders>
            <w:top w:val="single" w:sz="12" w:space="0" w:color="F79646"/>
            <w:bottom w:val="nil"/>
          </w:tcBorders>
        </w:tcPr>
        <w:p w14:paraId="791AC10B" w14:textId="77777777" w:rsidR="006F32BC" w:rsidRDefault="00E007DA" w:rsidP="008F5FD0">
          <w:pPr>
            <w:pStyle w:val="Governorname"/>
            <w:framePr w:hSpace="0" w:wrap="auto" w:vAnchor="margin" w:hAnchor="text" w:xAlign="left" w:yAlign="inline"/>
            <w:ind w:left="-101"/>
          </w:pPr>
          <w:r>
            <w:t>Kate Brown</w:t>
          </w:r>
          <w:r w:rsidR="006F32BC">
            <w:t>, Governor</w:t>
          </w:r>
        </w:p>
      </w:tc>
      <w:tc>
        <w:tcPr>
          <w:tcW w:w="3159" w:type="dxa"/>
          <w:vMerge/>
          <w:tcBorders>
            <w:top w:val="single" w:sz="4" w:space="0" w:color="F79646"/>
            <w:bottom w:val="nil"/>
          </w:tcBorders>
          <w:vAlign w:val="bottom"/>
        </w:tcPr>
        <w:p w14:paraId="126CC899" w14:textId="77777777" w:rsidR="006F32BC" w:rsidRDefault="006F32BC" w:rsidP="008F5FD0">
          <w:pPr>
            <w:jc w:val="right"/>
          </w:pPr>
        </w:p>
      </w:tc>
    </w:tr>
  </w:tbl>
  <w:p w14:paraId="3F341EEA" w14:textId="77777777" w:rsidR="006F32BC" w:rsidRDefault="006F3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868E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CEA0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FA58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8C5B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4453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C8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F8DF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A4AC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62AD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0D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04FC2"/>
    <w:multiLevelType w:val="hybridMultilevel"/>
    <w:tmpl w:val="0B5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3340E"/>
    <w:multiLevelType w:val="hybridMultilevel"/>
    <w:tmpl w:val="74A8E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E0BE2"/>
    <w:multiLevelType w:val="hybridMultilevel"/>
    <w:tmpl w:val="0AAC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0D63C5"/>
    <w:multiLevelType w:val="hybridMultilevel"/>
    <w:tmpl w:val="0AAE2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57465"/>
    <w:multiLevelType w:val="hybridMultilevel"/>
    <w:tmpl w:val="CC9E4084"/>
    <w:lvl w:ilvl="0" w:tplc="846A79B2">
      <w:start w:val="1"/>
      <w:numFmt w:val="bullet"/>
      <w:lvlText w:val=""/>
      <w:lvlJc w:val="left"/>
      <w:pPr>
        <w:ind w:left="720" w:hanging="360"/>
      </w:pPr>
      <w:rPr>
        <w:rFonts w:ascii="Symbol" w:hAnsi="Symbol"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FA0E7F"/>
    <w:multiLevelType w:val="hybridMultilevel"/>
    <w:tmpl w:val="A1BACF56"/>
    <w:lvl w:ilvl="0" w:tplc="B50C2D72">
      <w:start w:val="1"/>
      <w:numFmt w:val="bullet"/>
      <w:lvlText w:val=""/>
      <w:lvlJc w:val="left"/>
      <w:pPr>
        <w:tabs>
          <w:tab w:val="num" w:pos="720"/>
        </w:tabs>
        <w:ind w:left="720" w:hanging="360"/>
      </w:pPr>
      <w:rPr>
        <w:rFonts w:ascii="Symbol" w:hAnsi="Symbol" w:hint="default"/>
        <w:sz w:val="28"/>
      </w:rPr>
    </w:lvl>
    <w:lvl w:ilvl="1" w:tplc="A0C64D9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525C04"/>
    <w:multiLevelType w:val="singleLevel"/>
    <w:tmpl w:val="E5C8E912"/>
    <w:lvl w:ilvl="0">
      <w:start w:val="1"/>
      <w:numFmt w:val="decimal"/>
      <w:lvlText w:val="%1)"/>
      <w:lvlJc w:val="left"/>
      <w:pPr>
        <w:tabs>
          <w:tab w:val="num" w:pos="1440"/>
        </w:tabs>
        <w:ind w:left="1440" w:hanging="720"/>
      </w:pPr>
      <w:rPr>
        <w:rFonts w:hint="default"/>
      </w:rPr>
    </w:lvl>
  </w:abstractNum>
  <w:abstractNum w:abstractNumId="17" w15:restartNumberingAfterBreak="0">
    <w:nsid w:val="130014BE"/>
    <w:multiLevelType w:val="hybridMultilevel"/>
    <w:tmpl w:val="C94A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ED1FFE"/>
    <w:multiLevelType w:val="hybridMultilevel"/>
    <w:tmpl w:val="FB2A45D8"/>
    <w:lvl w:ilvl="0" w:tplc="0409000F">
      <w:start w:val="1"/>
      <w:numFmt w:val="decimal"/>
      <w:lvlText w:val="%1."/>
      <w:lvlJc w:val="left"/>
      <w:pPr>
        <w:ind w:left="154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215C0B0C"/>
    <w:multiLevelType w:val="hybridMultilevel"/>
    <w:tmpl w:val="77DCAA6A"/>
    <w:lvl w:ilvl="0" w:tplc="522CE4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20F4F"/>
    <w:multiLevelType w:val="hybridMultilevel"/>
    <w:tmpl w:val="EDF8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D3927"/>
    <w:multiLevelType w:val="hybridMultilevel"/>
    <w:tmpl w:val="599AC0C4"/>
    <w:lvl w:ilvl="0" w:tplc="D4148EEA">
      <w:start w:val="1"/>
      <w:numFmt w:val="lowerLetter"/>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400EE6"/>
    <w:multiLevelType w:val="hybridMultilevel"/>
    <w:tmpl w:val="67B4F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B5E0D"/>
    <w:multiLevelType w:val="hybridMultilevel"/>
    <w:tmpl w:val="047C6A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675CD1"/>
    <w:multiLevelType w:val="hybridMultilevel"/>
    <w:tmpl w:val="AFFE3FB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7551F9"/>
    <w:multiLevelType w:val="hybridMultilevel"/>
    <w:tmpl w:val="0C50D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C4594"/>
    <w:multiLevelType w:val="singleLevel"/>
    <w:tmpl w:val="833C02DC"/>
    <w:lvl w:ilvl="0">
      <w:start w:val="1"/>
      <w:numFmt w:val="lowerLetter"/>
      <w:lvlText w:val="%1."/>
      <w:lvlJc w:val="left"/>
      <w:pPr>
        <w:tabs>
          <w:tab w:val="num" w:pos="720"/>
        </w:tabs>
        <w:ind w:left="720" w:hanging="360"/>
      </w:pPr>
      <w:rPr>
        <w:b/>
        <w:i w:val="0"/>
      </w:rPr>
    </w:lvl>
  </w:abstractNum>
  <w:abstractNum w:abstractNumId="27" w15:restartNumberingAfterBreak="0">
    <w:nsid w:val="52CC2A30"/>
    <w:multiLevelType w:val="hybridMultilevel"/>
    <w:tmpl w:val="36B66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4AC4"/>
    <w:multiLevelType w:val="hybridMultilevel"/>
    <w:tmpl w:val="0532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364E0"/>
    <w:multiLevelType w:val="hybridMultilevel"/>
    <w:tmpl w:val="66321A88"/>
    <w:lvl w:ilvl="0" w:tplc="1BBC770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B6AC2"/>
    <w:multiLevelType w:val="hybridMultilevel"/>
    <w:tmpl w:val="B6CE725C"/>
    <w:lvl w:ilvl="0" w:tplc="B50C2D72">
      <w:start w:val="1"/>
      <w:numFmt w:val="bullet"/>
      <w:lvlText w:val=""/>
      <w:lvlJc w:val="left"/>
      <w:pPr>
        <w:tabs>
          <w:tab w:val="num" w:pos="1440"/>
        </w:tabs>
        <w:ind w:left="144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A805B6"/>
    <w:multiLevelType w:val="hybridMultilevel"/>
    <w:tmpl w:val="8FB8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B57"/>
    <w:multiLevelType w:val="hybridMultilevel"/>
    <w:tmpl w:val="6BB0D478"/>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313BA3"/>
    <w:multiLevelType w:val="hybridMultilevel"/>
    <w:tmpl w:val="5EBEFB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500A01"/>
    <w:multiLevelType w:val="hybridMultilevel"/>
    <w:tmpl w:val="D32A833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220FB"/>
    <w:multiLevelType w:val="hybridMultilevel"/>
    <w:tmpl w:val="919A6F00"/>
    <w:lvl w:ilvl="0" w:tplc="0409000F">
      <w:start w:val="1"/>
      <w:numFmt w:val="decimal"/>
      <w:lvlText w:val="%1."/>
      <w:lvlJc w:val="left"/>
      <w:pPr>
        <w:tabs>
          <w:tab w:val="num" w:pos="832"/>
        </w:tabs>
        <w:ind w:left="832" w:hanging="360"/>
      </w:pPr>
    </w:lvl>
    <w:lvl w:ilvl="1" w:tplc="9FB0D3E8">
      <w:numFmt w:val="bullet"/>
      <w:lvlText w:val="-"/>
      <w:lvlJc w:val="left"/>
      <w:pPr>
        <w:tabs>
          <w:tab w:val="num" w:pos="1552"/>
        </w:tabs>
        <w:ind w:left="1552" w:hanging="360"/>
      </w:pPr>
      <w:rPr>
        <w:rFonts w:ascii="Times" w:eastAsia="Times" w:hAnsi="Times" w:cs="Times" w:hint="default"/>
      </w:rPr>
    </w:lvl>
    <w:lvl w:ilvl="2" w:tplc="48985894">
      <w:numFmt w:val="bullet"/>
      <w:lvlText w:val=""/>
      <w:lvlJc w:val="left"/>
      <w:pPr>
        <w:tabs>
          <w:tab w:val="num" w:pos="2452"/>
        </w:tabs>
        <w:ind w:left="2452" w:hanging="360"/>
      </w:pPr>
      <w:rPr>
        <w:rFonts w:ascii="Symbol" w:eastAsia="Times" w:hAnsi="Symbol" w:hint="default"/>
        <w:color w:val="auto"/>
      </w:r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36" w15:restartNumberingAfterBreak="0">
    <w:nsid w:val="70DD14B7"/>
    <w:multiLevelType w:val="hybridMultilevel"/>
    <w:tmpl w:val="C1F0CE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6A3952"/>
    <w:multiLevelType w:val="hybridMultilevel"/>
    <w:tmpl w:val="714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C133D"/>
    <w:multiLevelType w:val="hybridMultilevel"/>
    <w:tmpl w:val="95D20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201AA"/>
    <w:multiLevelType w:val="singleLevel"/>
    <w:tmpl w:val="E5C8E912"/>
    <w:lvl w:ilvl="0">
      <w:start w:val="3"/>
      <w:numFmt w:val="decimal"/>
      <w:lvlText w:val="%1)"/>
      <w:lvlJc w:val="left"/>
      <w:pPr>
        <w:tabs>
          <w:tab w:val="num" w:pos="1440"/>
        </w:tabs>
        <w:ind w:left="1440" w:hanging="720"/>
      </w:pPr>
      <w:rPr>
        <w:rFonts w:hint="default"/>
      </w:rPr>
    </w:lvl>
  </w:abstractNum>
  <w:abstractNum w:abstractNumId="40" w15:restartNumberingAfterBreak="0">
    <w:nsid w:val="73E2707A"/>
    <w:multiLevelType w:val="hybridMultilevel"/>
    <w:tmpl w:val="608432A4"/>
    <w:lvl w:ilvl="0" w:tplc="1890C9E4">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5687740"/>
    <w:multiLevelType w:val="hybridMultilevel"/>
    <w:tmpl w:val="3C087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314F89"/>
    <w:multiLevelType w:val="singleLevel"/>
    <w:tmpl w:val="95742642"/>
    <w:lvl w:ilvl="0">
      <w:start w:val="2"/>
      <w:numFmt w:val="decimal"/>
      <w:lvlText w:val="%1)"/>
      <w:lvlJc w:val="left"/>
      <w:pPr>
        <w:tabs>
          <w:tab w:val="num" w:pos="1440"/>
        </w:tabs>
        <w:ind w:left="144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7"/>
  </w:num>
  <w:num w:numId="13">
    <w:abstractNumId w:val="35"/>
  </w:num>
  <w:num w:numId="14">
    <w:abstractNumId w:val="25"/>
  </w:num>
  <w:num w:numId="15">
    <w:abstractNumId w:val="20"/>
  </w:num>
  <w:num w:numId="16">
    <w:abstractNumId w:val="42"/>
  </w:num>
  <w:num w:numId="17">
    <w:abstractNumId w:val="39"/>
  </w:num>
  <w:num w:numId="18">
    <w:abstractNumId w:val="16"/>
  </w:num>
  <w:num w:numId="19">
    <w:abstractNumId w:val="34"/>
  </w:num>
  <w:num w:numId="20">
    <w:abstractNumId w:val="38"/>
  </w:num>
  <w:num w:numId="21">
    <w:abstractNumId w:val="29"/>
  </w:num>
  <w:num w:numId="22">
    <w:abstractNumId w:val="19"/>
  </w:num>
  <w:num w:numId="23">
    <w:abstractNumId w:val="14"/>
  </w:num>
  <w:num w:numId="24">
    <w:abstractNumId w:val="30"/>
  </w:num>
  <w:num w:numId="25">
    <w:abstractNumId w:val="15"/>
  </w:num>
  <w:num w:numId="26">
    <w:abstractNumId w:val="36"/>
  </w:num>
  <w:num w:numId="27">
    <w:abstractNumId w:val="32"/>
  </w:num>
  <w:num w:numId="28">
    <w:abstractNumId w:val="23"/>
  </w:num>
  <w:num w:numId="29">
    <w:abstractNumId w:val="41"/>
  </w:num>
  <w:num w:numId="30">
    <w:abstractNumId w:val="24"/>
  </w:num>
  <w:num w:numId="31">
    <w:abstractNumId w:val="28"/>
  </w:num>
  <w:num w:numId="32">
    <w:abstractNumId w:val="31"/>
  </w:num>
  <w:num w:numId="33">
    <w:abstractNumId w:val="40"/>
  </w:num>
  <w:num w:numId="34">
    <w:abstractNumId w:val="21"/>
  </w:num>
  <w:num w:numId="35">
    <w:abstractNumId w:val="33"/>
  </w:num>
  <w:num w:numId="36">
    <w:abstractNumId w:val="18"/>
  </w:num>
  <w:num w:numId="37">
    <w:abstractNumId w:val="17"/>
  </w:num>
  <w:num w:numId="38">
    <w:abstractNumId w:val="22"/>
  </w:num>
  <w:num w:numId="39">
    <w:abstractNumId w:val="12"/>
  </w:num>
  <w:num w:numId="40">
    <w:abstractNumId w:val="37"/>
  </w:num>
  <w:num w:numId="41">
    <w:abstractNumId w:val="10"/>
  </w:num>
  <w:num w:numId="42">
    <w:abstractNumId w:val="1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isplayHorizontalDrawingGridEvery w:val="2"/>
  <w:characterSpacingControl w:val="doNotCompress"/>
  <w:hdrShapeDefaults>
    <o:shapedefaults v:ext="edit" spidmax="10241">
      <o:colormru v:ext="edit" colors="#ec89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6F"/>
    <w:rsid w:val="0000616F"/>
    <w:rsid w:val="00013D33"/>
    <w:rsid w:val="00013E18"/>
    <w:rsid w:val="00023301"/>
    <w:rsid w:val="0002478C"/>
    <w:rsid w:val="00025A79"/>
    <w:rsid w:val="000405BC"/>
    <w:rsid w:val="000527CC"/>
    <w:rsid w:val="000567A4"/>
    <w:rsid w:val="00056F95"/>
    <w:rsid w:val="0006444E"/>
    <w:rsid w:val="00074C4A"/>
    <w:rsid w:val="00076CE6"/>
    <w:rsid w:val="00076DFE"/>
    <w:rsid w:val="000824B4"/>
    <w:rsid w:val="00091B60"/>
    <w:rsid w:val="00094132"/>
    <w:rsid w:val="00097292"/>
    <w:rsid w:val="000A4665"/>
    <w:rsid w:val="000B287D"/>
    <w:rsid w:val="000B5551"/>
    <w:rsid w:val="000B6DD9"/>
    <w:rsid w:val="000B7943"/>
    <w:rsid w:val="000D06D7"/>
    <w:rsid w:val="000D4539"/>
    <w:rsid w:val="000E3101"/>
    <w:rsid w:val="000E5AC6"/>
    <w:rsid w:val="000E6A07"/>
    <w:rsid w:val="000F259C"/>
    <w:rsid w:val="000F41A5"/>
    <w:rsid w:val="00112691"/>
    <w:rsid w:val="001441C4"/>
    <w:rsid w:val="00144B9F"/>
    <w:rsid w:val="00151013"/>
    <w:rsid w:val="0015136E"/>
    <w:rsid w:val="0015444E"/>
    <w:rsid w:val="00156868"/>
    <w:rsid w:val="001633B5"/>
    <w:rsid w:val="0016709E"/>
    <w:rsid w:val="00173DE6"/>
    <w:rsid w:val="0017616D"/>
    <w:rsid w:val="00177C3B"/>
    <w:rsid w:val="00182BA4"/>
    <w:rsid w:val="00182CF2"/>
    <w:rsid w:val="00183AC0"/>
    <w:rsid w:val="00185287"/>
    <w:rsid w:val="001863E6"/>
    <w:rsid w:val="00186B30"/>
    <w:rsid w:val="00186D99"/>
    <w:rsid w:val="001924EE"/>
    <w:rsid w:val="001959C4"/>
    <w:rsid w:val="001A1F2F"/>
    <w:rsid w:val="001A6FFD"/>
    <w:rsid w:val="001A76EF"/>
    <w:rsid w:val="001B2E56"/>
    <w:rsid w:val="001B6668"/>
    <w:rsid w:val="001C2419"/>
    <w:rsid w:val="001C299A"/>
    <w:rsid w:val="001C2EC0"/>
    <w:rsid w:val="001C332A"/>
    <w:rsid w:val="001C41C5"/>
    <w:rsid w:val="001D0EF2"/>
    <w:rsid w:val="001D16E5"/>
    <w:rsid w:val="001D3CE0"/>
    <w:rsid w:val="001D5006"/>
    <w:rsid w:val="001D6154"/>
    <w:rsid w:val="001E139F"/>
    <w:rsid w:val="0020281E"/>
    <w:rsid w:val="00207169"/>
    <w:rsid w:val="00210A8E"/>
    <w:rsid w:val="00211A04"/>
    <w:rsid w:val="00212B0B"/>
    <w:rsid w:val="002174A8"/>
    <w:rsid w:val="00217880"/>
    <w:rsid w:val="00221002"/>
    <w:rsid w:val="00221344"/>
    <w:rsid w:val="00224DAD"/>
    <w:rsid w:val="002263A3"/>
    <w:rsid w:val="00231210"/>
    <w:rsid w:val="002500D5"/>
    <w:rsid w:val="002572B8"/>
    <w:rsid w:val="0026515E"/>
    <w:rsid w:val="002709A6"/>
    <w:rsid w:val="00270CE2"/>
    <w:rsid w:val="00270D0E"/>
    <w:rsid w:val="00272F34"/>
    <w:rsid w:val="00274AC4"/>
    <w:rsid w:val="00285E4C"/>
    <w:rsid w:val="002A0325"/>
    <w:rsid w:val="002A35ED"/>
    <w:rsid w:val="002A5EA6"/>
    <w:rsid w:val="002A6D5D"/>
    <w:rsid w:val="002A784C"/>
    <w:rsid w:val="002B0B83"/>
    <w:rsid w:val="002B3755"/>
    <w:rsid w:val="002C0445"/>
    <w:rsid w:val="002C16E2"/>
    <w:rsid w:val="002C406B"/>
    <w:rsid w:val="002C7463"/>
    <w:rsid w:val="002D13A1"/>
    <w:rsid w:val="002D2991"/>
    <w:rsid w:val="002E017B"/>
    <w:rsid w:val="002E5653"/>
    <w:rsid w:val="002E5A1E"/>
    <w:rsid w:val="002F06C0"/>
    <w:rsid w:val="002F392E"/>
    <w:rsid w:val="002F3FA6"/>
    <w:rsid w:val="002F4D36"/>
    <w:rsid w:val="002F655D"/>
    <w:rsid w:val="002F7FF6"/>
    <w:rsid w:val="00301CEE"/>
    <w:rsid w:val="00302536"/>
    <w:rsid w:val="003025B6"/>
    <w:rsid w:val="00304558"/>
    <w:rsid w:val="00316227"/>
    <w:rsid w:val="003166CD"/>
    <w:rsid w:val="003224FA"/>
    <w:rsid w:val="00323B08"/>
    <w:rsid w:val="0032421D"/>
    <w:rsid w:val="00325149"/>
    <w:rsid w:val="0032789A"/>
    <w:rsid w:val="00327B8D"/>
    <w:rsid w:val="003324E2"/>
    <w:rsid w:val="00343060"/>
    <w:rsid w:val="00343084"/>
    <w:rsid w:val="0035392B"/>
    <w:rsid w:val="0036102A"/>
    <w:rsid w:val="0036347D"/>
    <w:rsid w:val="00365438"/>
    <w:rsid w:val="00373176"/>
    <w:rsid w:val="003765A0"/>
    <w:rsid w:val="00376D1A"/>
    <w:rsid w:val="00384807"/>
    <w:rsid w:val="0038594C"/>
    <w:rsid w:val="00385D7A"/>
    <w:rsid w:val="003911D6"/>
    <w:rsid w:val="00392F91"/>
    <w:rsid w:val="00393DE3"/>
    <w:rsid w:val="00393EAA"/>
    <w:rsid w:val="003946F0"/>
    <w:rsid w:val="003A26CD"/>
    <w:rsid w:val="003A3B8E"/>
    <w:rsid w:val="003A67BD"/>
    <w:rsid w:val="003B2F98"/>
    <w:rsid w:val="003B30DD"/>
    <w:rsid w:val="003B70D7"/>
    <w:rsid w:val="003C2663"/>
    <w:rsid w:val="003C3E0A"/>
    <w:rsid w:val="003C4AC8"/>
    <w:rsid w:val="003C4D2A"/>
    <w:rsid w:val="003C5819"/>
    <w:rsid w:val="003D3898"/>
    <w:rsid w:val="003E6AEA"/>
    <w:rsid w:val="003E7131"/>
    <w:rsid w:val="003F3894"/>
    <w:rsid w:val="003F3F8A"/>
    <w:rsid w:val="003F4415"/>
    <w:rsid w:val="003F478A"/>
    <w:rsid w:val="0040212A"/>
    <w:rsid w:val="00405DC5"/>
    <w:rsid w:val="0041597C"/>
    <w:rsid w:val="00416CB8"/>
    <w:rsid w:val="00417BAD"/>
    <w:rsid w:val="00424A06"/>
    <w:rsid w:val="0042731F"/>
    <w:rsid w:val="00430B5F"/>
    <w:rsid w:val="004361D1"/>
    <w:rsid w:val="00440007"/>
    <w:rsid w:val="00440176"/>
    <w:rsid w:val="004463EC"/>
    <w:rsid w:val="00450343"/>
    <w:rsid w:val="00453B04"/>
    <w:rsid w:val="00457AA9"/>
    <w:rsid w:val="00462653"/>
    <w:rsid w:val="004628DB"/>
    <w:rsid w:val="00472E0F"/>
    <w:rsid w:val="0047504B"/>
    <w:rsid w:val="004833A7"/>
    <w:rsid w:val="004844BE"/>
    <w:rsid w:val="004847B1"/>
    <w:rsid w:val="004867E1"/>
    <w:rsid w:val="004903E7"/>
    <w:rsid w:val="004910AB"/>
    <w:rsid w:val="004A0F87"/>
    <w:rsid w:val="004A15F0"/>
    <w:rsid w:val="004A36DA"/>
    <w:rsid w:val="004A4831"/>
    <w:rsid w:val="004A67C9"/>
    <w:rsid w:val="004A6C02"/>
    <w:rsid w:val="004A71BE"/>
    <w:rsid w:val="004B00A2"/>
    <w:rsid w:val="004B2A30"/>
    <w:rsid w:val="004B43BB"/>
    <w:rsid w:val="004C0FB7"/>
    <w:rsid w:val="004C2537"/>
    <w:rsid w:val="004E091C"/>
    <w:rsid w:val="004E2F7D"/>
    <w:rsid w:val="004E43BD"/>
    <w:rsid w:val="004F5BAA"/>
    <w:rsid w:val="00500456"/>
    <w:rsid w:val="005009C5"/>
    <w:rsid w:val="00504AB1"/>
    <w:rsid w:val="00512A9D"/>
    <w:rsid w:val="00514A68"/>
    <w:rsid w:val="00515C98"/>
    <w:rsid w:val="0052237C"/>
    <w:rsid w:val="00523BB3"/>
    <w:rsid w:val="0052407F"/>
    <w:rsid w:val="00524866"/>
    <w:rsid w:val="00525DB1"/>
    <w:rsid w:val="005268FC"/>
    <w:rsid w:val="0053447D"/>
    <w:rsid w:val="005346F7"/>
    <w:rsid w:val="00540E03"/>
    <w:rsid w:val="00541155"/>
    <w:rsid w:val="00546BE7"/>
    <w:rsid w:val="0054711D"/>
    <w:rsid w:val="00555170"/>
    <w:rsid w:val="00557749"/>
    <w:rsid w:val="00562FD7"/>
    <w:rsid w:val="00567451"/>
    <w:rsid w:val="00570A30"/>
    <w:rsid w:val="00574D57"/>
    <w:rsid w:val="0058164C"/>
    <w:rsid w:val="005868DB"/>
    <w:rsid w:val="00586E20"/>
    <w:rsid w:val="00587C4A"/>
    <w:rsid w:val="0059096B"/>
    <w:rsid w:val="00593F66"/>
    <w:rsid w:val="005951D7"/>
    <w:rsid w:val="0059703F"/>
    <w:rsid w:val="005A1EC8"/>
    <w:rsid w:val="005B0076"/>
    <w:rsid w:val="005B550D"/>
    <w:rsid w:val="005B73B1"/>
    <w:rsid w:val="005B7CE0"/>
    <w:rsid w:val="005C290A"/>
    <w:rsid w:val="005C4797"/>
    <w:rsid w:val="005C66BC"/>
    <w:rsid w:val="005E2675"/>
    <w:rsid w:val="005E749B"/>
    <w:rsid w:val="005F2C0A"/>
    <w:rsid w:val="005F53FF"/>
    <w:rsid w:val="005F5C9E"/>
    <w:rsid w:val="005F6F13"/>
    <w:rsid w:val="00602758"/>
    <w:rsid w:val="00606D3D"/>
    <w:rsid w:val="00607303"/>
    <w:rsid w:val="00613ADE"/>
    <w:rsid w:val="006143E2"/>
    <w:rsid w:val="00616F67"/>
    <w:rsid w:val="00623A39"/>
    <w:rsid w:val="006309F0"/>
    <w:rsid w:val="006409AC"/>
    <w:rsid w:val="00645809"/>
    <w:rsid w:val="00647CF7"/>
    <w:rsid w:val="006504A7"/>
    <w:rsid w:val="006515C4"/>
    <w:rsid w:val="00651BD4"/>
    <w:rsid w:val="00656CDA"/>
    <w:rsid w:val="00657D19"/>
    <w:rsid w:val="006653FA"/>
    <w:rsid w:val="006656B3"/>
    <w:rsid w:val="006664B3"/>
    <w:rsid w:val="006750E3"/>
    <w:rsid w:val="006809B1"/>
    <w:rsid w:val="00682D87"/>
    <w:rsid w:val="0068648B"/>
    <w:rsid w:val="006877D3"/>
    <w:rsid w:val="0069187B"/>
    <w:rsid w:val="006925BD"/>
    <w:rsid w:val="006950D1"/>
    <w:rsid w:val="006A1E5B"/>
    <w:rsid w:val="006A3D7B"/>
    <w:rsid w:val="006A73E9"/>
    <w:rsid w:val="006C224A"/>
    <w:rsid w:val="006C4AA3"/>
    <w:rsid w:val="006C5643"/>
    <w:rsid w:val="006C67EC"/>
    <w:rsid w:val="006D05EF"/>
    <w:rsid w:val="006D75A5"/>
    <w:rsid w:val="006E248C"/>
    <w:rsid w:val="006E68AB"/>
    <w:rsid w:val="006F32BC"/>
    <w:rsid w:val="006F3B5D"/>
    <w:rsid w:val="006F4FAD"/>
    <w:rsid w:val="007006F7"/>
    <w:rsid w:val="00700BF7"/>
    <w:rsid w:val="00700C0D"/>
    <w:rsid w:val="0070581B"/>
    <w:rsid w:val="00707293"/>
    <w:rsid w:val="007104AB"/>
    <w:rsid w:val="00711381"/>
    <w:rsid w:val="00720CFE"/>
    <w:rsid w:val="00730E8E"/>
    <w:rsid w:val="00733C0A"/>
    <w:rsid w:val="00740031"/>
    <w:rsid w:val="00741148"/>
    <w:rsid w:val="00741FA0"/>
    <w:rsid w:val="00743801"/>
    <w:rsid w:val="00743DD7"/>
    <w:rsid w:val="007448C3"/>
    <w:rsid w:val="00745FC9"/>
    <w:rsid w:val="007505C9"/>
    <w:rsid w:val="00751E70"/>
    <w:rsid w:val="00755843"/>
    <w:rsid w:val="0075759D"/>
    <w:rsid w:val="007614A7"/>
    <w:rsid w:val="007626AC"/>
    <w:rsid w:val="00764098"/>
    <w:rsid w:val="00766049"/>
    <w:rsid w:val="007707B8"/>
    <w:rsid w:val="007723D6"/>
    <w:rsid w:val="00772D20"/>
    <w:rsid w:val="007830B4"/>
    <w:rsid w:val="0079083E"/>
    <w:rsid w:val="007A14A6"/>
    <w:rsid w:val="007A6835"/>
    <w:rsid w:val="007B0D81"/>
    <w:rsid w:val="007B6FDE"/>
    <w:rsid w:val="007C3481"/>
    <w:rsid w:val="007C3CA6"/>
    <w:rsid w:val="007C5116"/>
    <w:rsid w:val="007C5D72"/>
    <w:rsid w:val="007C61D7"/>
    <w:rsid w:val="007C71DD"/>
    <w:rsid w:val="007D11AA"/>
    <w:rsid w:val="007D58ED"/>
    <w:rsid w:val="007D5A78"/>
    <w:rsid w:val="007E3181"/>
    <w:rsid w:val="007E433A"/>
    <w:rsid w:val="007E440A"/>
    <w:rsid w:val="007F3C16"/>
    <w:rsid w:val="007F411D"/>
    <w:rsid w:val="007F461E"/>
    <w:rsid w:val="007F4944"/>
    <w:rsid w:val="007F640B"/>
    <w:rsid w:val="00807445"/>
    <w:rsid w:val="00814485"/>
    <w:rsid w:val="00817005"/>
    <w:rsid w:val="008210B9"/>
    <w:rsid w:val="00823544"/>
    <w:rsid w:val="00827490"/>
    <w:rsid w:val="00831C6E"/>
    <w:rsid w:val="0083258A"/>
    <w:rsid w:val="00833FA1"/>
    <w:rsid w:val="00834D03"/>
    <w:rsid w:val="00840058"/>
    <w:rsid w:val="00841B42"/>
    <w:rsid w:val="008429F2"/>
    <w:rsid w:val="00843717"/>
    <w:rsid w:val="00845026"/>
    <w:rsid w:val="00854172"/>
    <w:rsid w:val="00860C12"/>
    <w:rsid w:val="008665DF"/>
    <w:rsid w:val="008674BA"/>
    <w:rsid w:val="00870783"/>
    <w:rsid w:val="0087115D"/>
    <w:rsid w:val="00875474"/>
    <w:rsid w:val="00880E51"/>
    <w:rsid w:val="00886504"/>
    <w:rsid w:val="00887AD9"/>
    <w:rsid w:val="00890E46"/>
    <w:rsid w:val="008A2D37"/>
    <w:rsid w:val="008A4E4B"/>
    <w:rsid w:val="008B2F82"/>
    <w:rsid w:val="008B6A62"/>
    <w:rsid w:val="008C4138"/>
    <w:rsid w:val="008C4DD4"/>
    <w:rsid w:val="008D6288"/>
    <w:rsid w:val="008D688C"/>
    <w:rsid w:val="008E1195"/>
    <w:rsid w:val="008E345E"/>
    <w:rsid w:val="008E7A74"/>
    <w:rsid w:val="008F36FA"/>
    <w:rsid w:val="008F5FD0"/>
    <w:rsid w:val="008F7DBA"/>
    <w:rsid w:val="00904DEA"/>
    <w:rsid w:val="0091131A"/>
    <w:rsid w:val="00920BD3"/>
    <w:rsid w:val="0092353B"/>
    <w:rsid w:val="0092612E"/>
    <w:rsid w:val="00927597"/>
    <w:rsid w:val="00932486"/>
    <w:rsid w:val="0093305A"/>
    <w:rsid w:val="00934882"/>
    <w:rsid w:val="00936738"/>
    <w:rsid w:val="00937237"/>
    <w:rsid w:val="00937E0F"/>
    <w:rsid w:val="0094490D"/>
    <w:rsid w:val="0094601E"/>
    <w:rsid w:val="00947FE2"/>
    <w:rsid w:val="00952D35"/>
    <w:rsid w:val="0095380D"/>
    <w:rsid w:val="00954F6D"/>
    <w:rsid w:val="00957D6F"/>
    <w:rsid w:val="009614D7"/>
    <w:rsid w:val="009635EE"/>
    <w:rsid w:val="00973902"/>
    <w:rsid w:val="00973B20"/>
    <w:rsid w:val="00974371"/>
    <w:rsid w:val="00980613"/>
    <w:rsid w:val="00981D4C"/>
    <w:rsid w:val="009837E7"/>
    <w:rsid w:val="009863D3"/>
    <w:rsid w:val="00991536"/>
    <w:rsid w:val="0099712F"/>
    <w:rsid w:val="009976D2"/>
    <w:rsid w:val="009A1929"/>
    <w:rsid w:val="009A3C28"/>
    <w:rsid w:val="009A4CBE"/>
    <w:rsid w:val="009A5BA5"/>
    <w:rsid w:val="009B11A4"/>
    <w:rsid w:val="009B3310"/>
    <w:rsid w:val="009B3A97"/>
    <w:rsid w:val="009B3D1A"/>
    <w:rsid w:val="009B67A5"/>
    <w:rsid w:val="009B7E30"/>
    <w:rsid w:val="009C18AA"/>
    <w:rsid w:val="009C52BC"/>
    <w:rsid w:val="009D2924"/>
    <w:rsid w:val="009E41E7"/>
    <w:rsid w:val="00A00CD4"/>
    <w:rsid w:val="00A067CE"/>
    <w:rsid w:val="00A13010"/>
    <w:rsid w:val="00A135ED"/>
    <w:rsid w:val="00A2055A"/>
    <w:rsid w:val="00A262B1"/>
    <w:rsid w:val="00A33EBD"/>
    <w:rsid w:val="00A40E37"/>
    <w:rsid w:val="00A442FD"/>
    <w:rsid w:val="00A44D61"/>
    <w:rsid w:val="00A451FF"/>
    <w:rsid w:val="00A5058E"/>
    <w:rsid w:val="00A63A2A"/>
    <w:rsid w:val="00A67DF8"/>
    <w:rsid w:val="00A8391F"/>
    <w:rsid w:val="00A84C24"/>
    <w:rsid w:val="00A85F7E"/>
    <w:rsid w:val="00A86769"/>
    <w:rsid w:val="00A90C64"/>
    <w:rsid w:val="00A935E7"/>
    <w:rsid w:val="00A93800"/>
    <w:rsid w:val="00A94860"/>
    <w:rsid w:val="00AA539D"/>
    <w:rsid w:val="00AB198C"/>
    <w:rsid w:val="00AB297B"/>
    <w:rsid w:val="00AC23E9"/>
    <w:rsid w:val="00AC30A7"/>
    <w:rsid w:val="00AC7034"/>
    <w:rsid w:val="00AD2627"/>
    <w:rsid w:val="00AD26C4"/>
    <w:rsid w:val="00AD6819"/>
    <w:rsid w:val="00AE2928"/>
    <w:rsid w:val="00AE469C"/>
    <w:rsid w:val="00AE4989"/>
    <w:rsid w:val="00AF71EF"/>
    <w:rsid w:val="00AF7CDD"/>
    <w:rsid w:val="00AF7CF1"/>
    <w:rsid w:val="00B004B9"/>
    <w:rsid w:val="00B0082F"/>
    <w:rsid w:val="00B03C75"/>
    <w:rsid w:val="00B15B44"/>
    <w:rsid w:val="00B21DED"/>
    <w:rsid w:val="00B21EAC"/>
    <w:rsid w:val="00B222BA"/>
    <w:rsid w:val="00B22B14"/>
    <w:rsid w:val="00B23C5D"/>
    <w:rsid w:val="00B25E80"/>
    <w:rsid w:val="00B31724"/>
    <w:rsid w:val="00B35586"/>
    <w:rsid w:val="00B53353"/>
    <w:rsid w:val="00B54548"/>
    <w:rsid w:val="00B650C0"/>
    <w:rsid w:val="00B662F4"/>
    <w:rsid w:val="00B67672"/>
    <w:rsid w:val="00B713D8"/>
    <w:rsid w:val="00B72527"/>
    <w:rsid w:val="00B76BFE"/>
    <w:rsid w:val="00B76D32"/>
    <w:rsid w:val="00B86475"/>
    <w:rsid w:val="00B87FFB"/>
    <w:rsid w:val="00B917A7"/>
    <w:rsid w:val="00B94B03"/>
    <w:rsid w:val="00B94DC1"/>
    <w:rsid w:val="00B95BC4"/>
    <w:rsid w:val="00B97942"/>
    <w:rsid w:val="00BA2F7D"/>
    <w:rsid w:val="00BA54D3"/>
    <w:rsid w:val="00BA7FA0"/>
    <w:rsid w:val="00BB7E8E"/>
    <w:rsid w:val="00BC25B0"/>
    <w:rsid w:val="00BC29F9"/>
    <w:rsid w:val="00BC3254"/>
    <w:rsid w:val="00BD0E82"/>
    <w:rsid w:val="00BD50FB"/>
    <w:rsid w:val="00BD53E0"/>
    <w:rsid w:val="00BE0863"/>
    <w:rsid w:val="00BE0E0B"/>
    <w:rsid w:val="00BF3406"/>
    <w:rsid w:val="00BF7C75"/>
    <w:rsid w:val="00C05393"/>
    <w:rsid w:val="00C067CE"/>
    <w:rsid w:val="00C06981"/>
    <w:rsid w:val="00C06CD6"/>
    <w:rsid w:val="00C125C7"/>
    <w:rsid w:val="00C23745"/>
    <w:rsid w:val="00C30D4F"/>
    <w:rsid w:val="00C3757C"/>
    <w:rsid w:val="00C40758"/>
    <w:rsid w:val="00C41121"/>
    <w:rsid w:val="00C44E7F"/>
    <w:rsid w:val="00C46A3B"/>
    <w:rsid w:val="00C47F37"/>
    <w:rsid w:val="00C53232"/>
    <w:rsid w:val="00C54317"/>
    <w:rsid w:val="00C71246"/>
    <w:rsid w:val="00C72E6A"/>
    <w:rsid w:val="00C7763A"/>
    <w:rsid w:val="00C81E1F"/>
    <w:rsid w:val="00C82ACF"/>
    <w:rsid w:val="00C82E64"/>
    <w:rsid w:val="00C84E79"/>
    <w:rsid w:val="00C85824"/>
    <w:rsid w:val="00C87DCB"/>
    <w:rsid w:val="00C91954"/>
    <w:rsid w:val="00C93ADD"/>
    <w:rsid w:val="00C96BF5"/>
    <w:rsid w:val="00CA05FB"/>
    <w:rsid w:val="00CA72D3"/>
    <w:rsid w:val="00CB1483"/>
    <w:rsid w:val="00CD13E3"/>
    <w:rsid w:val="00CD2DEC"/>
    <w:rsid w:val="00CD4CA7"/>
    <w:rsid w:val="00CD6914"/>
    <w:rsid w:val="00CF04F5"/>
    <w:rsid w:val="00D00442"/>
    <w:rsid w:val="00D01623"/>
    <w:rsid w:val="00D033B0"/>
    <w:rsid w:val="00D05223"/>
    <w:rsid w:val="00D05A58"/>
    <w:rsid w:val="00D065D6"/>
    <w:rsid w:val="00D1078E"/>
    <w:rsid w:val="00D10D7B"/>
    <w:rsid w:val="00D11150"/>
    <w:rsid w:val="00D20B0C"/>
    <w:rsid w:val="00D2799F"/>
    <w:rsid w:val="00D3623C"/>
    <w:rsid w:val="00D4622C"/>
    <w:rsid w:val="00D46A2C"/>
    <w:rsid w:val="00D51FEC"/>
    <w:rsid w:val="00D528AD"/>
    <w:rsid w:val="00D5315D"/>
    <w:rsid w:val="00D6288E"/>
    <w:rsid w:val="00D64047"/>
    <w:rsid w:val="00D71BF3"/>
    <w:rsid w:val="00D73F38"/>
    <w:rsid w:val="00D81758"/>
    <w:rsid w:val="00D86398"/>
    <w:rsid w:val="00D865B6"/>
    <w:rsid w:val="00D86A6C"/>
    <w:rsid w:val="00D86BEA"/>
    <w:rsid w:val="00D875A3"/>
    <w:rsid w:val="00D91A1D"/>
    <w:rsid w:val="00D94AC3"/>
    <w:rsid w:val="00DA5372"/>
    <w:rsid w:val="00DA6B6F"/>
    <w:rsid w:val="00DB273B"/>
    <w:rsid w:val="00DB44F5"/>
    <w:rsid w:val="00DB5DF4"/>
    <w:rsid w:val="00DC2FA5"/>
    <w:rsid w:val="00DC3507"/>
    <w:rsid w:val="00DD26C8"/>
    <w:rsid w:val="00DD4362"/>
    <w:rsid w:val="00DD495C"/>
    <w:rsid w:val="00DE1754"/>
    <w:rsid w:val="00DE35A1"/>
    <w:rsid w:val="00DE7736"/>
    <w:rsid w:val="00DF21B5"/>
    <w:rsid w:val="00DF416E"/>
    <w:rsid w:val="00DF6510"/>
    <w:rsid w:val="00E007DA"/>
    <w:rsid w:val="00E01D12"/>
    <w:rsid w:val="00E0438A"/>
    <w:rsid w:val="00E054BF"/>
    <w:rsid w:val="00E123CA"/>
    <w:rsid w:val="00E1378F"/>
    <w:rsid w:val="00E234E1"/>
    <w:rsid w:val="00E241CA"/>
    <w:rsid w:val="00E248E7"/>
    <w:rsid w:val="00E25209"/>
    <w:rsid w:val="00E258D5"/>
    <w:rsid w:val="00E264AB"/>
    <w:rsid w:val="00E3080A"/>
    <w:rsid w:val="00E33FEE"/>
    <w:rsid w:val="00E3443C"/>
    <w:rsid w:val="00E354AB"/>
    <w:rsid w:val="00E35F8D"/>
    <w:rsid w:val="00E40A4C"/>
    <w:rsid w:val="00E40A88"/>
    <w:rsid w:val="00E42422"/>
    <w:rsid w:val="00E44276"/>
    <w:rsid w:val="00E447D3"/>
    <w:rsid w:val="00E52E7E"/>
    <w:rsid w:val="00E54258"/>
    <w:rsid w:val="00E71545"/>
    <w:rsid w:val="00E737CD"/>
    <w:rsid w:val="00E758D0"/>
    <w:rsid w:val="00E862A9"/>
    <w:rsid w:val="00E87572"/>
    <w:rsid w:val="00E877CB"/>
    <w:rsid w:val="00E93869"/>
    <w:rsid w:val="00E9604B"/>
    <w:rsid w:val="00EA2DF0"/>
    <w:rsid w:val="00EA3227"/>
    <w:rsid w:val="00EA5E47"/>
    <w:rsid w:val="00EA77C8"/>
    <w:rsid w:val="00EA7A51"/>
    <w:rsid w:val="00EB0BAE"/>
    <w:rsid w:val="00EB7480"/>
    <w:rsid w:val="00ED14AE"/>
    <w:rsid w:val="00ED28CD"/>
    <w:rsid w:val="00ED4E84"/>
    <w:rsid w:val="00ED6157"/>
    <w:rsid w:val="00EE20ED"/>
    <w:rsid w:val="00EE27B6"/>
    <w:rsid w:val="00EE43E1"/>
    <w:rsid w:val="00EE6C9B"/>
    <w:rsid w:val="00EE7EAA"/>
    <w:rsid w:val="00EF1F2A"/>
    <w:rsid w:val="00EF72A1"/>
    <w:rsid w:val="00F00E2F"/>
    <w:rsid w:val="00F04C94"/>
    <w:rsid w:val="00F050AF"/>
    <w:rsid w:val="00F05A19"/>
    <w:rsid w:val="00F07059"/>
    <w:rsid w:val="00F1463F"/>
    <w:rsid w:val="00F16139"/>
    <w:rsid w:val="00F23A48"/>
    <w:rsid w:val="00F243E4"/>
    <w:rsid w:val="00F26BEF"/>
    <w:rsid w:val="00F33398"/>
    <w:rsid w:val="00F37544"/>
    <w:rsid w:val="00F40EA3"/>
    <w:rsid w:val="00F42D2B"/>
    <w:rsid w:val="00F43394"/>
    <w:rsid w:val="00F4358C"/>
    <w:rsid w:val="00F45467"/>
    <w:rsid w:val="00F45674"/>
    <w:rsid w:val="00F47D6F"/>
    <w:rsid w:val="00F5471B"/>
    <w:rsid w:val="00F56E0B"/>
    <w:rsid w:val="00F64ADF"/>
    <w:rsid w:val="00F653BC"/>
    <w:rsid w:val="00F67577"/>
    <w:rsid w:val="00F7540A"/>
    <w:rsid w:val="00F91135"/>
    <w:rsid w:val="00F97CD1"/>
    <w:rsid w:val="00FA4095"/>
    <w:rsid w:val="00FA4299"/>
    <w:rsid w:val="00FA4772"/>
    <w:rsid w:val="00FB10B8"/>
    <w:rsid w:val="00FB1B44"/>
    <w:rsid w:val="00FC78F7"/>
    <w:rsid w:val="00FD20AF"/>
    <w:rsid w:val="00FE65AB"/>
    <w:rsid w:val="00FF02DC"/>
    <w:rsid w:val="00FF20D7"/>
    <w:rsid w:val="00FF2537"/>
    <w:rsid w:val="00FF43DC"/>
    <w:rsid w:val="00FF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c891d"/>
    </o:shapedefaults>
    <o:shapelayout v:ext="edit">
      <o:idmap v:ext="edit" data="1"/>
    </o:shapelayout>
  </w:shapeDefaults>
  <w:decimalSymbol w:val="."/>
  <w:listSeparator w:val=","/>
  <w14:docId w14:val="71CCF20A"/>
  <w15:docId w15:val="{767EE882-DCAC-442A-BFB6-E7E9ADD3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7E1"/>
    <w:rPr>
      <w:rFonts w:ascii="Arial" w:hAnsi="Arial"/>
      <w:w w:val="90"/>
      <w:sz w:val="24"/>
      <w:szCs w:val="24"/>
    </w:rPr>
  </w:style>
  <w:style w:type="paragraph" w:styleId="Heading1">
    <w:name w:val="heading 1"/>
    <w:next w:val="Normal"/>
    <w:qFormat/>
    <w:rsid w:val="00185287"/>
    <w:pPr>
      <w:keepNext/>
      <w:autoSpaceDE w:val="0"/>
      <w:autoSpaceDN w:val="0"/>
      <w:adjustRightInd w:val="0"/>
      <w:outlineLvl w:val="0"/>
    </w:pPr>
    <w:rPr>
      <w:rFonts w:ascii="Arial" w:hAnsi="Arial"/>
      <w:w w:val="9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71DD"/>
    <w:pPr>
      <w:tabs>
        <w:tab w:val="center" w:pos="4320"/>
        <w:tab w:val="right" w:pos="8640"/>
      </w:tabs>
    </w:pPr>
  </w:style>
  <w:style w:type="paragraph" w:styleId="Footer">
    <w:name w:val="footer"/>
    <w:link w:val="FooterChar"/>
    <w:uiPriority w:val="99"/>
    <w:rsid w:val="008B2F82"/>
    <w:pPr>
      <w:tabs>
        <w:tab w:val="center" w:pos="4320"/>
        <w:tab w:val="right" w:pos="8640"/>
      </w:tabs>
    </w:pPr>
    <w:rPr>
      <w:rFonts w:ascii="Arial" w:hAnsi="Arial"/>
      <w:w w:val="90"/>
      <w:szCs w:val="24"/>
    </w:rPr>
  </w:style>
  <w:style w:type="paragraph" w:styleId="BalloonText">
    <w:name w:val="Balloon Text"/>
    <w:basedOn w:val="Normal"/>
    <w:semiHidden/>
    <w:rsid w:val="007C71DD"/>
    <w:rPr>
      <w:rFonts w:ascii="Tahoma" w:hAnsi="Tahoma"/>
      <w:sz w:val="16"/>
      <w:szCs w:val="16"/>
    </w:rPr>
  </w:style>
  <w:style w:type="paragraph" w:customStyle="1" w:styleId="Arialbodycopy">
    <w:name w:val="Arial body copy"/>
    <w:aliases w:val="14 pt"/>
    <w:link w:val="ArialbodycopyChar"/>
    <w:qFormat/>
    <w:rsid w:val="00DA5372"/>
    <w:pPr>
      <w:autoSpaceDE w:val="0"/>
      <w:autoSpaceDN w:val="0"/>
      <w:adjustRightInd w:val="0"/>
    </w:pPr>
    <w:rPr>
      <w:rFonts w:ascii="Arial" w:hAnsi="Arial"/>
      <w:w w:val="90"/>
      <w:sz w:val="28"/>
      <w:szCs w:val="24"/>
    </w:rPr>
  </w:style>
  <w:style w:type="character" w:customStyle="1" w:styleId="Timesbodycopy">
    <w:name w:val="Times body copy"/>
    <w:aliases w:val="14 pt."/>
    <w:rsid w:val="00B23C5D"/>
    <w:rPr>
      <w:rFonts w:ascii="Times New Roman" w:hAnsi="Times New Roman"/>
      <w:w w:val="100"/>
      <w:sz w:val="28"/>
    </w:rPr>
  </w:style>
  <w:style w:type="character" w:customStyle="1" w:styleId="ArialbodycopyChar">
    <w:name w:val="Arial body copy Char"/>
    <w:aliases w:val="14 pt Char"/>
    <w:link w:val="Arialbodycopy"/>
    <w:rsid w:val="00DA5372"/>
    <w:rPr>
      <w:rFonts w:ascii="Arial" w:hAnsi="Arial"/>
      <w:w w:val="90"/>
      <w:sz w:val="28"/>
      <w:szCs w:val="24"/>
      <w:lang w:val="en-US" w:eastAsia="en-US" w:bidi="ar-SA"/>
    </w:rPr>
  </w:style>
  <w:style w:type="paragraph" w:customStyle="1" w:styleId="Addressblock">
    <w:name w:val="Address block"/>
    <w:link w:val="AddressblockChar"/>
    <w:qFormat/>
    <w:rsid w:val="00B23C5D"/>
    <w:pPr>
      <w:framePr w:w="5069" w:h="1152" w:hSpace="187" w:wrap="around" w:vAnchor="text" w:hAnchor="page" w:x="6294" w:y="880"/>
      <w:tabs>
        <w:tab w:val="left" w:pos="-540"/>
      </w:tabs>
      <w:ind w:left="-540" w:right="30"/>
      <w:jc w:val="right"/>
    </w:pPr>
    <w:rPr>
      <w:rFonts w:ascii="Arial" w:hAnsi="Arial"/>
      <w:color w:val="005595"/>
      <w:w w:val="90"/>
      <w:sz w:val="24"/>
      <w:szCs w:val="24"/>
    </w:rPr>
  </w:style>
  <w:style w:type="paragraph" w:customStyle="1" w:styleId="Divisionname">
    <w:name w:val="Division name"/>
    <w:link w:val="DivisionnameChar"/>
    <w:qFormat/>
    <w:rsid w:val="00B23C5D"/>
    <w:pPr>
      <w:framePr w:hSpace="180" w:wrap="around" w:vAnchor="text" w:hAnchor="margin" w:x="-306" w:y="-158"/>
      <w:spacing w:after="60"/>
      <w:ind w:left="-117"/>
    </w:pPr>
    <w:rPr>
      <w:rFonts w:ascii="Arial" w:hAnsi="Arial"/>
      <w:color w:val="005595"/>
      <w:w w:val="90"/>
      <w:sz w:val="24"/>
      <w:szCs w:val="24"/>
    </w:rPr>
  </w:style>
  <w:style w:type="character" w:customStyle="1" w:styleId="AddressblockChar">
    <w:name w:val="Address block Char"/>
    <w:link w:val="Addressblock"/>
    <w:rsid w:val="00B23C5D"/>
    <w:rPr>
      <w:rFonts w:ascii="Arial" w:hAnsi="Arial"/>
      <w:color w:val="005595"/>
      <w:w w:val="90"/>
      <w:sz w:val="24"/>
      <w:szCs w:val="24"/>
      <w:lang w:val="en-US" w:eastAsia="en-US" w:bidi="ar-SA"/>
    </w:rPr>
  </w:style>
  <w:style w:type="paragraph" w:customStyle="1" w:styleId="Office">
    <w:name w:val="Office"/>
    <w:aliases w:val="section or unit name"/>
    <w:link w:val="OfficeChar"/>
    <w:qFormat/>
    <w:rsid w:val="00B23C5D"/>
    <w:pPr>
      <w:ind w:left="-126"/>
    </w:pPr>
    <w:rPr>
      <w:rFonts w:ascii="Arial" w:hAnsi="Arial"/>
      <w:color w:val="005595"/>
      <w:w w:val="90"/>
      <w:sz w:val="22"/>
      <w:szCs w:val="24"/>
    </w:rPr>
  </w:style>
  <w:style w:type="paragraph" w:customStyle="1" w:styleId="Governorname">
    <w:name w:val="Governor name"/>
    <w:qFormat/>
    <w:rsid w:val="00B23C5D"/>
    <w:pPr>
      <w:framePr w:hSpace="180" w:wrap="around" w:vAnchor="text" w:hAnchor="margin" w:x="-306" w:y="-158"/>
      <w:spacing w:before="60"/>
      <w:ind w:left="-115"/>
    </w:pPr>
    <w:rPr>
      <w:rFonts w:ascii="Arial" w:hAnsi="Arial"/>
      <w:color w:val="005595"/>
      <w:w w:val="90"/>
      <w:sz w:val="18"/>
      <w:szCs w:val="24"/>
    </w:rPr>
  </w:style>
  <w:style w:type="paragraph" w:customStyle="1" w:styleId="Headerpage2andbeyond">
    <w:name w:val="Header page 2 and beyond"/>
    <w:qFormat/>
    <w:rsid w:val="00F47D6F"/>
    <w:rPr>
      <w:rFonts w:ascii="Arial" w:hAnsi="Arial"/>
      <w:color w:val="005595"/>
      <w:w w:val="90"/>
      <w:sz w:val="24"/>
      <w:szCs w:val="24"/>
    </w:rPr>
  </w:style>
  <w:style w:type="character" w:styleId="Hyperlink">
    <w:name w:val="Hyperlink"/>
    <w:rsid w:val="007F4944"/>
    <w:rPr>
      <w:color w:val="0000FF"/>
      <w:u w:val="single"/>
    </w:rPr>
  </w:style>
  <w:style w:type="paragraph" w:styleId="BodyText">
    <w:name w:val="Body Text"/>
    <w:basedOn w:val="Normal"/>
    <w:link w:val="BodyTextChar"/>
    <w:rsid w:val="007F4944"/>
    <w:rPr>
      <w:b/>
      <w:w w:val="100"/>
      <w:szCs w:val="20"/>
    </w:rPr>
  </w:style>
  <w:style w:type="character" w:customStyle="1" w:styleId="BodyTextChar">
    <w:name w:val="Body Text Char"/>
    <w:link w:val="BodyText"/>
    <w:rsid w:val="007F4944"/>
    <w:rPr>
      <w:rFonts w:ascii="Arial" w:hAnsi="Arial"/>
      <w:b/>
      <w:sz w:val="24"/>
    </w:rPr>
  </w:style>
  <w:style w:type="paragraph" w:styleId="BodyTextIndent">
    <w:name w:val="Body Text Indent"/>
    <w:basedOn w:val="Normal"/>
    <w:link w:val="BodyTextIndentChar"/>
    <w:rsid w:val="00A33EBD"/>
    <w:pPr>
      <w:spacing w:after="120"/>
      <w:ind w:left="360"/>
    </w:pPr>
  </w:style>
  <w:style w:type="character" w:customStyle="1" w:styleId="BodyTextIndentChar">
    <w:name w:val="Body Text Indent Char"/>
    <w:link w:val="BodyTextIndent"/>
    <w:rsid w:val="00A33EBD"/>
    <w:rPr>
      <w:rFonts w:ascii="Arial" w:hAnsi="Arial"/>
      <w:w w:val="90"/>
      <w:sz w:val="24"/>
      <w:szCs w:val="24"/>
    </w:rPr>
  </w:style>
  <w:style w:type="paragraph" w:customStyle="1" w:styleId="1AutoList1">
    <w:name w:val="1AutoList1"/>
    <w:rsid w:val="00A33EBD"/>
    <w:pPr>
      <w:tabs>
        <w:tab w:val="left" w:pos="720"/>
      </w:tabs>
      <w:ind w:left="720" w:hanging="720"/>
    </w:pPr>
    <w:rPr>
      <w:snapToGrid w:val="0"/>
      <w:sz w:val="24"/>
    </w:rPr>
  </w:style>
  <w:style w:type="paragraph" w:customStyle="1" w:styleId="Default">
    <w:name w:val="Default"/>
    <w:rsid w:val="00A33EBD"/>
    <w:pPr>
      <w:autoSpaceDE w:val="0"/>
      <w:autoSpaceDN w:val="0"/>
      <w:adjustRightInd w:val="0"/>
    </w:pPr>
    <w:rPr>
      <w:rFonts w:ascii="Arial" w:hAnsi="Arial" w:cs="Arial"/>
      <w:color w:val="000000"/>
      <w:sz w:val="24"/>
      <w:szCs w:val="24"/>
    </w:rPr>
  </w:style>
  <w:style w:type="character" w:customStyle="1" w:styleId="listpurp1">
    <w:name w:val="listpurp1"/>
    <w:rsid w:val="00A33EBD"/>
  </w:style>
  <w:style w:type="character" w:styleId="CommentReference">
    <w:name w:val="annotation reference"/>
    <w:basedOn w:val="DefaultParagraphFont"/>
    <w:rsid w:val="000B5551"/>
    <w:rPr>
      <w:sz w:val="16"/>
      <w:szCs w:val="16"/>
    </w:rPr>
  </w:style>
  <w:style w:type="paragraph" w:styleId="CommentText">
    <w:name w:val="annotation text"/>
    <w:basedOn w:val="Normal"/>
    <w:link w:val="CommentTextChar"/>
    <w:rsid w:val="000B5551"/>
    <w:rPr>
      <w:sz w:val="20"/>
      <w:szCs w:val="20"/>
    </w:rPr>
  </w:style>
  <w:style w:type="character" w:customStyle="1" w:styleId="CommentTextChar">
    <w:name w:val="Comment Text Char"/>
    <w:basedOn w:val="DefaultParagraphFont"/>
    <w:link w:val="CommentText"/>
    <w:rsid w:val="000B5551"/>
    <w:rPr>
      <w:rFonts w:ascii="Arial" w:hAnsi="Arial"/>
      <w:w w:val="90"/>
    </w:rPr>
  </w:style>
  <w:style w:type="paragraph" w:styleId="CommentSubject">
    <w:name w:val="annotation subject"/>
    <w:basedOn w:val="CommentText"/>
    <w:next w:val="CommentText"/>
    <w:link w:val="CommentSubjectChar"/>
    <w:rsid w:val="000B5551"/>
    <w:rPr>
      <w:b/>
      <w:bCs/>
    </w:rPr>
  </w:style>
  <w:style w:type="character" w:customStyle="1" w:styleId="CommentSubjectChar">
    <w:name w:val="Comment Subject Char"/>
    <w:basedOn w:val="CommentTextChar"/>
    <w:link w:val="CommentSubject"/>
    <w:rsid w:val="000B5551"/>
    <w:rPr>
      <w:rFonts w:ascii="Arial" w:hAnsi="Arial"/>
      <w:b/>
      <w:bCs/>
      <w:w w:val="90"/>
    </w:rPr>
  </w:style>
  <w:style w:type="paragraph" w:styleId="ListParagraph">
    <w:name w:val="List Paragraph"/>
    <w:basedOn w:val="Normal"/>
    <w:uiPriority w:val="34"/>
    <w:qFormat/>
    <w:rsid w:val="002F3FA6"/>
    <w:pPr>
      <w:ind w:left="720"/>
      <w:contextualSpacing/>
    </w:pPr>
  </w:style>
  <w:style w:type="character" w:customStyle="1" w:styleId="FooterChar">
    <w:name w:val="Footer Char"/>
    <w:basedOn w:val="DefaultParagraphFont"/>
    <w:link w:val="Footer"/>
    <w:uiPriority w:val="99"/>
    <w:rsid w:val="009614D7"/>
    <w:rPr>
      <w:rFonts w:ascii="Arial" w:hAnsi="Arial"/>
      <w:w w:val="90"/>
      <w:szCs w:val="24"/>
    </w:rPr>
  </w:style>
  <w:style w:type="table" w:styleId="Table3Deffects3">
    <w:name w:val="Table 3D effects 3"/>
    <w:basedOn w:val="TableNormal"/>
    <w:rsid w:val="00741F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41FA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741FA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erChar">
    <w:name w:val="Header Char"/>
    <w:basedOn w:val="DefaultParagraphFont"/>
    <w:link w:val="Header"/>
    <w:uiPriority w:val="99"/>
    <w:rsid w:val="00514A68"/>
    <w:rPr>
      <w:rFonts w:ascii="Arial" w:hAnsi="Arial"/>
      <w:w w:val="90"/>
      <w:sz w:val="24"/>
      <w:szCs w:val="24"/>
    </w:rPr>
  </w:style>
  <w:style w:type="character" w:customStyle="1" w:styleId="DivisionnameChar">
    <w:name w:val="Division name Char"/>
    <w:basedOn w:val="DefaultParagraphFont"/>
    <w:link w:val="Divisionname"/>
    <w:locked/>
    <w:rsid w:val="00514A68"/>
    <w:rPr>
      <w:rFonts w:ascii="Arial" w:hAnsi="Arial"/>
      <w:color w:val="005595"/>
      <w:w w:val="90"/>
      <w:sz w:val="24"/>
      <w:szCs w:val="24"/>
    </w:rPr>
  </w:style>
  <w:style w:type="character" w:customStyle="1" w:styleId="OfficeChar">
    <w:name w:val="Office Char"/>
    <w:aliases w:val="section or unit name Char"/>
    <w:basedOn w:val="DefaultParagraphFont"/>
    <w:link w:val="Office"/>
    <w:locked/>
    <w:rsid w:val="00514A68"/>
    <w:rPr>
      <w:rFonts w:ascii="Arial" w:hAnsi="Arial"/>
      <w:color w:val="005595"/>
      <w:w w:val="90"/>
      <w:sz w:val="22"/>
      <w:szCs w:val="24"/>
    </w:rPr>
  </w:style>
  <w:style w:type="character" w:styleId="FollowedHyperlink">
    <w:name w:val="FollowedHyperlink"/>
    <w:basedOn w:val="DefaultParagraphFont"/>
    <w:rsid w:val="00FB10B8"/>
    <w:rPr>
      <w:color w:val="800080" w:themeColor="followedHyperlink"/>
      <w:u w:val="single"/>
    </w:rPr>
  </w:style>
  <w:style w:type="paragraph" w:styleId="PlainText">
    <w:name w:val="Plain Text"/>
    <w:basedOn w:val="Normal"/>
    <w:link w:val="PlainTextChar"/>
    <w:rsid w:val="00AC30A7"/>
    <w:rPr>
      <w:rFonts w:ascii="Courier New" w:hAnsi="Courier New" w:cs="Courier New"/>
      <w:w w:val="100"/>
      <w:sz w:val="20"/>
      <w:szCs w:val="20"/>
    </w:rPr>
  </w:style>
  <w:style w:type="character" w:customStyle="1" w:styleId="PlainTextChar">
    <w:name w:val="Plain Text Char"/>
    <w:basedOn w:val="DefaultParagraphFont"/>
    <w:link w:val="PlainText"/>
    <w:rsid w:val="00AC30A7"/>
    <w:rPr>
      <w:rFonts w:ascii="Courier New" w:hAnsi="Courier New" w:cs="Courier New"/>
    </w:rPr>
  </w:style>
  <w:style w:type="paragraph" w:styleId="BodyText3">
    <w:name w:val="Body Text 3"/>
    <w:basedOn w:val="Normal"/>
    <w:link w:val="BodyText3Char"/>
    <w:rsid w:val="00AC30A7"/>
    <w:pPr>
      <w:spacing w:after="120"/>
    </w:pPr>
    <w:rPr>
      <w:rFonts w:ascii="Times New Roman" w:hAnsi="Times New Roman"/>
      <w:w w:val="100"/>
      <w:sz w:val="16"/>
      <w:szCs w:val="16"/>
    </w:rPr>
  </w:style>
  <w:style w:type="character" w:customStyle="1" w:styleId="BodyText3Char">
    <w:name w:val="Body Text 3 Char"/>
    <w:basedOn w:val="DefaultParagraphFont"/>
    <w:link w:val="BodyText3"/>
    <w:rsid w:val="00AC30A7"/>
    <w:rPr>
      <w:sz w:val="16"/>
      <w:szCs w:val="16"/>
    </w:rPr>
  </w:style>
  <w:style w:type="character" w:styleId="HTMLCite">
    <w:name w:val="HTML Cite"/>
    <w:basedOn w:val="DefaultParagraphFont"/>
    <w:uiPriority w:val="99"/>
    <w:unhideWhenUsed/>
    <w:rsid w:val="008D6288"/>
    <w:rPr>
      <w:i/>
      <w:iCs/>
    </w:rPr>
  </w:style>
  <w:style w:type="character" w:styleId="Strong">
    <w:name w:val="Strong"/>
    <w:basedOn w:val="DefaultParagraphFont"/>
    <w:qFormat/>
    <w:rsid w:val="00156868"/>
    <w:rPr>
      <w:b/>
      <w:bCs/>
    </w:rPr>
  </w:style>
  <w:style w:type="paragraph" w:styleId="NormalWeb">
    <w:name w:val="Normal (Web)"/>
    <w:basedOn w:val="Normal"/>
    <w:uiPriority w:val="99"/>
    <w:unhideWhenUsed/>
    <w:rsid w:val="00840058"/>
    <w:rPr>
      <w:rFonts w:ascii="Times New Roman" w:eastAsiaTheme="minorHAnsi" w:hAnsi="Times New Roman"/>
      <w:w w:val="100"/>
    </w:rPr>
  </w:style>
  <w:style w:type="character" w:styleId="UnresolvedMention">
    <w:name w:val="Unresolved Mention"/>
    <w:basedOn w:val="DefaultParagraphFont"/>
    <w:uiPriority w:val="99"/>
    <w:semiHidden/>
    <w:unhideWhenUsed/>
    <w:rsid w:val="009C52BC"/>
    <w:rPr>
      <w:color w:val="605E5C"/>
      <w:shd w:val="clear" w:color="auto" w:fill="E1DFDD"/>
    </w:rPr>
  </w:style>
  <w:style w:type="table" w:styleId="GridTable3-Accent2">
    <w:name w:val="Grid Table 3 Accent 2"/>
    <w:basedOn w:val="TableNormal"/>
    <w:uiPriority w:val="48"/>
    <w:rsid w:val="00743801"/>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HPA/ANALYTICS/Pages/Hospital-Reporting-ARCHIV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DC4B8C14A3B7408F81BF48727D0045" ma:contentTypeVersion="23" ma:contentTypeDescription="Create a new document." ma:contentTypeScope="" ma:versionID="d30fbf60b9e29d2bce92076226e28adb">
  <xsd:schema xmlns:xsd="http://www.w3.org/2001/XMLSchema" xmlns:xs="http://www.w3.org/2001/XMLSchema" xmlns:p="http://schemas.microsoft.com/office/2006/metadata/properties" xmlns:ns1="http://schemas.microsoft.com/sharepoint/v3" xmlns:ns2="59da1016-2a1b-4f8a-9768-d7a4932f6f16" xmlns:ns3="eb1aef87-c49c-4ae6-851e-32e6bcd8ce9a" targetNamespace="http://schemas.microsoft.com/office/2006/metadata/properties" ma:root="true" ma:fieldsID="0e3d3009d457696ddc99e480a39aec4c" ns1:_="" ns2:_="" ns3:_="">
    <xsd:import namespace="http://schemas.microsoft.com/sharepoint/v3"/>
    <xsd:import namespace="59da1016-2a1b-4f8a-9768-d7a4932f6f16"/>
    <xsd:import namespace="eb1aef87-c49c-4ae6-851e-32e6bcd8ce9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Year" minOccurs="0"/>
                <xsd:element ref="ns3:Update" minOccurs="0"/>
                <xsd:element ref="ns3:DType" minOccurs="0"/>
                <xsd:element ref="ns3:DOrder"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1aef87-c49c-4ae6-851e-32e6bcd8ce9a"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Year" ma:index="15" nillable="true" ma:displayName="Year" ma:description="View filter to auto-publish documents" ma:internalName="Year" ma:readOnly="false">
      <xsd:simpleType>
        <xsd:restriction base="dms:Text">
          <xsd:maxLength value="255"/>
        </xsd:restriction>
      </xsd:simpleType>
    </xsd:element>
    <xsd:element name="Update" ma:index="16" nillable="true" ma:displayName="Update" ma:hidden="true" ma:internalName="Update" ma:readOnly="false" ma:percentage="FALSE">
      <xsd:simpleType>
        <xsd:restriction base="dms:Number"/>
      </xsd:simpleType>
    </xsd:element>
    <xsd:element name="DType" ma:index="17" nillable="true" ma:displayName="DType" ma:format="Dropdown" ma:hidden="true" ma:internalName="DType" ma:readOnly="false">
      <xsd:simpleType>
        <xsd:restriction base="dms:Choice">
          <xsd:enumeration value="Hospital Payment Reports"/>
        </xsd:restriction>
      </xsd:simpleType>
    </xsd:element>
    <xsd:element name="DOrder" ma:index="18" nillable="true" ma:displayName="DOrder" ma:hidden="true" ma:internalName="DOrder" ma:readOnly="false" ma:percentage="FALSE">
      <xsd:simpleType>
        <xsd:restriction base="dms:Number"/>
      </xsd:simpleType>
    </xsd:element>
    <xsd:element name="Category" ma:index="19" nillable="true" ma:displayName="Category" ma:format="Dropdown" ma:internalName="Category" ma:readOnly="false">
      <xsd:simpleType>
        <xsd:restriction base="dms:Choice">
          <xsd:enumeration value="AFS-FR3"/>
          <xsd:enumeration value="Capital Project Reporting"/>
          <xsd:enumeration value="Community Benefit Minimum Spending Floor"/>
          <xsd:enumeration value="Community Benefit Reports"/>
          <xsd:enumeration value="Datasets"/>
          <xsd:enumeration value="Forms"/>
          <xsd:enumeration value="Hospital Discharge Data"/>
          <xsd:enumeration value="Hospital Financial and Utilization Reports"/>
          <xsd:enumeration value="Hospital Financial Assistance Application"/>
          <xsd:enumeration value="Hospital Payment Reports"/>
          <xsd:enumeration value="Hospital Profiles"/>
          <xsd:enumeration value="Hospital Quarterly Report"/>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Update xmlns="eb1aef87-c49c-4ae6-851e-32e6bcd8ce9a" xsi:nil="true"/>
    <IATopic xmlns="59da1016-2a1b-4f8a-9768-d7a4932f6f16" xsi:nil="true"/>
    <DType xmlns="eb1aef87-c49c-4ae6-851e-32e6bcd8ce9a" xsi:nil="true"/>
    <Category xmlns="eb1aef87-c49c-4ae6-851e-32e6bcd8ce9a" xsi:nil="true"/>
    <IASubtopic xmlns="59da1016-2a1b-4f8a-9768-d7a4932f6f16" xsi:nil="true"/>
    <Meta_x0020_Keywords xmlns="eb1aef87-c49c-4ae6-851e-32e6bcd8ce9a" xsi:nil="true"/>
    <URL xmlns="http://schemas.microsoft.com/sharepoint/v3">
      <Url>https://www.oregon.gov/oha/HPA/ANALYTICS/HospitalReporting/FY2024-FY2025-Spending-Floor-Announcement-1.1.2023.docx</Url>
      <Description>FY 2024-2025 Spending Floor Announcement</Description>
    </URL>
    <Year xmlns="eb1aef87-c49c-4ae6-851e-32e6bcd8ce9a" xsi:nil="true"/>
    <Meta_x0020_Description xmlns="eb1aef87-c49c-4ae6-851e-32e6bcd8ce9a" xsi:nil="true"/>
    <DOrder xmlns="eb1aef87-c49c-4ae6-851e-32e6bcd8ce9a" xsi:nil="true"/>
  </documentManagement>
</p:properties>
</file>

<file path=customXml/itemProps1.xml><?xml version="1.0" encoding="utf-8"?>
<ds:datastoreItem xmlns:ds="http://schemas.openxmlformats.org/officeDocument/2006/customXml" ds:itemID="{AFB9C229-003B-477A-9903-E15DF098FA0A}">
  <ds:schemaRefs>
    <ds:schemaRef ds:uri="http://schemas.openxmlformats.org/officeDocument/2006/bibliography"/>
  </ds:schemaRefs>
</ds:datastoreItem>
</file>

<file path=customXml/itemProps2.xml><?xml version="1.0" encoding="utf-8"?>
<ds:datastoreItem xmlns:ds="http://schemas.openxmlformats.org/officeDocument/2006/customXml" ds:itemID="{24DDC695-DD15-42CE-B113-DDA62002FF63}"/>
</file>

<file path=customXml/itemProps3.xml><?xml version="1.0" encoding="utf-8"?>
<ds:datastoreItem xmlns:ds="http://schemas.openxmlformats.org/officeDocument/2006/customXml" ds:itemID="{7F8EAF83-7599-4A41-8221-953BA8F09AAE}"/>
</file>

<file path=customXml/itemProps4.xml><?xml version="1.0" encoding="utf-8"?>
<ds:datastoreItem xmlns:ds="http://schemas.openxmlformats.org/officeDocument/2006/customXml" ds:itemID="{2A4A2E42-1EA9-46AA-A0B7-975C718136FA}"/>
</file>

<file path=docProps/app.xml><?xml version="1.0" encoding="utf-8"?>
<Properties xmlns="http://schemas.openxmlformats.org/officeDocument/2006/extended-properties" xmlns:vt="http://schemas.openxmlformats.org/officeDocument/2006/docPropsVTypes">
  <Template>Normal</Template>
  <TotalTime>14</TotalTime>
  <Pages>8</Pages>
  <Words>2743</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Oregon Health Authority letterhead</vt:lpstr>
    </vt:vector>
  </TitlesOfParts>
  <Company>State of Oregon</Company>
  <LinksUpToDate>false</LinksUpToDate>
  <CharactersWithSpaces>17678</CharactersWithSpaces>
  <SharedDoc>false</SharedDoc>
  <HLinks>
    <vt:vector size="30" baseType="variant">
      <vt:variant>
        <vt:i4>4522024</vt:i4>
      </vt:variant>
      <vt:variant>
        <vt:i4>12</vt:i4>
      </vt:variant>
      <vt:variant>
        <vt:i4>0</vt:i4>
      </vt:variant>
      <vt:variant>
        <vt:i4>5</vt:i4>
      </vt:variant>
      <vt:variant>
        <vt:lpwstr>mailto:Heidi.Allen@providence.org</vt:lpwstr>
      </vt:variant>
      <vt:variant>
        <vt:lpwstr/>
      </vt:variant>
      <vt:variant>
        <vt:i4>5636215</vt:i4>
      </vt:variant>
      <vt:variant>
        <vt:i4>9</vt:i4>
      </vt:variant>
      <vt:variant>
        <vt:i4>0</vt:i4>
      </vt:variant>
      <vt:variant>
        <vt:i4>5</vt:i4>
      </vt:variant>
      <vt:variant>
        <vt:lpwstr>Charles.a.gallia@state.or.us</vt:lpwstr>
      </vt:variant>
      <vt:variant>
        <vt:lpwstr/>
      </vt:variant>
      <vt:variant>
        <vt:i4>40</vt:i4>
      </vt:variant>
      <vt:variant>
        <vt:i4>6</vt:i4>
      </vt:variant>
      <vt:variant>
        <vt:i4>0</vt:i4>
      </vt:variant>
      <vt:variant>
        <vt:i4>5</vt:i4>
      </vt:variant>
      <vt:variant>
        <vt:lpwstr>mailto:carlsonm@pdx.edu</vt:lpwstr>
      </vt:variant>
      <vt:variant>
        <vt:lpwstr/>
      </vt:variant>
      <vt:variant>
        <vt:i4>983165</vt:i4>
      </vt:variant>
      <vt:variant>
        <vt:i4>3</vt:i4>
      </vt:variant>
      <vt:variant>
        <vt:i4>0</vt:i4>
      </vt:variant>
      <vt:variant>
        <vt:i4>5</vt:i4>
      </vt:variant>
      <vt:variant>
        <vt:lpwstr>mailto:Bill.Wright@providence.org</vt:lpwstr>
      </vt:variant>
      <vt:variant>
        <vt:lpwstr/>
      </vt:variant>
      <vt:variant>
        <vt:i4>983165</vt:i4>
      </vt:variant>
      <vt:variant>
        <vt:i4>0</vt:i4>
      </vt:variant>
      <vt:variant>
        <vt:i4>0</vt:i4>
      </vt:variant>
      <vt:variant>
        <vt:i4>5</vt:i4>
      </vt:variant>
      <vt:variant>
        <vt:lpwstr>mailto:Bill.Wright@providence.org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2024-2025 Spending Floor Announcement</dc:title>
  <dc:creator>Oregon Health Authority</dc:creator>
  <dc:description>Revised 1-13-11</dc:description>
  <cp:lastModifiedBy>Grabe Sarah</cp:lastModifiedBy>
  <cp:revision>3</cp:revision>
  <cp:lastPrinted>2023-01-11T19:21:00Z</cp:lastPrinted>
  <dcterms:created xsi:type="dcterms:W3CDTF">2023-01-11T19:20:00Z</dcterms:created>
  <dcterms:modified xsi:type="dcterms:W3CDTF">2023-01-11T19:32:00Z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0x010100FCDC4B8C14A3B7408F81BF48727D0045</vt:lpwstr>
  </property>
  <property fmtid="{D5CDD505-2E9C-101B-9397-08002B2CF9AE}" pid="3" name="WorkflowChangePath">
    <vt:lpwstr>925215f5-828f-4fe0-a372-d36dd1ddd0c5,3;</vt:lpwstr>
  </property>
</Properties>
</file>