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2553A" w14:textId="297EEDA0" w:rsidR="00494065" w:rsidRPr="00ED637E" w:rsidRDefault="00494065" w:rsidP="002D5EAA">
      <w:pPr>
        <w:pStyle w:val="CGTitle"/>
      </w:pPr>
      <w:r w:rsidRPr="00ED637E">
        <w:t>Health Evidence Review Commission (HERC)</w:t>
      </w:r>
    </w:p>
    <w:p w14:paraId="5A2C8310" w14:textId="3095C437" w:rsidR="00494065" w:rsidRDefault="00494065" w:rsidP="002D5EAA">
      <w:pPr>
        <w:pStyle w:val="Heading1"/>
        <w:jc w:val="center"/>
      </w:pPr>
      <w:bookmarkStart w:id="0" w:name="_Toc72335259"/>
      <w:bookmarkStart w:id="1" w:name="_Toc87358429"/>
      <w:r w:rsidRPr="00662D05">
        <w:t>Coverage Guidance:</w:t>
      </w:r>
      <w:r>
        <w:t xml:space="preserve"> High</w:t>
      </w:r>
      <w:r w:rsidR="00354EEC">
        <w:t>-</w:t>
      </w:r>
      <w:r>
        <w:t>Frequency Chest Wall Oscillation Devices</w:t>
      </w:r>
      <w:bookmarkEnd w:id="0"/>
      <w:bookmarkEnd w:id="1"/>
    </w:p>
    <w:p w14:paraId="78ACD35A" w14:textId="31A27B0B" w:rsidR="00494065" w:rsidRPr="00230980" w:rsidRDefault="00843210" w:rsidP="002D5EAA">
      <w:pPr>
        <w:pStyle w:val="HERCSubtitle-Red"/>
      </w:pPr>
      <w:r w:rsidRPr="00843210">
        <w:t xml:space="preserve">DRAFT </w:t>
      </w:r>
      <w:r w:rsidR="00D75A3D">
        <w:t>for HERC meeting 8/11/2022</w:t>
      </w:r>
    </w:p>
    <w:tbl>
      <w:tblPr>
        <w:tblW w:w="0" w:type="auto"/>
        <w:tblBorders>
          <w:insideH w:val="thinThickSmallGap" w:sz="12" w:space="0" w:color="002060"/>
          <w:insideV w:val="thinThickSmallGap" w:sz="12" w:space="0" w:color="002060"/>
        </w:tblBorders>
        <w:shd w:val="clear" w:color="auto" w:fill="C6D9F1"/>
        <w:tblCellMar>
          <w:top w:w="144" w:type="dxa"/>
          <w:left w:w="144" w:type="dxa"/>
          <w:bottom w:w="144" w:type="dxa"/>
          <w:right w:w="144" w:type="dxa"/>
        </w:tblCellMar>
        <w:tblLook w:val="04A0" w:firstRow="1" w:lastRow="0" w:firstColumn="1" w:lastColumn="0" w:noHBand="0" w:noVBand="1"/>
      </w:tblPr>
      <w:tblGrid>
        <w:gridCol w:w="9360"/>
      </w:tblGrid>
      <w:tr w:rsidR="00494065" w:rsidRPr="00C173F9" w14:paraId="64887221" w14:textId="77777777" w:rsidTr="4B26DE50">
        <w:tc>
          <w:tcPr>
            <w:tcW w:w="9360" w:type="dxa"/>
            <w:shd w:val="clear" w:color="auto" w:fill="C6D9F1"/>
          </w:tcPr>
          <w:p w14:paraId="19351C08" w14:textId="77777777" w:rsidR="00494065" w:rsidRPr="000F4988" w:rsidRDefault="00494065" w:rsidP="002D5EAA">
            <w:pPr>
              <w:pStyle w:val="CGBoxHeader"/>
            </w:pPr>
            <w:r w:rsidRPr="000F4988">
              <w:t>HERC Coverage Guidance</w:t>
            </w:r>
          </w:p>
          <w:p w14:paraId="2B45B565" w14:textId="3961D5C9" w:rsidR="00977018" w:rsidRPr="0093221D" w:rsidRDefault="00977018" w:rsidP="00843210">
            <w:pPr>
              <w:pStyle w:val="CGBoxText"/>
              <w:spacing w:after="0"/>
            </w:pPr>
            <w:r>
              <w:t xml:space="preserve">High-frequency chest wall oscillation devices </w:t>
            </w:r>
            <w:r w:rsidDel="005B6FDE">
              <w:t xml:space="preserve">are </w:t>
            </w:r>
            <w:r>
              <w:t>recommended for coverage for patients with cystic fibrosis (</w:t>
            </w:r>
            <w:r w:rsidRPr="002866F7">
              <w:rPr>
                <w:i/>
                <w:iCs/>
              </w:rPr>
              <w:t>weak recommendation</w:t>
            </w:r>
            <w:r w:rsidRPr="0093221D">
              <w:t>)</w:t>
            </w:r>
            <w:r>
              <w:t xml:space="preserve"> </w:t>
            </w:r>
            <w:r w:rsidRPr="00CC6296">
              <w:t xml:space="preserve">when there </w:t>
            </w:r>
            <w:r>
              <w:t>is documentation of</w:t>
            </w:r>
            <w:r w:rsidRPr="00CC6296">
              <w:t xml:space="preserve"> frequent exacerbations </w:t>
            </w:r>
            <w:r>
              <w:t>requiring antibiotics, frequent hospitalization, or rapidly declining lung function measured by spirometry</w:t>
            </w:r>
            <w:r w:rsidR="007452F0">
              <w:t>,</w:t>
            </w:r>
            <w:r>
              <w:t xml:space="preserve"> </w:t>
            </w:r>
            <w:r w:rsidRPr="00CC6296">
              <w:t>despite</w:t>
            </w:r>
            <w:r>
              <w:t xml:space="preserve"> eithe</w:t>
            </w:r>
            <w:r w:rsidR="00753C52">
              <w:t>r</w:t>
            </w:r>
            <w:r>
              <w:t>:</w:t>
            </w:r>
          </w:p>
          <w:p w14:paraId="2C4C9D63" w14:textId="6FFF27D7" w:rsidR="00977018" w:rsidRPr="007F005E" w:rsidRDefault="004C56E3" w:rsidP="007F005E">
            <w:pPr>
              <w:pStyle w:val="CGBoxText"/>
              <w:spacing w:after="0"/>
              <w:ind w:left="750" w:hanging="450"/>
            </w:pPr>
            <w:r>
              <w:t xml:space="preserve">A)      </w:t>
            </w:r>
            <w:r w:rsidR="007F005E">
              <w:t xml:space="preserve">having received </w:t>
            </w:r>
            <w:r w:rsidR="00977018">
              <w:t xml:space="preserve">chest physiotherapy and positive expiratory pressure </w:t>
            </w:r>
            <w:r w:rsidR="005D3ECF">
              <w:t>therapy,</w:t>
            </w:r>
            <w:r w:rsidR="00977018">
              <w:t xml:space="preserve"> OR</w:t>
            </w:r>
          </w:p>
          <w:p w14:paraId="692018AC" w14:textId="6F3B7FFA" w:rsidR="004C56E3" w:rsidRDefault="004C56E3" w:rsidP="1360CE00">
            <w:pPr>
              <w:pStyle w:val="CGBoxText"/>
              <w:spacing w:after="0"/>
              <w:ind w:left="840" w:hanging="540"/>
              <w:rPr>
                <w:rStyle w:val="eop"/>
              </w:rPr>
            </w:pPr>
            <w:r>
              <w:t xml:space="preserve">B)      </w:t>
            </w:r>
            <w:r w:rsidR="00977018">
              <w:t xml:space="preserve">documentation that </w:t>
            </w:r>
            <w:r w:rsidR="00590A37" w:rsidRPr="1360CE00">
              <w:t>such therapies are not tolerated, contraindicated, not effective, or not available (for example, inability of a caregiver to perform chest physiotherapy).</w:t>
            </w:r>
            <w:r w:rsidR="00590A37" w:rsidRPr="1360CE00">
              <w:rPr>
                <w:rStyle w:val="eop"/>
              </w:rPr>
              <w:t> </w:t>
            </w:r>
          </w:p>
          <w:p w14:paraId="70064B29" w14:textId="77777777" w:rsidR="008574DE" w:rsidRPr="00CB30F9" w:rsidRDefault="008574DE" w:rsidP="00CB30F9">
            <w:pPr>
              <w:pStyle w:val="CGBoxText"/>
              <w:spacing w:after="0"/>
            </w:pPr>
          </w:p>
          <w:p w14:paraId="1D09CC54" w14:textId="77777777" w:rsidR="00590A37" w:rsidRPr="00D42AC8" w:rsidRDefault="00590A37" w:rsidP="00590A37">
            <w:pPr>
              <w:pStyle w:val="paragraph"/>
              <w:spacing w:before="0" w:beforeAutospacing="0" w:after="0" w:afterAutospacing="0"/>
              <w:textAlignment w:val="baseline"/>
              <w:rPr>
                <w:rFonts w:eastAsia="Calibri" w:cs="Arial"/>
                <w:color w:val="244061"/>
                <w:szCs w:val="24"/>
              </w:rPr>
            </w:pPr>
            <w:bookmarkStart w:id="2" w:name="_Hlk86757885"/>
            <w:r w:rsidRPr="00D42AC8">
              <w:rPr>
                <w:rFonts w:eastAsia="Calibri" w:cs="Arial"/>
                <w:color w:val="244061"/>
                <w:szCs w:val="24"/>
              </w:rPr>
              <w:t xml:space="preserve">High-frequency chest wall oscillation devices are recommended for coverage for patients with non–cystic fibrosis bronchiectasis </w:t>
            </w:r>
            <w:r w:rsidRPr="00564A86">
              <w:rPr>
                <w:rFonts w:eastAsia="Calibri" w:cs="Arial"/>
                <w:i/>
                <w:iCs/>
                <w:color w:val="244061"/>
                <w:szCs w:val="24"/>
              </w:rPr>
              <w:t>(weak recommendation)</w:t>
            </w:r>
            <w:r w:rsidRPr="00D42AC8">
              <w:rPr>
                <w:rFonts w:eastAsia="Calibri" w:cs="Arial"/>
                <w:color w:val="244061"/>
                <w:szCs w:val="24"/>
              </w:rPr>
              <w:t xml:space="preserve"> when the 3 criteria below are met: </w:t>
            </w:r>
          </w:p>
          <w:p w14:paraId="1BF07461" w14:textId="77777777" w:rsidR="00590A37" w:rsidRPr="00F37108" w:rsidRDefault="00590A37" w:rsidP="00590A37">
            <w:pPr>
              <w:pStyle w:val="paragraph"/>
              <w:numPr>
                <w:ilvl w:val="0"/>
                <w:numId w:val="42"/>
              </w:numPr>
              <w:spacing w:before="0" w:beforeAutospacing="0" w:after="0" w:afterAutospacing="0"/>
              <w:textAlignment w:val="baseline"/>
              <w:rPr>
                <w:rFonts w:eastAsia="Calibri" w:cs="Arial"/>
                <w:color w:val="244061"/>
                <w:szCs w:val="24"/>
              </w:rPr>
            </w:pPr>
            <w:r w:rsidRPr="00F37108">
              <w:rPr>
                <w:rFonts w:eastAsia="Calibri" w:cs="Arial"/>
                <w:color w:val="244061"/>
                <w:szCs w:val="24"/>
              </w:rPr>
              <w:t>The bronchiectasis is confirmed by computed tomography (CT) scan, AND </w:t>
            </w:r>
          </w:p>
          <w:p w14:paraId="72AD7A1D" w14:textId="77777777" w:rsidR="00590A37" w:rsidRPr="00F37108" w:rsidRDefault="00590A37" w:rsidP="00590A37">
            <w:pPr>
              <w:pStyle w:val="paragraph"/>
              <w:numPr>
                <w:ilvl w:val="0"/>
                <w:numId w:val="42"/>
              </w:numPr>
              <w:spacing w:before="0" w:beforeAutospacing="0" w:after="0" w:afterAutospacing="0"/>
              <w:textAlignment w:val="baseline"/>
              <w:rPr>
                <w:rFonts w:eastAsia="Calibri" w:cs="Arial"/>
                <w:color w:val="244061"/>
                <w:szCs w:val="24"/>
              </w:rPr>
            </w:pPr>
            <w:r w:rsidRPr="00F37108">
              <w:rPr>
                <w:rFonts w:eastAsia="Calibri" w:cs="Arial"/>
                <w:color w:val="244061"/>
                <w:szCs w:val="24"/>
              </w:rPr>
              <w:t>The patient has experienced either: </w:t>
            </w:r>
          </w:p>
          <w:p w14:paraId="4E797C57" w14:textId="77777777" w:rsidR="00F37108" w:rsidRPr="00F37108" w:rsidRDefault="00F37108" w:rsidP="00F37108">
            <w:pPr>
              <w:pStyle w:val="paragraph"/>
              <w:numPr>
                <w:ilvl w:val="1"/>
                <w:numId w:val="42"/>
              </w:numPr>
              <w:spacing w:before="0" w:beforeAutospacing="0" w:after="0" w:afterAutospacing="0"/>
              <w:textAlignment w:val="baseline"/>
              <w:rPr>
                <w:rFonts w:eastAsia="Calibri" w:cs="Arial"/>
                <w:color w:val="244061"/>
                <w:szCs w:val="24"/>
              </w:rPr>
            </w:pPr>
            <w:r w:rsidRPr="00F37108">
              <w:rPr>
                <w:rFonts w:eastAsia="Calibri" w:cs="Arial"/>
                <w:color w:val="244061"/>
                <w:szCs w:val="24"/>
              </w:rPr>
              <w:t>Daily productive cough for at least 6 continuous months, OR  </w:t>
            </w:r>
          </w:p>
          <w:p w14:paraId="27DE27F1" w14:textId="6501EECD" w:rsidR="00F37108" w:rsidRDefault="00F37108" w:rsidP="00F37108">
            <w:pPr>
              <w:pStyle w:val="paragraph"/>
              <w:numPr>
                <w:ilvl w:val="1"/>
                <w:numId w:val="42"/>
              </w:numPr>
              <w:spacing w:before="0" w:beforeAutospacing="0" w:after="0" w:afterAutospacing="0"/>
              <w:textAlignment w:val="baseline"/>
              <w:rPr>
                <w:rStyle w:val="eop"/>
              </w:rPr>
            </w:pPr>
            <w:r>
              <w:rPr>
                <w:rFonts w:eastAsia="Calibri" w:cs="Arial"/>
                <w:color w:val="244061"/>
                <w:szCs w:val="24"/>
              </w:rPr>
              <w:t>Frequent (</w:t>
            </w:r>
            <w:r w:rsidRPr="00F37108">
              <w:rPr>
                <w:rFonts w:eastAsia="Calibri" w:cs="Arial"/>
                <w:color w:val="244061"/>
                <w:szCs w:val="24"/>
              </w:rPr>
              <w:t>&gt; 2 times a year) exacerbations requiring antibiotic therapy</w:t>
            </w:r>
            <w:r>
              <w:rPr>
                <w:rFonts w:eastAsia="Calibri" w:cs="Arial"/>
                <w:color w:val="244061"/>
                <w:szCs w:val="24"/>
              </w:rPr>
              <w:t xml:space="preserve">, </w:t>
            </w:r>
            <w:r w:rsidRPr="00F37108">
              <w:rPr>
                <w:rFonts w:eastAsia="Calibri" w:cs="Arial"/>
                <w:i/>
                <w:iCs/>
                <w:color w:val="244061"/>
                <w:szCs w:val="24"/>
              </w:rPr>
              <w:t>AND</w:t>
            </w:r>
            <w:r w:rsidRPr="00F37108">
              <w:rPr>
                <w:rStyle w:val="eop"/>
                <w:i/>
                <w:iCs/>
              </w:rPr>
              <w:t> </w:t>
            </w:r>
          </w:p>
          <w:p w14:paraId="03D7C02C" w14:textId="2999C5E3" w:rsidR="00F37108" w:rsidRDefault="00F37108" w:rsidP="4B26DE50">
            <w:pPr>
              <w:pStyle w:val="paragraph"/>
              <w:numPr>
                <w:ilvl w:val="0"/>
                <w:numId w:val="42"/>
              </w:numPr>
              <w:spacing w:before="0" w:beforeAutospacing="0" w:after="0" w:afterAutospacing="0"/>
              <w:rPr>
                <w:rFonts w:eastAsia="Calibri" w:cs="Arial"/>
                <w:color w:val="244061"/>
              </w:rPr>
            </w:pPr>
            <w:r w:rsidRPr="4B26DE50">
              <w:rPr>
                <w:rFonts w:eastAsia="Calibri" w:cs="Arial"/>
                <w:color w:val="244061"/>
              </w:rPr>
              <w:t>The</w:t>
            </w:r>
            <w:r w:rsidRPr="4B26DE50">
              <w:rPr>
                <w:rStyle w:val="eop"/>
              </w:rPr>
              <w:t xml:space="preserve"> </w:t>
            </w:r>
            <w:r w:rsidR="00590A37" w:rsidRPr="4B26DE50">
              <w:rPr>
                <w:rFonts w:eastAsia="Calibri" w:cs="Arial"/>
                <w:color w:val="244061"/>
              </w:rPr>
              <w:t xml:space="preserve">patient has </w:t>
            </w:r>
            <w:r w:rsidR="4B26DE50" w:rsidRPr="4B26DE50">
              <w:rPr>
                <w:rFonts w:eastAsia="Calibri" w:cs="Arial"/>
                <w:color w:val="244061"/>
              </w:rPr>
              <w:t xml:space="preserve">received mucolytics and less costly airway clearance treatments </w:t>
            </w:r>
            <w:r w:rsidR="00AA57B1">
              <w:rPr>
                <w:rFonts w:eastAsia="Calibri" w:cs="Arial"/>
                <w:color w:val="244061"/>
              </w:rPr>
              <w:t>(for example</w:t>
            </w:r>
            <w:r w:rsidR="4B26DE50" w:rsidRPr="4B26DE50">
              <w:rPr>
                <w:rFonts w:eastAsia="Calibri" w:cs="Arial"/>
                <w:color w:val="244061"/>
              </w:rPr>
              <w:t>, chest physiotherapy, positive expiratory pressure therapy, self-management techniques) OR such therapies are not tolerated, contraindicated, not effective, or not available (</w:t>
            </w:r>
            <w:r w:rsidR="00050819">
              <w:rPr>
                <w:rFonts w:eastAsia="Calibri" w:cs="Arial"/>
                <w:color w:val="244061"/>
              </w:rPr>
              <w:t>for example</w:t>
            </w:r>
            <w:r w:rsidR="4B26DE50" w:rsidRPr="4B26DE50">
              <w:rPr>
                <w:rFonts w:eastAsia="Calibri" w:cs="Arial"/>
                <w:color w:val="244061"/>
              </w:rPr>
              <w:t>, inability of a caregiver to perform chest physiotherapy).</w:t>
            </w:r>
          </w:p>
          <w:p w14:paraId="61B86033" w14:textId="77777777" w:rsidR="00590A37" w:rsidRPr="0093221D" w:rsidRDefault="00590A37" w:rsidP="00590A37">
            <w:pPr>
              <w:pStyle w:val="CGBoxText"/>
              <w:spacing w:after="0"/>
            </w:pPr>
          </w:p>
          <w:bookmarkEnd w:id="2"/>
          <w:p w14:paraId="593844D7" w14:textId="307E88D9" w:rsidR="008518AE" w:rsidRPr="0093221D" w:rsidRDefault="0087252D" w:rsidP="00843210">
            <w:pPr>
              <w:pStyle w:val="CGBoxText"/>
              <w:spacing w:after="0"/>
            </w:pPr>
            <w:r w:rsidRPr="0093221D">
              <w:t xml:space="preserve">High-frequency chest wall oscillation devices </w:t>
            </w:r>
            <w:r w:rsidRPr="0093221D" w:rsidDel="005B6FDE">
              <w:t xml:space="preserve">are </w:t>
            </w:r>
            <w:r w:rsidRPr="0093221D">
              <w:t xml:space="preserve">recommended for coverage for patients with </w:t>
            </w:r>
            <w:r w:rsidR="008518AE" w:rsidRPr="0093221D">
              <w:t>neuromuscular disease resulting in chronic lung disease (</w:t>
            </w:r>
            <w:r w:rsidR="008518AE" w:rsidRPr="00E1521A">
              <w:rPr>
                <w:i/>
                <w:iCs/>
              </w:rPr>
              <w:t>weak recommendation</w:t>
            </w:r>
            <w:r w:rsidR="008518AE" w:rsidRPr="0093221D">
              <w:t xml:space="preserve">) when </w:t>
            </w:r>
            <w:r w:rsidR="00C01888" w:rsidRPr="0093221D">
              <w:t>t</w:t>
            </w:r>
            <w:r w:rsidR="008518AE" w:rsidRPr="0093221D">
              <w:t>here is evidence of chronic lung infection, despite either:</w:t>
            </w:r>
          </w:p>
          <w:p w14:paraId="5EB5E470" w14:textId="0FF0BFDB" w:rsidR="008518AE" w:rsidRPr="0093221D" w:rsidRDefault="004C56E3" w:rsidP="00167A24">
            <w:pPr>
              <w:pStyle w:val="CGBoxText"/>
              <w:spacing w:after="0"/>
              <w:ind w:left="750" w:hanging="450"/>
            </w:pPr>
            <w:r w:rsidRPr="0093221D">
              <w:t xml:space="preserve">A)    </w:t>
            </w:r>
            <w:r w:rsidR="007F005E" w:rsidRPr="0093221D">
              <w:t xml:space="preserve">having received </w:t>
            </w:r>
            <w:r w:rsidR="008518AE" w:rsidRPr="0093221D">
              <w:t>chest physiotherapy and positive expiratory</w:t>
            </w:r>
            <w:r w:rsidRPr="0093221D">
              <w:t xml:space="preserve"> </w:t>
            </w:r>
            <w:r w:rsidR="008518AE" w:rsidRPr="0093221D">
              <w:t xml:space="preserve">pressure </w:t>
            </w:r>
            <w:r w:rsidR="005D3ECF" w:rsidRPr="0093221D">
              <w:t>therapy,</w:t>
            </w:r>
            <w:r w:rsidR="008518AE" w:rsidRPr="0093221D">
              <w:t xml:space="preserve"> OR</w:t>
            </w:r>
          </w:p>
          <w:p w14:paraId="6DD7E712" w14:textId="1EE651A0" w:rsidR="004C56E3" w:rsidRDefault="004C56E3" w:rsidP="1360CE00">
            <w:pPr>
              <w:pStyle w:val="CGBoxText"/>
              <w:spacing w:after="0"/>
              <w:ind w:left="750" w:hanging="450"/>
              <w:rPr>
                <w:rStyle w:val="eop"/>
              </w:rPr>
            </w:pPr>
            <w:r>
              <w:t xml:space="preserve">B)    </w:t>
            </w:r>
            <w:r w:rsidR="008518AE">
              <w:t xml:space="preserve">documentation that </w:t>
            </w:r>
            <w:r w:rsidR="00590A37" w:rsidRPr="1360CE00">
              <w:t>such therapies are not tolerated, contraindicated, not effective, or not available (for example, inability of a caregiver to perform chest physiotherapy).</w:t>
            </w:r>
            <w:r w:rsidR="00590A37" w:rsidRPr="1360CE00">
              <w:rPr>
                <w:rStyle w:val="eop"/>
              </w:rPr>
              <w:t> </w:t>
            </w:r>
          </w:p>
          <w:p w14:paraId="70F7BD14" w14:textId="77777777" w:rsidR="003613A0" w:rsidRPr="0093221D" w:rsidRDefault="003613A0" w:rsidP="003613A0">
            <w:pPr>
              <w:pStyle w:val="CGBoxText"/>
              <w:spacing w:after="0"/>
              <w:ind w:left="750" w:hanging="450"/>
            </w:pPr>
          </w:p>
          <w:p w14:paraId="39148D95" w14:textId="75A9A4E4" w:rsidR="00494065" w:rsidRPr="00C173F9" w:rsidRDefault="00977018" w:rsidP="007133ED">
            <w:pPr>
              <w:pStyle w:val="CGBoxText"/>
              <w:spacing w:after="0"/>
            </w:pPr>
            <w:r>
              <w:t>High-frequency chest wall oscillation devices are not recommended for coverage for patients with chronic obstructive pulmonary disease</w:t>
            </w:r>
            <w:r w:rsidR="0093221D">
              <w:t xml:space="preserve"> </w:t>
            </w:r>
            <w:r w:rsidRPr="00173CE0">
              <w:rPr>
                <w:i/>
                <w:iCs/>
              </w:rPr>
              <w:t>(weak recommendation)</w:t>
            </w:r>
            <w:r>
              <w:t>.</w:t>
            </w:r>
          </w:p>
        </w:tc>
      </w:tr>
    </w:tbl>
    <w:p w14:paraId="0BBB8127" w14:textId="38700D12" w:rsidR="00494065" w:rsidRDefault="00494065" w:rsidP="00CB30F9">
      <w:pPr>
        <w:spacing w:before="120"/>
        <w:sectPr w:rsidR="00494065" w:rsidSect="002D5EAA">
          <w:headerReference w:type="default" r:id="rId11"/>
          <w:footerReference w:type="default" r:id="rId12"/>
          <w:pgSz w:w="12240" w:h="15840"/>
          <w:pgMar w:top="1440" w:right="1440" w:bottom="1440" w:left="1440" w:header="720" w:footer="720" w:gutter="0"/>
          <w:cols w:space="720"/>
          <w:docGrid w:linePitch="360"/>
        </w:sectPr>
      </w:pPr>
      <w:r w:rsidRPr="00CB30F9">
        <w:rPr>
          <w:rFonts w:cs="Times New Roman"/>
          <w:i/>
        </w:rPr>
        <w:t>Note</w:t>
      </w:r>
      <w:r w:rsidR="00BA21E0">
        <w:rPr>
          <w:rFonts w:cs="Times New Roman"/>
          <w:i/>
          <w:iCs/>
        </w:rPr>
        <w:t>.</w:t>
      </w:r>
      <w:r w:rsidRPr="00CB30F9">
        <w:rPr>
          <w:rFonts w:cs="Times New Roman"/>
          <w:i/>
        </w:rPr>
        <w:t xml:space="preserve"> Definitions for strength of recommendation are in Appendix A</w:t>
      </w:r>
      <w:r w:rsidR="00197ADD" w:rsidRPr="00CB30F9">
        <w:rPr>
          <w:rFonts w:cs="Times New Roman"/>
          <w:i/>
        </w:rPr>
        <w:t>,</w:t>
      </w:r>
      <w:r w:rsidRPr="00CB30F9">
        <w:rPr>
          <w:rFonts w:cs="Times New Roman"/>
          <w:i/>
        </w:rPr>
        <w:t xml:space="preserve"> </w:t>
      </w:r>
      <w:r w:rsidRPr="000C2467">
        <w:rPr>
          <w:rFonts w:cs="Times New Roman"/>
          <w:i/>
        </w:rPr>
        <w:t>GRADE Table Element Description</w:t>
      </w:r>
      <w:r>
        <w:rPr>
          <w:rFonts w:cs="Times New Roman"/>
          <w:i/>
        </w:rPr>
        <w:t>s</w:t>
      </w:r>
      <w:r w:rsidRPr="00CB30F9">
        <w:rPr>
          <w:rFonts w:cs="Times New Roman"/>
          <w:i/>
        </w:rPr>
        <w:t>.</w:t>
      </w:r>
      <w:r w:rsidR="007452F0" w:rsidRPr="00CB30F9">
        <w:rPr>
          <w:rFonts w:cs="Times New Roman"/>
          <w:i/>
          <w:iCs/>
        </w:rPr>
        <w:br/>
      </w:r>
      <w:r w:rsidRPr="00CB30F9">
        <w:rPr>
          <w:rFonts w:cs="Times New Roman"/>
          <w:i/>
        </w:rPr>
        <w:t>Rationales for each recommendation appear below in the GRADE table</w:t>
      </w:r>
      <w:r w:rsidRPr="000C2467">
        <w:rPr>
          <w:rFonts w:cs="Times New Roman"/>
        </w:rPr>
        <w:t>.</w:t>
      </w:r>
    </w:p>
    <w:p w14:paraId="5F2E69B8" w14:textId="77777777" w:rsidR="0093221D" w:rsidRDefault="0093221D">
      <w:pPr>
        <w:spacing w:after="160"/>
        <w:rPr>
          <w:rFonts w:ascii="Cambria" w:hAnsi="Cambria"/>
          <w:b/>
          <w:color w:val="244061"/>
          <w:sz w:val="24"/>
          <w:szCs w:val="24"/>
        </w:rPr>
      </w:pPr>
      <w:r>
        <w:br w:type="page"/>
      </w:r>
    </w:p>
    <w:p w14:paraId="335659A9" w14:textId="77777777" w:rsidR="00494065" w:rsidRDefault="00494065" w:rsidP="002D5EAA">
      <w:pPr>
        <w:pStyle w:val="TableofContents"/>
      </w:pPr>
      <w:r w:rsidRPr="002574CC">
        <w:lastRenderedPageBreak/>
        <w:t>Table of Contents</w:t>
      </w:r>
    </w:p>
    <w:p w14:paraId="1542498F" w14:textId="68F3A32B" w:rsidR="00CB30F9" w:rsidRDefault="00494065">
      <w:pPr>
        <w:pStyle w:val="TOC1"/>
        <w:rPr>
          <w:noProof/>
          <w:szCs w:val="22"/>
        </w:rPr>
      </w:pPr>
      <w:r>
        <w:rPr>
          <w:rFonts w:ascii="Cambria" w:hAnsi="Cambria"/>
        </w:rPr>
        <w:fldChar w:fldCharType="begin"/>
      </w:r>
      <w:r>
        <w:rPr>
          <w:rFonts w:ascii="Cambria" w:hAnsi="Cambria"/>
        </w:rPr>
        <w:instrText xml:space="preserve"> TOC \o "2-2" \t "Heading 1,1,H1 NoBK,1,H2 NoBK,2" </w:instrText>
      </w:r>
      <w:r>
        <w:rPr>
          <w:rFonts w:ascii="Cambria" w:hAnsi="Cambria"/>
        </w:rPr>
        <w:fldChar w:fldCharType="separate"/>
      </w:r>
      <w:r w:rsidR="00CB30F9">
        <w:rPr>
          <w:noProof/>
        </w:rPr>
        <w:t>Coverage Guidance: High-Frequency Chest Wall Oscillation Devices</w:t>
      </w:r>
      <w:r w:rsidR="00CB30F9">
        <w:rPr>
          <w:noProof/>
        </w:rPr>
        <w:tab/>
      </w:r>
      <w:r w:rsidR="00CB30F9">
        <w:rPr>
          <w:noProof/>
        </w:rPr>
        <w:fldChar w:fldCharType="begin"/>
      </w:r>
      <w:r w:rsidR="00CB30F9">
        <w:rPr>
          <w:noProof/>
        </w:rPr>
        <w:instrText xml:space="preserve"> PAGEREF _Toc87358429 \h </w:instrText>
      </w:r>
      <w:r w:rsidR="00CB30F9">
        <w:rPr>
          <w:noProof/>
        </w:rPr>
      </w:r>
      <w:r w:rsidR="00CB30F9">
        <w:rPr>
          <w:noProof/>
        </w:rPr>
        <w:fldChar w:fldCharType="separate"/>
      </w:r>
      <w:r w:rsidR="00BD2614">
        <w:rPr>
          <w:noProof/>
        </w:rPr>
        <w:t>1</w:t>
      </w:r>
      <w:r w:rsidR="00CB30F9">
        <w:rPr>
          <w:noProof/>
        </w:rPr>
        <w:fldChar w:fldCharType="end"/>
      </w:r>
    </w:p>
    <w:p w14:paraId="2B0CA155" w14:textId="328E52E9" w:rsidR="00CB30F9" w:rsidRDefault="00CB30F9">
      <w:pPr>
        <w:pStyle w:val="TOC1"/>
        <w:rPr>
          <w:noProof/>
          <w:szCs w:val="22"/>
        </w:rPr>
      </w:pPr>
      <w:r>
        <w:rPr>
          <w:noProof/>
        </w:rPr>
        <w:t>Rationale for development of coverage guidances and multisector intervention reports</w:t>
      </w:r>
      <w:r>
        <w:rPr>
          <w:noProof/>
        </w:rPr>
        <w:tab/>
      </w:r>
      <w:r>
        <w:rPr>
          <w:noProof/>
        </w:rPr>
        <w:fldChar w:fldCharType="begin"/>
      </w:r>
      <w:r>
        <w:rPr>
          <w:noProof/>
        </w:rPr>
        <w:instrText xml:space="preserve"> PAGEREF _Toc87358430 \h </w:instrText>
      </w:r>
      <w:r>
        <w:rPr>
          <w:noProof/>
        </w:rPr>
      </w:r>
      <w:r>
        <w:rPr>
          <w:noProof/>
        </w:rPr>
        <w:fldChar w:fldCharType="separate"/>
      </w:r>
      <w:r w:rsidR="00BD2614">
        <w:rPr>
          <w:noProof/>
        </w:rPr>
        <w:t>3</w:t>
      </w:r>
      <w:r>
        <w:rPr>
          <w:noProof/>
        </w:rPr>
        <w:fldChar w:fldCharType="end"/>
      </w:r>
    </w:p>
    <w:p w14:paraId="1E95FE11" w14:textId="02D773DF" w:rsidR="00CB30F9" w:rsidRDefault="00CB30F9">
      <w:pPr>
        <w:pStyle w:val="TOC1"/>
        <w:rPr>
          <w:noProof/>
          <w:szCs w:val="22"/>
        </w:rPr>
      </w:pPr>
      <w:r>
        <w:rPr>
          <w:noProof/>
        </w:rPr>
        <w:t>GRADE Tables</w:t>
      </w:r>
      <w:r>
        <w:rPr>
          <w:noProof/>
        </w:rPr>
        <w:tab/>
      </w:r>
      <w:r>
        <w:rPr>
          <w:noProof/>
        </w:rPr>
        <w:fldChar w:fldCharType="begin"/>
      </w:r>
      <w:r>
        <w:rPr>
          <w:noProof/>
        </w:rPr>
        <w:instrText xml:space="preserve"> PAGEREF _Toc87358431 \h </w:instrText>
      </w:r>
      <w:r>
        <w:rPr>
          <w:noProof/>
        </w:rPr>
      </w:r>
      <w:r>
        <w:rPr>
          <w:noProof/>
        </w:rPr>
        <w:fldChar w:fldCharType="separate"/>
      </w:r>
      <w:r w:rsidR="00BD2614">
        <w:rPr>
          <w:noProof/>
        </w:rPr>
        <w:t>5</w:t>
      </w:r>
      <w:r>
        <w:rPr>
          <w:noProof/>
        </w:rPr>
        <w:fldChar w:fldCharType="end"/>
      </w:r>
    </w:p>
    <w:p w14:paraId="7B4090E3" w14:textId="6CA3CFBA" w:rsidR="00CB30F9" w:rsidRDefault="00CB30F9">
      <w:pPr>
        <w:pStyle w:val="TOC2"/>
        <w:tabs>
          <w:tab w:val="right" w:leader="dot" w:pos="9350"/>
        </w:tabs>
        <w:rPr>
          <w:noProof/>
        </w:rPr>
      </w:pPr>
      <w:r>
        <w:rPr>
          <w:noProof/>
        </w:rPr>
        <w:t>Should high-frequency chest wall oscillation devices be recommended for coverage for children and adults with cystic fibrosis?</w:t>
      </w:r>
      <w:r>
        <w:rPr>
          <w:noProof/>
        </w:rPr>
        <w:tab/>
      </w:r>
      <w:r>
        <w:rPr>
          <w:noProof/>
        </w:rPr>
        <w:fldChar w:fldCharType="begin"/>
      </w:r>
      <w:r>
        <w:rPr>
          <w:noProof/>
        </w:rPr>
        <w:instrText xml:space="preserve"> PAGEREF _Toc87358432 \h </w:instrText>
      </w:r>
      <w:r>
        <w:rPr>
          <w:noProof/>
        </w:rPr>
      </w:r>
      <w:r>
        <w:rPr>
          <w:noProof/>
        </w:rPr>
        <w:fldChar w:fldCharType="separate"/>
      </w:r>
      <w:r w:rsidR="00BD2614">
        <w:rPr>
          <w:noProof/>
        </w:rPr>
        <w:t>5</w:t>
      </w:r>
      <w:r>
        <w:rPr>
          <w:noProof/>
        </w:rPr>
        <w:fldChar w:fldCharType="end"/>
      </w:r>
    </w:p>
    <w:p w14:paraId="770355F0" w14:textId="359F9DEC" w:rsidR="00CB30F9" w:rsidRDefault="00CB30F9">
      <w:pPr>
        <w:pStyle w:val="TOC2"/>
        <w:tabs>
          <w:tab w:val="right" w:leader="dot" w:pos="9350"/>
        </w:tabs>
        <w:rPr>
          <w:noProof/>
        </w:rPr>
      </w:pPr>
      <w:r>
        <w:rPr>
          <w:noProof/>
        </w:rPr>
        <w:t>Should high-frequency chest wall oscillation devices be recommended for coverage for children and adults with non–cystic fibrosis bronchiectasis?</w:t>
      </w:r>
      <w:r>
        <w:rPr>
          <w:noProof/>
        </w:rPr>
        <w:tab/>
      </w:r>
      <w:r>
        <w:rPr>
          <w:noProof/>
        </w:rPr>
        <w:fldChar w:fldCharType="begin"/>
      </w:r>
      <w:r>
        <w:rPr>
          <w:noProof/>
        </w:rPr>
        <w:instrText xml:space="preserve"> PAGEREF _Toc87358433 \h </w:instrText>
      </w:r>
      <w:r>
        <w:rPr>
          <w:noProof/>
        </w:rPr>
      </w:r>
      <w:r>
        <w:rPr>
          <w:noProof/>
        </w:rPr>
        <w:fldChar w:fldCharType="separate"/>
      </w:r>
      <w:r w:rsidR="00BD2614">
        <w:rPr>
          <w:noProof/>
        </w:rPr>
        <w:t>7</w:t>
      </w:r>
      <w:r>
        <w:rPr>
          <w:noProof/>
        </w:rPr>
        <w:fldChar w:fldCharType="end"/>
      </w:r>
    </w:p>
    <w:p w14:paraId="5604D398" w14:textId="62CA5882" w:rsidR="00CB30F9" w:rsidRDefault="00CB30F9">
      <w:pPr>
        <w:pStyle w:val="TOC2"/>
        <w:tabs>
          <w:tab w:val="right" w:leader="dot" w:pos="9350"/>
        </w:tabs>
        <w:rPr>
          <w:noProof/>
        </w:rPr>
      </w:pPr>
      <w:r>
        <w:rPr>
          <w:noProof/>
        </w:rPr>
        <w:t>Should high-frequency chest wall oscillation devices be recommended for coverage for children and adults with chronic obstructive pulmonary disease?</w:t>
      </w:r>
      <w:r>
        <w:rPr>
          <w:noProof/>
        </w:rPr>
        <w:tab/>
      </w:r>
      <w:r>
        <w:rPr>
          <w:noProof/>
        </w:rPr>
        <w:fldChar w:fldCharType="begin"/>
      </w:r>
      <w:r>
        <w:rPr>
          <w:noProof/>
        </w:rPr>
        <w:instrText xml:space="preserve"> PAGEREF _Toc87358434 \h </w:instrText>
      </w:r>
      <w:r>
        <w:rPr>
          <w:noProof/>
        </w:rPr>
      </w:r>
      <w:r>
        <w:rPr>
          <w:noProof/>
        </w:rPr>
        <w:fldChar w:fldCharType="separate"/>
      </w:r>
      <w:r w:rsidR="00BD2614">
        <w:rPr>
          <w:noProof/>
        </w:rPr>
        <w:t>10</w:t>
      </w:r>
      <w:r>
        <w:rPr>
          <w:noProof/>
        </w:rPr>
        <w:fldChar w:fldCharType="end"/>
      </w:r>
    </w:p>
    <w:p w14:paraId="12364E5B" w14:textId="1D8DCB88" w:rsidR="00CB30F9" w:rsidRDefault="00CB30F9">
      <w:pPr>
        <w:pStyle w:val="TOC2"/>
        <w:tabs>
          <w:tab w:val="right" w:leader="dot" w:pos="9350"/>
        </w:tabs>
        <w:rPr>
          <w:noProof/>
        </w:rPr>
      </w:pPr>
      <w:r>
        <w:rPr>
          <w:noProof/>
        </w:rPr>
        <w:t>Should high-frequency chest wall oscillation devices be recommended for coverage for children and adults with pulmonary complications from neuromuscular disease resulting in chronic lung disease?</w:t>
      </w:r>
      <w:r>
        <w:rPr>
          <w:noProof/>
        </w:rPr>
        <w:tab/>
      </w:r>
      <w:r>
        <w:rPr>
          <w:noProof/>
        </w:rPr>
        <w:fldChar w:fldCharType="begin"/>
      </w:r>
      <w:r>
        <w:rPr>
          <w:noProof/>
        </w:rPr>
        <w:instrText xml:space="preserve"> PAGEREF _Toc87358435 \h </w:instrText>
      </w:r>
      <w:r>
        <w:rPr>
          <w:noProof/>
        </w:rPr>
      </w:r>
      <w:r>
        <w:rPr>
          <w:noProof/>
        </w:rPr>
        <w:fldChar w:fldCharType="separate"/>
      </w:r>
      <w:r w:rsidR="00BD2614">
        <w:rPr>
          <w:noProof/>
        </w:rPr>
        <w:t>12</w:t>
      </w:r>
      <w:r>
        <w:rPr>
          <w:noProof/>
        </w:rPr>
        <w:fldChar w:fldCharType="end"/>
      </w:r>
    </w:p>
    <w:p w14:paraId="4868AE42" w14:textId="63C5E0FE" w:rsidR="00CB30F9" w:rsidRDefault="00CB30F9">
      <w:pPr>
        <w:pStyle w:val="TOC1"/>
        <w:rPr>
          <w:noProof/>
          <w:szCs w:val="22"/>
        </w:rPr>
      </w:pPr>
      <w:r>
        <w:rPr>
          <w:noProof/>
        </w:rPr>
        <w:t>Background</w:t>
      </w:r>
      <w:r>
        <w:rPr>
          <w:noProof/>
        </w:rPr>
        <w:tab/>
      </w:r>
      <w:r>
        <w:rPr>
          <w:noProof/>
        </w:rPr>
        <w:fldChar w:fldCharType="begin"/>
      </w:r>
      <w:r>
        <w:rPr>
          <w:noProof/>
        </w:rPr>
        <w:instrText xml:space="preserve"> PAGEREF _Toc87358436 \h </w:instrText>
      </w:r>
      <w:r>
        <w:rPr>
          <w:noProof/>
        </w:rPr>
      </w:r>
      <w:r>
        <w:rPr>
          <w:noProof/>
        </w:rPr>
        <w:fldChar w:fldCharType="separate"/>
      </w:r>
      <w:r w:rsidR="00BD2614">
        <w:rPr>
          <w:noProof/>
        </w:rPr>
        <w:t>15</w:t>
      </w:r>
      <w:r>
        <w:rPr>
          <w:noProof/>
        </w:rPr>
        <w:fldChar w:fldCharType="end"/>
      </w:r>
    </w:p>
    <w:p w14:paraId="72F1F277" w14:textId="39556024" w:rsidR="00CB30F9" w:rsidRDefault="00CB30F9">
      <w:pPr>
        <w:pStyle w:val="TOC2"/>
        <w:tabs>
          <w:tab w:val="right" w:leader="dot" w:pos="9350"/>
        </w:tabs>
        <w:rPr>
          <w:noProof/>
        </w:rPr>
      </w:pPr>
      <w:r>
        <w:rPr>
          <w:noProof/>
        </w:rPr>
        <w:t>Indications</w:t>
      </w:r>
      <w:r>
        <w:rPr>
          <w:noProof/>
        </w:rPr>
        <w:tab/>
      </w:r>
      <w:r>
        <w:rPr>
          <w:noProof/>
        </w:rPr>
        <w:fldChar w:fldCharType="begin"/>
      </w:r>
      <w:r>
        <w:rPr>
          <w:noProof/>
        </w:rPr>
        <w:instrText xml:space="preserve"> PAGEREF _Toc87358437 \h </w:instrText>
      </w:r>
      <w:r>
        <w:rPr>
          <w:noProof/>
        </w:rPr>
      </w:r>
      <w:r>
        <w:rPr>
          <w:noProof/>
        </w:rPr>
        <w:fldChar w:fldCharType="separate"/>
      </w:r>
      <w:r w:rsidR="00BD2614">
        <w:rPr>
          <w:noProof/>
        </w:rPr>
        <w:t>16</w:t>
      </w:r>
      <w:r>
        <w:rPr>
          <w:noProof/>
        </w:rPr>
        <w:fldChar w:fldCharType="end"/>
      </w:r>
    </w:p>
    <w:p w14:paraId="46EFACED" w14:textId="1B562630" w:rsidR="00CB30F9" w:rsidRDefault="00CB30F9">
      <w:pPr>
        <w:pStyle w:val="TOC2"/>
        <w:tabs>
          <w:tab w:val="right" w:leader="dot" w:pos="9350"/>
        </w:tabs>
        <w:rPr>
          <w:noProof/>
        </w:rPr>
      </w:pPr>
      <w:r>
        <w:rPr>
          <w:noProof/>
        </w:rPr>
        <w:t>Technology Description</w:t>
      </w:r>
      <w:r>
        <w:rPr>
          <w:noProof/>
        </w:rPr>
        <w:tab/>
      </w:r>
      <w:r>
        <w:rPr>
          <w:noProof/>
        </w:rPr>
        <w:fldChar w:fldCharType="begin"/>
      </w:r>
      <w:r>
        <w:rPr>
          <w:noProof/>
        </w:rPr>
        <w:instrText xml:space="preserve"> PAGEREF _Toc87358438 \h </w:instrText>
      </w:r>
      <w:r>
        <w:rPr>
          <w:noProof/>
        </w:rPr>
      </w:r>
      <w:r>
        <w:rPr>
          <w:noProof/>
        </w:rPr>
        <w:fldChar w:fldCharType="separate"/>
      </w:r>
      <w:r w:rsidR="00BD2614">
        <w:rPr>
          <w:noProof/>
        </w:rPr>
        <w:t>16</w:t>
      </w:r>
      <w:r>
        <w:rPr>
          <w:noProof/>
        </w:rPr>
        <w:fldChar w:fldCharType="end"/>
      </w:r>
    </w:p>
    <w:p w14:paraId="73C9D6F0" w14:textId="5303C27F" w:rsidR="00CB30F9" w:rsidRDefault="00CB30F9">
      <w:pPr>
        <w:pStyle w:val="TOC1"/>
        <w:rPr>
          <w:noProof/>
          <w:szCs w:val="22"/>
        </w:rPr>
      </w:pPr>
      <w:r>
        <w:rPr>
          <w:noProof/>
        </w:rPr>
        <w:t>Evidence Review</w:t>
      </w:r>
      <w:r>
        <w:rPr>
          <w:noProof/>
        </w:rPr>
        <w:tab/>
      </w:r>
      <w:r>
        <w:rPr>
          <w:noProof/>
        </w:rPr>
        <w:fldChar w:fldCharType="begin"/>
      </w:r>
      <w:r>
        <w:rPr>
          <w:noProof/>
        </w:rPr>
        <w:instrText xml:space="preserve"> PAGEREF _Toc87358439 \h </w:instrText>
      </w:r>
      <w:r>
        <w:rPr>
          <w:noProof/>
        </w:rPr>
      </w:r>
      <w:r>
        <w:rPr>
          <w:noProof/>
        </w:rPr>
        <w:fldChar w:fldCharType="separate"/>
      </w:r>
      <w:r w:rsidR="00BD2614">
        <w:rPr>
          <w:noProof/>
        </w:rPr>
        <w:t>19</w:t>
      </w:r>
      <w:r>
        <w:rPr>
          <w:noProof/>
        </w:rPr>
        <w:fldChar w:fldCharType="end"/>
      </w:r>
    </w:p>
    <w:p w14:paraId="2147A309" w14:textId="524971C7" w:rsidR="00CB30F9" w:rsidRDefault="00CB30F9">
      <w:pPr>
        <w:pStyle w:val="TOC2"/>
        <w:tabs>
          <w:tab w:val="right" w:leader="dot" w:pos="9350"/>
        </w:tabs>
        <w:rPr>
          <w:noProof/>
        </w:rPr>
      </w:pPr>
      <w:r>
        <w:rPr>
          <w:noProof/>
        </w:rPr>
        <w:t>Cystic Fibrosis</w:t>
      </w:r>
      <w:r>
        <w:rPr>
          <w:noProof/>
        </w:rPr>
        <w:tab/>
      </w:r>
      <w:r>
        <w:rPr>
          <w:noProof/>
        </w:rPr>
        <w:fldChar w:fldCharType="begin"/>
      </w:r>
      <w:r>
        <w:rPr>
          <w:noProof/>
        </w:rPr>
        <w:instrText xml:space="preserve"> PAGEREF _Toc87358440 \h </w:instrText>
      </w:r>
      <w:r>
        <w:rPr>
          <w:noProof/>
        </w:rPr>
      </w:r>
      <w:r>
        <w:rPr>
          <w:noProof/>
        </w:rPr>
        <w:fldChar w:fldCharType="separate"/>
      </w:r>
      <w:r w:rsidR="00BD2614">
        <w:rPr>
          <w:noProof/>
        </w:rPr>
        <w:t>19</w:t>
      </w:r>
      <w:r>
        <w:rPr>
          <w:noProof/>
        </w:rPr>
        <w:fldChar w:fldCharType="end"/>
      </w:r>
    </w:p>
    <w:p w14:paraId="54464ED5" w14:textId="669ED1DB" w:rsidR="00CB30F9" w:rsidRDefault="00CB30F9">
      <w:pPr>
        <w:pStyle w:val="TOC2"/>
        <w:tabs>
          <w:tab w:val="right" w:leader="dot" w:pos="9350"/>
        </w:tabs>
        <w:rPr>
          <w:noProof/>
        </w:rPr>
      </w:pPr>
      <w:r>
        <w:rPr>
          <w:noProof/>
        </w:rPr>
        <w:t>Bronchiectasis</w:t>
      </w:r>
      <w:r>
        <w:rPr>
          <w:noProof/>
        </w:rPr>
        <w:tab/>
      </w:r>
      <w:r>
        <w:rPr>
          <w:noProof/>
        </w:rPr>
        <w:fldChar w:fldCharType="begin"/>
      </w:r>
      <w:r>
        <w:rPr>
          <w:noProof/>
        </w:rPr>
        <w:instrText xml:space="preserve"> PAGEREF _Toc87358441 \h </w:instrText>
      </w:r>
      <w:r>
        <w:rPr>
          <w:noProof/>
        </w:rPr>
      </w:r>
      <w:r>
        <w:rPr>
          <w:noProof/>
        </w:rPr>
        <w:fldChar w:fldCharType="separate"/>
      </w:r>
      <w:r w:rsidR="00BD2614">
        <w:rPr>
          <w:noProof/>
        </w:rPr>
        <w:t>20</w:t>
      </w:r>
      <w:r>
        <w:rPr>
          <w:noProof/>
        </w:rPr>
        <w:fldChar w:fldCharType="end"/>
      </w:r>
    </w:p>
    <w:p w14:paraId="284B34EC" w14:textId="75E5B458" w:rsidR="00CB30F9" w:rsidRDefault="00CB30F9">
      <w:pPr>
        <w:pStyle w:val="TOC2"/>
        <w:tabs>
          <w:tab w:val="right" w:leader="dot" w:pos="9350"/>
        </w:tabs>
        <w:rPr>
          <w:noProof/>
        </w:rPr>
      </w:pPr>
      <w:r>
        <w:rPr>
          <w:noProof/>
        </w:rPr>
        <w:t>COPD</w:t>
      </w:r>
      <w:r>
        <w:rPr>
          <w:noProof/>
        </w:rPr>
        <w:tab/>
      </w:r>
      <w:r>
        <w:rPr>
          <w:noProof/>
        </w:rPr>
        <w:fldChar w:fldCharType="begin"/>
      </w:r>
      <w:r>
        <w:rPr>
          <w:noProof/>
        </w:rPr>
        <w:instrText xml:space="preserve"> PAGEREF _Toc87358442 \h </w:instrText>
      </w:r>
      <w:r>
        <w:rPr>
          <w:noProof/>
        </w:rPr>
      </w:r>
      <w:r>
        <w:rPr>
          <w:noProof/>
        </w:rPr>
        <w:fldChar w:fldCharType="separate"/>
      </w:r>
      <w:r w:rsidR="00BD2614">
        <w:rPr>
          <w:noProof/>
        </w:rPr>
        <w:t>21</w:t>
      </w:r>
      <w:r>
        <w:rPr>
          <w:noProof/>
        </w:rPr>
        <w:fldChar w:fldCharType="end"/>
      </w:r>
    </w:p>
    <w:p w14:paraId="6839F8A8" w14:textId="0844827E" w:rsidR="00CB30F9" w:rsidRDefault="00CB30F9">
      <w:pPr>
        <w:pStyle w:val="TOC2"/>
        <w:tabs>
          <w:tab w:val="right" w:leader="dot" w:pos="9350"/>
        </w:tabs>
        <w:rPr>
          <w:noProof/>
        </w:rPr>
      </w:pPr>
      <w:r>
        <w:rPr>
          <w:noProof/>
        </w:rPr>
        <w:t>Pulmonary Complications from Neuromuscular Disease</w:t>
      </w:r>
      <w:r>
        <w:rPr>
          <w:noProof/>
        </w:rPr>
        <w:tab/>
      </w:r>
      <w:r>
        <w:rPr>
          <w:noProof/>
        </w:rPr>
        <w:fldChar w:fldCharType="begin"/>
      </w:r>
      <w:r>
        <w:rPr>
          <w:noProof/>
        </w:rPr>
        <w:instrText xml:space="preserve"> PAGEREF _Toc87358443 \h </w:instrText>
      </w:r>
      <w:r>
        <w:rPr>
          <w:noProof/>
        </w:rPr>
      </w:r>
      <w:r>
        <w:rPr>
          <w:noProof/>
        </w:rPr>
        <w:fldChar w:fldCharType="separate"/>
      </w:r>
      <w:r w:rsidR="00BD2614">
        <w:rPr>
          <w:noProof/>
        </w:rPr>
        <w:t>21</w:t>
      </w:r>
      <w:r>
        <w:rPr>
          <w:noProof/>
        </w:rPr>
        <w:fldChar w:fldCharType="end"/>
      </w:r>
    </w:p>
    <w:p w14:paraId="13052458" w14:textId="474ECC40" w:rsidR="00CB30F9" w:rsidRDefault="00CB30F9">
      <w:pPr>
        <w:pStyle w:val="TOC2"/>
        <w:tabs>
          <w:tab w:val="right" w:leader="dot" w:pos="9350"/>
        </w:tabs>
        <w:rPr>
          <w:noProof/>
        </w:rPr>
      </w:pPr>
      <w:r>
        <w:rPr>
          <w:noProof/>
        </w:rPr>
        <w:t>Harms of HFCWO Devices</w:t>
      </w:r>
      <w:r>
        <w:rPr>
          <w:noProof/>
        </w:rPr>
        <w:tab/>
      </w:r>
      <w:r>
        <w:rPr>
          <w:noProof/>
        </w:rPr>
        <w:fldChar w:fldCharType="begin"/>
      </w:r>
      <w:r>
        <w:rPr>
          <w:noProof/>
        </w:rPr>
        <w:instrText xml:space="preserve"> PAGEREF _Toc87358444 \h </w:instrText>
      </w:r>
      <w:r>
        <w:rPr>
          <w:noProof/>
        </w:rPr>
      </w:r>
      <w:r>
        <w:rPr>
          <w:noProof/>
        </w:rPr>
        <w:fldChar w:fldCharType="separate"/>
      </w:r>
      <w:r w:rsidR="00BD2614">
        <w:rPr>
          <w:noProof/>
        </w:rPr>
        <w:t>22</w:t>
      </w:r>
      <w:r>
        <w:rPr>
          <w:noProof/>
        </w:rPr>
        <w:fldChar w:fldCharType="end"/>
      </w:r>
    </w:p>
    <w:p w14:paraId="474FF93E" w14:textId="34FEA119" w:rsidR="00CB30F9" w:rsidRDefault="00CB30F9">
      <w:pPr>
        <w:pStyle w:val="TOC2"/>
        <w:tabs>
          <w:tab w:val="right" w:leader="dot" w:pos="9350"/>
        </w:tabs>
        <w:rPr>
          <w:noProof/>
        </w:rPr>
      </w:pPr>
      <w:r>
        <w:rPr>
          <w:noProof/>
        </w:rPr>
        <w:t>Comparative Cost Effectiveness of HFCWO Devices</w:t>
      </w:r>
      <w:r>
        <w:rPr>
          <w:noProof/>
        </w:rPr>
        <w:tab/>
      </w:r>
      <w:r>
        <w:rPr>
          <w:noProof/>
        </w:rPr>
        <w:fldChar w:fldCharType="begin"/>
      </w:r>
      <w:r>
        <w:rPr>
          <w:noProof/>
        </w:rPr>
        <w:instrText xml:space="preserve"> PAGEREF _Toc87358445 \h </w:instrText>
      </w:r>
      <w:r>
        <w:rPr>
          <w:noProof/>
        </w:rPr>
      </w:r>
      <w:r>
        <w:rPr>
          <w:noProof/>
        </w:rPr>
        <w:fldChar w:fldCharType="separate"/>
      </w:r>
      <w:r w:rsidR="00BD2614">
        <w:rPr>
          <w:noProof/>
        </w:rPr>
        <w:t>23</w:t>
      </w:r>
      <w:r>
        <w:rPr>
          <w:noProof/>
        </w:rPr>
        <w:fldChar w:fldCharType="end"/>
      </w:r>
    </w:p>
    <w:p w14:paraId="62199EFB" w14:textId="2776FA80" w:rsidR="00CB30F9" w:rsidRDefault="00CB30F9">
      <w:pPr>
        <w:pStyle w:val="TOC2"/>
        <w:tabs>
          <w:tab w:val="right" w:leader="dot" w:pos="9350"/>
        </w:tabs>
        <w:rPr>
          <w:noProof/>
        </w:rPr>
      </w:pPr>
      <w:r>
        <w:rPr>
          <w:noProof/>
        </w:rPr>
        <w:t>Ongoing Studies for HFCWO Devices</w:t>
      </w:r>
      <w:r>
        <w:rPr>
          <w:noProof/>
        </w:rPr>
        <w:tab/>
      </w:r>
      <w:r>
        <w:rPr>
          <w:noProof/>
        </w:rPr>
        <w:fldChar w:fldCharType="begin"/>
      </w:r>
      <w:r>
        <w:rPr>
          <w:noProof/>
        </w:rPr>
        <w:instrText xml:space="preserve"> PAGEREF _Toc87358446 \h </w:instrText>
      </w:r>
      <w:r>
        <w:rPr>
          <w:noProof/>
        </w:rPr>
      </w:r>
      <w:r>
        <w:rPr>
          <w:noProof/>
        </w:rPr>
        <w:fldChar w:fldCharType="separate"/>
      </w:r>
      <w:r w:rsidR="00BD2614">
        <w:rPr>
          <w:noProof/>
        </w:rPr>
        <w:t>23</w:t>
      </w:r>
      <w:r>
        <w:rPr>
          <w:noProof/>
        </w:rPr>
        <w:fldChar w:fldCharType="end"/>
      </w:r>
    </w:p>
    <w:p w14:paraId="0BF4ECC3" w14:textId="1A74BFBE" w:rsidR="00CB30F9" w:rsidRDefault="00CB30F9">
      <w:pPr>
        <w:pStyle w:val="TOC2"/>
        <w:tabs>
          <w:tab w:val="right" w:leader="dot" w:pos="9350"/>
        </w:tabs>
        <w:rPr>
          <w:noProof/>
        </w:rPr>
      </w:pPr>
      <w:r>
        <w:rPr>
          <w:noProof/>
        </w:rPr>
        <w:t>Evidence Summary</w:t>
      </w:r>
      <w:r>
        <w:rPr>
          <w:noProof/>
        </w:rPr>
        <w:tab/>
      </w:r>
      <w:r>
        <w:rPr>
          <w:noProof/>
        </w:rPr>
        <w:fldChar w:fldCharType="begin"/>
      </w:r>
      <w:r>
        <w:rPr>
          <w:noProof/>
        </w:rPr>
        <w:instrText xml:space="preserve"> PAGEREF _Toc87358447 \h </w:instrText>
      </w:r>
      <w:r>
        <w:rPr>
          <w:noProof/>
        </w:rPr>
      </w:r>
      <w:r>
        <w:rPr>
          <w:noProof/>
        </w:rPr>
        <w:fldChar w:fldCharType="separate"/>
      </w:r>
      <w:r w:rsidR="00BD2614">
        <w:rPr>
          <w:noProof/>
        </w:rPr>
        <w:t>23</w:t>
      </w:r>
      <w:r>
        <w:rPr>
          <w:noProof/>
        </w:rPr>
        <w:fldChar w:fldCharType="end"/>
      </w:r>
    </w:p>
    <w:p w14:paraId="4E2BA5B1" w14:textId="0BEC9B31" w:rsidR="00CB30F9" w:rsidRDefault="00CB30F9">
      <w:pPr>
        <w:pStyle w:val="TOC1"/>
        <w:rPr>
          <w:noProof/>
          <w:szCs w:val="22"/>
        </w:rPr>
      </w:pPr>
      <w:r>
        <w:rPr>
          <w:noProof/>
        </w:rPr>
        <w:t>Policy Landscape</w:t>
      </w:r>
      <w:r>
        <w:rPr>
          <w:noProof/>
        </w:rPr>
        <w:tab/>
      </w:r>
      <w:r>
        <w:rPr>
          <w:noProof/>
        </w:rPr>
        <w:fldChar w:fldCharType="begin"/>
      </w:r>
      <w:r>
        <w:rPr>
          <w:noProof/>
        </w:rPr>
        <w:instrText xml:space="preserve"> PAGEREF _Toc87358448 \h </w:instrText>
      </w:r>
      <w:r>
        <w:rPr>
          <w:noProof/>
        </w:rPr>
      </w:r>
      <w:r>
        <w:rPr>
          <w:noProof/>
        </w:rPr>
        <w:fldChar w:fldCharType="separate"/>
      </w:r>
      <w:r w:rsidR="00BD2614">
        <w:rPr>
          <w:noProof/>
        </w:rPr>
        <w:t>24</w:t>
      </w:r>
      <w:r>
        <w:rPr>
          <w:noProof/>
        </w:rPr>
        <w:fldChar w:fldCharType="end"/>
      </w:r>
    </w:p>
    <w:p w14:paraId="7B80619F" w14:textId="0F0A5F00" w:rsidR="00CB30F9" w:rsidRDefault="00CB30F9">
      <w:pPr>
        <w:pStyle w:val="TOC2"/>
        <w:tabs>
          <w:tab w:val="right" w:leader="dot" w:pos="9350"/>
        </w:tabs>
        <w:rPr>
          <w:noProof/>
        </w:rPr>
      </w:pPr>
      <w:r>
        <w:rPr>
          <w:noProof/>
        </w:rPr>
        <w:t>Payer Coverage Policies</w:t>
      </w:r>
      <w:r>
        <w:rPr>
          <w:noProof/>
        </w:rPr>
        <w:tab/>
      </w:r>
      <w:r>
        <w:rPr>
          <w:noProof/>
        </w:rPr>
        <w:fldChar w:fldCharType="begin"/>
      </w:r>
      <w:r>
        <w:rPr>
          <w:noProof/>
        </w:rPr>
        <w:instrText xml:space="preserve"> PAGEREF _Toc87358449 \h </w:instrText>
      </w:r>
      <w:r>
        <w:rPr>
          <w:noProof/>
        </w:rPr>
      </w:r>
      <w:r>
        <w:rPr>
          <w:noProof/>
        </w:rPr>
        <w:fldChar w:fldCharType="separate"/>
      </w:r>
      <w:r w:rsidR="00BD2614">
        <w:rPr>
          <w:noProof/>
        </w:rPr>
        <w:t>24</w:t>
      </w:r>
      <w:r>
        <w:rPr>
          <w:noProof/>
        </w:rPr>
        <w:fldChar w:fldCharType="end"/>
      </w:r>
    </w:p>
    <w:p w14:paraId="072E074D" w14:textId="1BEB3F52" w:rsidR="00CB30F9" w:rsidRDefault="00CB30F9">
      <w:pPr>
        <w:pStyle w:val="TOC2"/>
        <w:tabs>
          <w:tab w:val="right" w:leader="dot" w:pos="9350"/>
        </w:tabs>
        <w:rPr>
          <w:noProof/>
        </w:rPr>
      </w:pPr>
      <w:r>
        <w:rPr>
          <w:noProof/>
        </w:rPr>
        <w:t>Evidence-based Guidelines and Recommendations</w:t>
      </w:r>
      <w:r>
        <w:rPr>
          <w:noProof/>
        </w:rPr>
        <w:tab/>
      </w:r>
      <w:r>
        <w:rPr>
          <w:noProof/>
        </w:rPr>
        <w:fldChar w:fldCharType="begin"/>
      </w:r>
      <w:r>
        <w:rPr>
          <w:noProof/>
        </w:rPr>
        <w:instrText xml:space="preserve"> PAGEREF _Toc87358450 \h </w:instrText>
      </w:r>
      <w:r>
        <w:rPr>
          <w:noProof/>
        </w:rPr>
      </w:r>
      <w:r>
        <w:rPr>
          <w:noProof/>
        </w:rPr>
        <w:fldChar w:fldCharType="separate"/>
      </w:r>
      <w:r w:rsidR="00BD2614">
        <w:rPr>
          <w:noProof/>
        </w:rPr>
        <w:t>27</w:t>
      </w:r>
      <w:r>
        <w:rPr>
          <w:noProof/>
        </w:rPr>
        <w:fldChar w:fldCharType="end"/>
      </w:r>
    </w:p>
    <w:p w14:paraId="0BDAD63D" w14:textId="2AE8E8BC" w:rsidR="00CB30F9" w:rsidRDefault="00CB30F9">
      <w:pPr>
        <w:pStyle w:val="TOC2"/>
        <w:tabs>
          <w:tab w:val="right" w:leader="dot" w:pos="9350"/>
        </w:tabs>
        <w:rPr>
          <w:noProof/>
        </w:rPr>
      </w:pPr>
      <w:r>
        <w:rPr>
          <w:noProof/>
        </w:rPr>
        <w:t>Recommendations and Guidelines from Professional Societies</w:t>
      </w:r>
      <w:r>
        <w:rPr>
          <w:noProof/>
        </w:rPr>
        <w:tab/>
      </w:r>
      <w:r>
        <w:rPr>
          <w:noProof/>
        </w:rPr>
        <w:fldChar w:fldCharType="begin"/>
      </w:r>
      <w:r>
        <w:rPr>
          <w:noProof/>
        </w:rPr>
        <w:instrText xml:space="preserve"> PAGEREF _Toc87358451 \h </w:instrText>
      </w:r>
      <w:r>
        <w:rPr>
          <w:noProof/>
        </w:rPr>
      </w:r>
      <w:r>
        <w:rPr>
          <w:noProof/>
        </w:rPr>
        <w:fldChar w:fldCharType="separate"/>
      </w:r>
      <w:r w:rsidR="00BD2614">
        <w:rPr>
          <w:noProof/>
        </w:rPr>
        <w:t>29</w:t>
      </w:r>
      <w:r>
        <w:rPr>
          <w:noProof/>
        </w:rPr>
        <w:fldChar w:fldCharType="end"/>
      </w:r>
    </w:p>
    <w:p w14:paraId="65599DA7" w14:textId="443533C3" w:rsidR="00CB30F9" w:rsidRDefault="00CB30F9">
      <w:pPr>
        <w:pStyle w:val="TOC2"/>
        <w:tabs>
          <w:tab w:val="right" w:leader="dot" w:pos="9350"/>
        </w:tabs>
        <w:rPr>
          <w:noProof/>
        </w:rPr>
      </w:pPr>
      <w:r>
        <w:rPr>
          <w:noProof/>
        </w:rPr>
        <w:t>Recommendations From Advocacy Organizations</w:t>
      </w:r>
      <w:r>
        <w:rPr>
          <w:noProof/>
        </w:rPr>
        <w:tab/>
      </w:r>
      <w:r>
        <w:rPr>
          <w:noProof/>
        </w:rPr>
        <w:fldChar w:fldCharType="begin"/>
      </w:r>
      <w:r>
        <w:rPr>
          <w:noProof/>
        </w:rPr>
        <w:instrText xml:space="preserve"> PAGEREF _Toc87358452 \h </w:instrText>
      </w:r>
      <w:r>
        <w:rPr>
          <w:noProof/>
        </w:rPr>
      </w:r>
      <w:r>
        <w:rPr>
          <w:noProof/>
        </w:rPr>
        <w:fldChar w:fldCharType="separate"/>
      </w:r>
      <w:r w:rsidR="00BD2614">
        <w:rPr>
          <w:noProof/>
        </w:rPr>
        <w:t>29</w:t>
      </w:r>
      <w:r>
        <w:rPr>
          <w:noProof/>
        </w:rPr>
        <w:fldChar w:fldCharType="end"/>
      </w:r>
    </w:p>
    <w:p w14:paraId="3A01F20D" w14:textId="480F93E9" w:rsidR="00CB30F9" w:rsidRDefault="00CB30F9">
      <w:pPr>
        <w:pStyle w:val="TOC1"/>
        <w:rPr>
          <w:noProof/>
          <w:szCs w:val="22"/>
        </w:rPr>
      </w:pPr>
      <w:r>
        <w:rPr>
          <w:noProof/>
        </w:rPr>
        <w:t>References</w:t>
      </w:r>
      <w:r>
        <w:rPr>
          <w:noProof/>
        </w:rPr>
        <w:tab/>
      </w:r>
      <w:r>
        <w:rPr>
          <w:noProof/>
        </w:rPr>
        <w:fldChar w:fldCharType="begin"/>
      </w:r>
      <w:r>
        <w:rPr>
          <w:noProof/>
        </w:rPr>
        <w:instrText xml:space="preserve"> PAGEREF _Toc87358453 \h </w:instrText>
      </w:r>
      <w:r>
        <w:rPr>
          <w:noProof/>
        </w:rPr>
      </w:r>
      <w:r>
        <w:rPr>
          <w:noProof/>
        </w:rPr>
        <w:fldChar w:fldCharType="separate"/>
      </w:r>
      <w:r w:rsidR="00BD2614">
        <w:rPr>
          <w:noProof/>
        </w:rPr>
        <w:t>30</w:t>
      </w:r>
      <w:r>
        <w:rPr>
          <w:noProof/>
        </w:rPr>
        <w:fldChar w:fldCharType="end"/>
      </w:r>
    </w:p>
    <w:p w14:paraId="77AFA327" w14:textId="18AA23D8" w:rsidR="00CB30F9" w:rsidRDefault="00CB30F9">
      <w:pPr>
        <w:pStyle w:val="TOC1"/>
        <w:rPr>
          <w:noProof/>
          <w:szCs w:val="22"/>
        </w:rPr>
      </w:pPr>
      <w:r>
        <w:rPr>
          <w:noProof/>
        </w:rPr>
        <w:t>Appendix A. GRADE Table Element Descriptions</w:t>
      </w:r>
      <w:r>
        <w:rPr>
          <w:noProof/>
        </w:rPr>
        <w:tab/>
      </w:r>
      <w:r>
        <w:rPr>
          <w:noProof/>
        </w:rPr>
        <w:fldChar w:fldCharType="begin"/>
      </w:r>
      <w:r>
        <w:rPr>
          <w:noProof/>
        </w:rPr>
        <w:instrText xml:space="preserve"> PAGEREF _Toc87358454 \h </w:instrText>
      </w:r>
      <w:r>
        <w:rPr>
          <w:noProof/>
        </w:rPr>
      </w:r>
      <w:r>
        <w:rPr>
          <w:noProof/>
        </w:rPr>
        <w:fldChar w:fldCharType="separate"/>
      </w:r>
      <w:r w:rsidR="00BD2614">
        <w:rPr>
          <w:noProof/>
        </w:rPr>
        <w:t>33</w:t>
      </w:r>
      <w:r>
        <w:rPr>
          <w:noProof/>
        </w:rPr>
        <w:fldChar w:fldCharType="end"/>
      </w:r>
    </w:p>
    <w:p w14:paraId="2813057B" w14:textId="522DD2E9" w:rsidR="00CB30F9" w:rsidRDefault="00CB30F9">
      <w:pPr>
        <w:pStyle w:val="TOC1"/>
        <w:rPr>
          <w:noProof/>
          <w:szCs w:val="22"/>
        </w:rPr>
      </w:pPr>
      <w:r>
        <w:rPr>
          <w:noProof/>
        </w:rPr>
        <w:t>Appendix B. GRADE Evidence Profile</w:t>
      </w:r>
      <w:r>
        <w:rPr>
          <w:noProof/>
        </w:rPr>
        <w:tab/>
      </w:r>
      <w:r>
        <w:rPr>
          <w:noProof/>
        </w:rPr>
        <w:fldChar w:fldCharType="begin"/>
      </w:r>
      <w:r>
        <w:rPr>
          <w:noProof/>
        </w:rPr>
        <w:instrText xml:space="preserve"> PAGEREF _Toc87358455 \h </w:instrText>
      </w:r>
      <w:r>
        <w:rPr>
          <w:noProof/>
        </w:rPr>
      </w:r>
      <w:r>
        <w:rPr>
          <w:noProof/>
        </w:rPr>
        <w:fldChar w:fldCharType="separate"/>
      </w:r>
      <w:r w:rsidR="00BD2614">
        <w:rPr>
          <w:noProof/>
        </w:rPr>
        <w:t>35</w:t>
      </w:r>
      <w:r>
        <w:rPr>
          <w:noProof/>
        </w:rPr>
        <w:fldChar w:fldCharType="end"/>
      </w:r>
    </w:p>
    <w:p w14:paraId="7CC61253" w14:textId="43010C63" w:rsidR="00CB30F9" w:rsidRDefault="00CB30F9">
      <w:pPr>
        <w:pStyle w:val="TOC1"/>
        <w:rPr>
          <w:noProof/>
          <w:szCs w:val="22"/>
        </w:rPr>
      </w:pPr>
      <w:r>
        <w:rPr>
          <w:noProof/>
        </w:rPr>
        <w:t>Appendix C. Methods</w:t>
      </w:r>
      <w:r>
        <w:rPr>
          <w:noProof/>
        </w:rPr>
        <w:tab/>
      </w:r>
      <w:r>
        <w:rPr>
          <w:noProof/>
        </w:rPr>
        <w:fldChar w:fldCharType="begin"/>
      </w:r>
      <w:r>
        <w:rPr>
          <w:noProof/>
        </w:rPr>
        <w:instrText xml:space="preserve"> PAGEREF _Toc87358456 \h </w:instrText>
      </w:r>
      <w:r>
        <w:rPr>
          <w:noProof/>
        </w:rPr>
      </w:r>
      <w:r>
        <w:rPr>
          <w:noProof/>
        </w:rPr>
        <w:fldChar w:fldCharType="separate"/>
      </w:r>
      <w:r w:rsidR="00BD2614">
        <w:rPr>
          <w:noProof/>
        </w:rPr>
        <w:t>39</w:t>
      </w:r>
      <w:r>
        <w:rPr>
          <w:noProof/>
        </w:rPr>
        <w:fldChar w:fldCharType="end"/>
      </w:r>
    </w:p>
    <w:p w14:paraId="55BA07C4" w14:textId="1A450058" w:rsidR="00CB30F9" w:rsidRDefault="00CB30F9">
      <w:pPr>
        <w:pStyle w:val="TOC1"/>
        <w:rPr>
          <w:noProof/>
          <w:szCs w:val="22"/>
        </w:rPr>
      </w:pPr>
      <w:r>
        <w:rPr>
          <w:noProof/>
        </w:rPr>
        <w:t>Appendix D. Applicable Codes</w:t>
      </w:r>
      <w:r>
        <w:rPr>
          <w:noProof/>
        </w:rPr>
        <w:tab/>
      </w:r>
      <w:r>
        <w:rPr>
          <w:noProof/>
        </w:rPr>
        <w:fldChar w:fldCharType="begin"/>
      </w:r>
      <w:r>
        <w:rPr>
          <w:noProof/>
        </w:rPr>
        <w:instrText xml:space="preserve"> PAGEREF _Toc87358457 \h </w:instrText>
      </w:r>
      <w:r>
        <w:rPr>
          <w:noProof/>
        </w:rPr>
      </w:r>
      <w:r>
        <w:rPr>
          <w:noProof/>
        </w:rPr>
        <w:fldChar w:fldCharType="separate"/>
      </w:r>
      <w:r w:rsidR="00BD2614">
        <w:rPr>
          <w:noProof/>
        </w:rPr>
        <w:t>41</w:t>
      </w:r>
      <w:r>
        <w:rPr>
          <w:noProof/>
        </w:rPr>
        <w:fldChar w:fldCharType="end"/>
      </w:r>
    </w:p>
    <w:p w14:paraId="76470A43" w14:textId="77777777" w:rsidR="00494065" w:rsidRDefault="00494065" w:rsidP="002D5EAA">
      <w:pPr>
        <w:rPr>
          <w:rFonts w:ascii="Cambria" w:hAnsi="Cambria"/>
          <w:szCs w:val="24"/>
        </w:rPr>
      </w:pPr>
      <w:r>
        <w:rPr>
          <w:rFonts w:ascii="Cambria" w:hAnsi="Cambria"/>
          <w:szCs w:val="24"/>
        </w:rPr>
        <w:fldChar w:fldCharType="end"/>
      </w:r>
      <w:r>
        <w:rPr>
          <w:rFonts w:ascii="Cambria" w:hAnsi="Cambria"/>
          <w:szCs w:val="24"/>
        </w:rPr>
        <w:br w:type="page"/>
      </w:r>
    </w:p>
    <w:p w14:paraId="23DA659B" w14:textId="77777777" w:rsidR="00494065" w:rsidRPr="000F4988" w:rsidRDefault="00494065" w:rsidP="002D5EAA">
      <w:pPr>
        <w:pStyle w:val="H1NoBK"/>
      </w:pPr>
      <w:bookmarkStart w:id="3" w:name="_Toc72335260"/>
      <w:bookmarkStart w:id="4" w:name="_Toc87358430"/>
      <w:r w:rsidRPr="000F4988">
        <w:lastRenderedPageBreak/>
        <w:t>Rationale for development of coverage guidances and multisector intervention reports</w:t>
      </w:r>
      <w:bookmarkEnd w:id="3"/>
      <w:bookmarkEnd w:id="4"/>
    </w:p>
    <w:p w14:paraId="0C78C3BA" w14:textId="3FE87A89" w:rsidR="00494065" w:rsidRDefault="00494065" w:rsidP="002D5EAA">
      <w:r>
        <w:t xml:space="preserve">Coverage guidances are developed to inform coverage recommendations for public and private health plans in Oregon as plan administrators seek to improve patient experience of care, population health, and the cost-effectiveness of health care. In the era of </w:t>
      </w:r>
      <w:r w:rsidRPr="008D3EA1">
        <w:t xml:space="preserve">public and private sector </w:t>
      </w:r>
      <w:r>
        <w:t xml:space="preserve">health system transformation, reaching these goals requires </w:t>
      </w:r>
      <w:r w:rsidRPr="003B663F">
        <w:t>a focus on maximizing the benefits and minimizing the harms and costs of health interventions</w:t>
      </w:r>
      <w:r>
        <w:t>.</w:t>
      </w:r>
    </w:p>
    <w:p w14:paraId="0FF976F0" w14:textId="57A4E580" w:rsidR="00494065" w:rsidRDefault="00354EEC" w:rsidP="002D5EAA">
      <w:r>
        <w:t xml:space="preserve">The </w:t>
      </w:r>
      <w:r w:rsidRPr="00ED637E">
        <w:t xml:space="preserve">Health Evidence Review Commission </w:t>
      </w:r>
      <w:r>
        <w:t>(</w:t>
      </w:r>
      <w:r w:rsidR="00494065">
        <w:t>HERC</w:t>
      </w:r>
      <w:r>
        <w:t>)</w:t>
      </w:r>
      <w:r w:rsidR="00494065">
        <w:t xml:space="preserve"> uses the following principles in selecting topics for its reports to guide public and private payers:</w:t>
      </w:r>
    </w:p>
    <w:p w14:paraId="705489C9" w14:textId="77777777" w:rsidR="00494065" w:rsidRDefault="00494065" w:rsidP="002D5EAA">
      <w:pPr>
        <w:pStyle w:val="ListParagraph"/>
        <w:numPr>
          <w:ilvl w:val="0"/>
          <w:numId w:val="2"/>
        </w:numPr>
      </w:pPr>
      <w:r>
        <w:t>Represents a significant burden of disease or health problem</w:t>
      </w:r>
    </w:p>
    <w:p w14:paraId="7636D17D" w14:textId="77777777" w:rsidR="00494065" w:rsidRDefault="00494065" w:rsidP="002D5EAA">
      <w:pPr>
        <w:pStyle w:val="ListParagraph"/>
        <w:numPr>
          <w:ilvl w:val="0"/>
          <w:numId w:val="2"/>
        </w:numPr>
      </w:pPr>
      <w:r>
        <w:t>Represents important uncertainty with regard to effectiveness or harms</w:t>
      </w:r>
    </w:p>
    <w:p w14:paraId="300F90C9" w14:textId="77777777" w:rsidR="00494065" w:rsidRDefault="00494065" w:rsidP="002D5EAA">
      <w:pPr>
        <w:pStyle w:val="ListParagraph"/>
        <w:numPr>
          <w:ilvl w:val="0"/>
          <w:numId w:val="2"/>
        </w:numPr>
      </w:pPr>
      <w:r>
        <w:t>Represents important variation or controversy in implementation or practice</w:t>
      </w:r>
    </w:p>
    <w:p w14:paraId="603249E8" w14:textId="77777777" w:rsidR="00494065" w:rsidRDefault="00494065" w:rsidP="002D5EAA">
      <w:pPr>
        <w:pStyle w:val="ListParagraph"/>
        <w:numPr>
          <w:ilvl w:val="0"/>
          <w:numId w:val="2"/>
        </w:numPr>
      </w:pPr>
      <w:r>
        <w:t xml:space="preserve">Represents high costs or significant economic impact </w:t>
      </w:r>
    </w:p>
    <w:p w14:paraId="044A2FCA" w14:textId="77777777" w:rsidR="00494065" w:rsidRDefault="00494065" w:rsidP="002D5EAA">
      <w:pPr>
        <w:pStyle w:val="ListParagraph"/>
        <w:numPr>
          <w:ilvl w:val="0"/>
          <w:numId w:val="2"/>
        </w:numPr>
      </w:pPr>
      <w:r>
        <w:t>Topic is of high public interest</w:t>
      </w:r>
    </w:p>
    <w:p w14:paraId="2D17F814" w14:textId="77777777" w:rsidR="00494065" w:rsidRDefault="00494065" w:rsidP="002D5EAA">
      <w:r>
        <w:t>HERC bases its reports on a review of the best available research applicable to the intervention(s) in question. For coverage guidances, which focus on diagnostic and clinical interventions, evidence is evaluated using an adaptation of the Grading of Recommendations, Assessment, Development, and Evaluation (GRADE) methodology. For more information on coverage guidance methodology, see Appendix A.</w:t>
      </w:r>
    </w:p>
    <w:p w14:paraId="0B94EABD" w14:textId="77777777" w:rsidR="00494065" w:rsidRDefault="00494065" w:rsidP="002D5EAA">
      <w:r>
        <w:t>Multisector interventions can be effective ways to prevent, treat, or manage disease at a population level. In some cases, HERC has reviewed evidence and identified effective interventions, but has not made formal coverage recommendations when these policies are implemented in settings other than traditional health care delivery systems because effectiveness could depend on the environment in which the intervention is implemented.</w:t>
      </w:r>
    </w:p>
    <w:p w14:paraId="6AFE1579" w14:textId="77777777" w:rsidR="00494065" w:rsidRDefault="00494065" w:rsidP="002D5EAA">
      <w:pPr>
        <w:pStyle w:val="H3NoBK"/>
      </w:pPr>
      <w:bookmarkStart w:id="5" w:name="_Toc495848544"/>
      <w:bookmarkStart w:id="6" w:name="_Toc496703942"/>
      <w:bookmarkStart w:id="7" w:name="_Toc496704012"/>
      <w:bookmarkStart w:id="8" w:name="_Toc516671745"/>
      <w:bookmarkStart w:id="9" w:name="_Toc516671836"/>
      <w:bookmarkStart w:id="10" w:name="_Toc519593861"/>
      <w:r>
        <w:t>GRADE</w:t>
      </w:r>
      <w:bookmarkEnd w:id="5"/>
      <w:bookmarkEnd w:id="6"/>
      <w:bookmarkEnd w:id="7"/>
      <w:r>
        <w:t xml:space="preserve"> Table</w:t>
      </w:r>
      <w:bookmarkEnd w:id="8"/>
      <w:bookmarkEnd w:id="9"/>
      <w:bookmarkEnd w:id="10"/>
    </w:p>
    <w:p w14:paraId="308AA15E" w14:textId="623C1548" w:rsidR="00494065" w:rsidRDefault="00494065" w:rsidP="002D5EAA">
      <w:r>
        <w:t>HERC develops recommendations by using the concepts of the GRADE system. GRADE is a transparent and structured process for developing and presenting evidence and for performing the steps involved in developing recommendations. The table below lists the elements that determine the strength of a recommendation. HERC reviews the evidence and assesses each element, which in turn is used to develop the recommendations presented in the coverage guidance box. Estimates of effect are derived from the evidence presented in this doc</w:t>
      </w:r>
      <w:r w:rsidRPr="006E7616">
        <w:t xml:space="preserve">ument. </w:t>
      </w:r>
      <w:r w:rsidRPr="00D72A42">
        <w:t>The level of confidence in the estimate is determined by HERC based on the assessment of two independent reviewers from the Center for Evidence-based Policy.</w:t>
      </w:r>
    </w:p>
    <w:p w14:paraId="515D67E4" w14:textId="54B19F14" w:rsidR="00494065" w:rsidRPr="00996B94" w:rsidRDefault="00494065" w:rsidP="002D5EAA">
      <w:r w:rsidRPr="00996B94">
        <w:t xml:space="preserve">In some cases, no systematic reviews or meta-analyses encompass the most current literature. In those cases, HERC may describe the additional evidence or alter the assessments of confidence </w:t>
      </w:r>
      <w:r w:rsidR="00354EEC" w:rsidRPr="00996B94">
        <w:t>considering</w:t>
      </w:r>
      <w:r w:rsidRPr="00996B94">
        <w:t xml:space="preserve"> all available information. Such assessments are informed by clinical epidemiologists from the Center for Evidence-based Policy. Unless otherwise noted, statements regarding resource allocation, values and preferences, and other considerations are the assessments of HERC, as informed by the evidence reviewed, public testimony, and subcommittee discussion. </w:t>
      </w:r>
    </w:p>
    <w:p w14:paraId="07678061" w14:textId="77777777" w:rsidR="00494065" w:rsidRDefault="00494065" w:rsidP="002D5EAA">
      <w:r w:rsidRPr="00996B94">
        <w:lastRenderedPageBreak/>
        <w:t>Recommendations for coverage are based on the balance of benefit and harms, resource allocation, values and preferences and other considerations. See Appendix A for more details about the factors that constitute the GRADE table.</w:t>
      </w:r>
    </w:p>
    <w:p w14:paraId="28B4C7F4" w14:textId="77777777" w:rsidR="00494065" w:rsidRDefault="00494065" w:rsidP="002D5EAA">
      <w:pPr>
        <w:sectPr w:rsidR="00494065" w:rsidSect="001D27B8">
          <w:footerReference w:type="default" r:id="rId13"/>
          <w:type w:val="continuous"/>
          <w:pgSz w:w="12240" w:h="15840"/>
          <w:pgMar w:top="1170" w:right="1440" w:bottom="1440" w:left="1440" w:header="720" w:footer="432" w:gutter="0"/>
          <w:cols w:space="720"/>
          <w:docGrid w:linePitch="360"/>
        </w:sectPr>
      </w:pPr>
    </w:p>
    <w:p w14:paraId="3A67B6C1" w14:textId="77777777" w:rsidR="00494065" w:rsidRDefault="00494065" w:rsidP="002D5EAA">
      <w:pPr>
        <w:pStyle w:val="Heading1"/>
      </w:pPr>
      <w:bookmarkStart w:id="11" w:name="_Toc519593862"/>
      <w:bookmarkStart w:id="12" w:name="_Toc72335261"/>
      <w:bookmarkStart w:id="13" w:name="_Toc87358431"/>
      <w:r>
        <w:lastRenderedPageBreak/>
        <w:t>GRADE Table</w:t>
      </w:r>
      <w:bookmarkEnd w:id="11"/>
      <w:r>
        <w:t>s</w:t>
      </w:r>
      <w:bookmarkEnd w:id="12"/>
      <w:bookmarkEnd w:id="13"/>
    </w:p>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770"/>
        <w:gridCol w:w="2340"/>
        <w:gridCol w:w="2070"/>
        <w:gridCol w:w="2052"/>
      </w:tblGrid>
      <w:tr w:rsidR="00494065" w:rsidRPr="007A1008" w14:paraId="62AFE196" w14:textId="77777777" w:rsidTr="002D5EAA">
        <w:trPr>
          <w:cantSplit/>
          <w:trHeight w:val="547"/>
          <w:tblHeader/>
        </w:trPr>
        <w:tc>
          <w:tcPr>
            <w:tcW w:w="13140" w:type="dxa"/>
            <w:gridSpan w:val="5"/>
            <w:tcBorders>
              <w:top w:val="nil"/>
              <w:left w:val="nil"/>
              <w:right w:val="nil"/>
            </w:tcBorders>
            <w:shd w:val="clear" w:color="auto" w:fill="auto"/>
            <w:vAlign w:val="center"/>
          </w:tcPr>
          <w:p w14:paraId="37DADF28" w14:textId="3D309CC8" w:rsidR="00494065" w:rsidRPr="007A1008" w:rsidRDefault="00494065" w:rsidP="002D5EAA">
            <w:pPr>
              <w:pStyle w:val="Heading2"/>
              <w:rPr>
                <w:rFonts w:asciiTheme="minorHAnsi" w:hAnsiTheme="minorHAnsi"/>
              </w:rPr>
            </w:pPr>
            <w:bookmarkStart w:id="14" w:name="_Toc72335262"/>
            <w:bookmarkStart w:id="15" w:name="_Toc87358432"/>
            <w:r w:rsidRPr="00535FC0">
              <w:t xml:space="preserve">Should </w:t>
            </w:r>
            <w:r>
              <w:t>high</w:t>
            </w:r>
            <w:r w:rsidR="00354EEC">
              <w:t>-</w:t>
            </w:r>
            <w:r>
              <w:t>frequency chest wall oscillation devices</w:t>
            </w:r>
            <w:r w:rsidRPr="00535FC0">
              <w:t xml:space="preserve"> be</w:t>
            </w:r>
            <w:r>
              <w:t xml:space="preserve"> recommended for coverage for children and adults with </w:t>
            </w:r>
            <w:r w:rsidRPr="00230D48">
              <w:t>cystic fibrosis</w:t>
            </w:r>
            <w:r w:rsidRPr="00535FC0">
              <w:t>?</w:t>
            </w:r>
            <w:bookmarkEnd w:id="14"/>
            <w:bookmarkEnd w:id="15"/>
          </w:p>
        </w:tc>
      </w:tr>
      <w:tr w:rsidR="00494065" w:rsidRPr="007A1008" w14:paraId="653747E8" w14:textId="77777777" w:rsidTr="002D5EAA">
        <w:trPr>
          <w:cantSplit/>
          <w:trHeight w:val="547"/>
          <w:tblHeader/>
        </w:trPr>
        <w:tc>
          <w:tcPr>
            <w:tcW w:w="1908" w:type="dxa"/>
            <w:shd w:val="clear" w:color="auto" w:fill="C6D9F1"/>
            <w:vAlign w:val="center"/>
          </w:tcPr>
          <w:p w14:paraId="106E3274"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Outcomes</w:t>
            </w:r>
          </w:p>
        </w:tc>
        <w:tc>
          <w:tcPr>
            <w:tcW w:w="4770" w:type="dxa"/>
            <w:shd w:val="clear" w:color="auto" w:fill="C6D9F1"/>
            <w:vAlign w:val="center"/>
          </w:tcPr>
          <w:p w14:paraId="6E924263"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Estimate of Effect for Outcome/</w:t>
            </w:r>
          </w:p>
          <w:p w14:paraId="7C09BD48" w14:textId="77777777" w:rsidR="00494065" w:rsidRPr="007A1008" w:rsidRDefault="00494065" w:rsidP="002D5EAA">
            <w:pPr>
              <w:spacing w:after="0" w:line="240" w:lineRule="auto"/>
              <w:rPr>
                <w:rFonts w:ascii="Calibri" w:eastAsia="Calibri" w:hAnsi="Calibri" w:cs="Arial"/>
                <w:b/>
                <w:i/>
              </w:rPr>
            </w:pPr>
            <w:r w:rsidRPr="007A1008">
              <w:rPr>
                <w:rFonts w:ascii="Calibri" w:eastAsia="Calibri" w:hAnsi="Calibri" w:cs="Arial"/>
                <w:b/>
                <w:i/>
              </w:rPr>
              <w:t>Confidence in Estimate</w:t>
            </w:r>
          </w:p>
        </w:tc>
        <w:tc>
          <w:tcPr>
            <w:tcW w:w="2340" w:type="dxa"/>
            <w:shd w:val="clear" w:color="auto" w:fill="C6D9F1"/>
            <w:vAlign w:val="center"/>
          </w:tcPr>
          <w:p w14:paraId="1CAF73F6"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Resource Allocation</w:t>
            </w:r>
          </w:p>
        </w:tc>
        <w:tc>
          <w:tcPr>
            <w:tcW w:w="2070" w:type="dxa"/>
            <w:shd w:val="clear" w:color="auto" w:fill="C6D9F1"/>
            <w:vAlign w:val="center"/>
          </w:tcPr>
          <w:p w14:paraId="12006123"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Values and Preferences</w:t>
            </w:r>
          </w:p>
        </w:tc>
        <w:tc>
          <w:tcPr>
            <w:tcW w:w="2052" w:type="dxa"/>
            <w:shd w:val="clear" w:color="auto" w:fill="C6D9F1"/>
            <w:vAlign w:val="center"/>
          </w:tcPr>
          <w:p w14:paraId="339B3B1B"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Other Considerations</w:t>
            </w:r>
          </w:p>
        </w:tc>
      </w:tr>
      <w:tr w:rsidR="00494065" w:rsidRPr="007A1008" w14:paraId="345DA20B" w14:textId="77777777" w:rsidTr="002D5EAA">
        <w:trPr>
          <w:cantSplit/>
          <w:trHeight w:val="305"/>
        </w:trPr>
        <w:tc>
          <w:tcPr>
            <w:tcW w:w="1908" w:type="dxa"/>
            <w:shd w:val="clear" w:color="auto" w:fill="auto"/>
          </w:tcPr>
          <w:p w14:paraId="14CE8BF7" w14:textId="77777777" w:rsidR="00494065" w:rsidRPr="007A1008" w:rsidRDefault="00494065" w:rsidP="002D5EAA">
            <w:pPr>
              <w:spacing w:after="0" w:line="240" w:lineRule="auto"/>
              <w:rPr>
                <w:rFonts w:ascii="Calibri" w:eastAsia="Calibri" w:hAnsi="Calibri" w:cs="Arial"/>
                <w:i/>
              </w:rPr>
            </w:pPr>
            <w:r>
              <w:rPr>
                <w:rFonts w:ascii="Calibri" w:eastAsia="Calibri" w:hAnsi="Calibri" w:cs="Arial"/>
                <w:b/>
              </w:rPr>
              <w:t>Hospitalizations</w:t>
            </w:r>
            <w:r w:rsidRPr="007A1008">
              <w:rPr>
                <w:rFonts w:ascii="Calibri" w:eastAsia="Calibri" w:hAnsi="Calibri" w:cs="Arial"/>
              </w:rPr>
              <w:t xml:space="preserve"> </w:t>
            </w:r>
            <w:r w:rsidRPr="007A1008">
              <w:rPr>
                <w:rFonts w:ascii="Calibri" w:eastAsia="Calibri" w:hAnsi="Calibri" w:cs="Arial"/>
                <w:i/>
              </w:rPr>
              <w:t>(Critical outcome)</w:t>
            </w:r>
          </w:p>
        </w:tc>
        <w:tc>
          <w:tcPr>
            <w:tcW w:w="4770" w:type="dxa"/>
            <w:shd w:val="clear" w:color="auto" w:fill="auto"/>
          </w:tcPr>
          <w:p w14:paraId="1792A4D1" w14:textId="1F099788" w:rsidR="00D6157D" w:rsidRDefault="00D6157D" w:rsidP="00D6157D">
            <w:pPr>
              <w:spacing w:after="0" w:line="240" w:lineRule="auto"/>
            </w:pPr>
            <w:r w:rsidRPr="004C23E8">
              <w:rPr>
                <w:u w:val="single"/>
              </w:rPr>
              <w:t>Compared to chest physiotherapy</w:t>
            </w:r>
            <w:r>
              <w:t xml:space="preserve">: </w:t>
            </w:r>
            <w:r>
              <w:br/>
            </w:r>
            <w:r w:rsidR="00BB3966">
              <w:t>N</w:t>
            </w:r>
            <w:r>
              <w:t xml:space="preserve">o significant difference in </w:t>
            </w:r>
            <w:r w:rsidR="00394021">
              <w:t xml:space="preserve">mean </w:t>
            </w:r>
            <w:r>
              <w:t>days of hospit</w:t>
            </w:r>
            <w:r w:rsidR="00394021">
              <w:t>alization</w:t>
            </w:r>
            <w:r>
              <w:t xml:space="preserve"> (mean difference, -0.20; 95% CI, -2.32 to 1.92; </w:t>
            </w:r>
            <w:r>
              <w:rPr>
                <w:i/>
              </w:rPr>
              <w:t>P</w:t>
            </w:r>
            <w:r>
              <w:t xml:space="preserve"> &gt; .05).</w:t>
            </w:r>
          </w:p>
          <w:p w14:paraId="09779234" w14:textId="2C921100" w:rsidR="00494065" w:rsidRPr="007A1008" w:rsidRDefault="00D6157D" w:rsidP="002D5EAA">
            <w:pPr>
              <w:spacing w:after="0" w:line="240" w:lineRule="auto"/>
              <w:rPr>
                <w:rFonts w:ascii="Calibri" w:eastAsia="Calibri" w:hAnsi="Calibri" w:cs="Arial"/>
                <w:i/>
              </w:rPr>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very low confidence, based on 1 RCT, n </w:t>
            </w:r>
            <w:r w:rsidRPr="007A1008">
              <w:rPr>
                <w:rFonts w:ascii="Calibri" w:eastAsia="Calibri" w:hAnsi="Calibri" w:cs="Arial"/>
                <w:i/>
              </w:rPr>
              <w:t>=</w:t>
            </w:r>
            <w:r>
              <w:rPr>
                <w:rFonts w:ascii="Calibri" w:eastAsia="Calibri" w:hAnsi="Calibri" w:cs="Arial"/>
                <w:i/>
              </w:rPr>
              <w:t> 50</w:t>
            </w:r>
            <w:r w:rsidRPr="007A1008">
              <w:rPr>
                <w:rFonts w:ascii="Calibri" w:eastAsia="Calibri" w:hAnsi="Calibri" w:cs="Arial"/>
                <w:i/>
              </w:rPr>
              <w:t>)</w:t>
            </w:r>
          </w:p>
        </w:tc>
        <w:tc>
          <w:tcPr>
            <w:tcW w:w="2340" w:type="dxa"/>
            <w:vMerge w:val="restart"/>
            <w:shd w:val="clear" w:color="auto" w:fill="auto"/>
          </w:tcPr>
          <w:p w14:paraId="1F487732" w14:textId="7DFA1656" w:rsidR="00494065" w:rsidRPr="0029564F" w:rsidRDefault="00494065" w:rsidP="0029564F">
            <w:pPr>
              <w:spacing w:line="240" w:lineRule="auto"/>
              <w:rPr>
                <w:rFonts w:ascii="Calibri" w:eastAsia="Calibri" w:hAnsi="Calibri" w:cs="Arial"/>
              </w:rPr>
            </w:pPr>
            <w:r w:rsidRPr="0029564F">
              <w:rPr>
                <w:rFonts w:ascii="Calibri" w:eastAsia="Calibri" w:hAnsi="Calibri" w:cs="Arial"/>
              </w:rPr>
              <w:t>Coverage of high</w:t>
            </w:r>
            <w:r w:rsidR="00975805">
              <w:rPr>
                <w:rFonts w:ascii="Calibri" w:eastAsia="Calibri" w:hAnsi="Calibri" w:cs="Arial"/>
              </w:rPr>
              <w:t>-</w:t>
            </w:r>
            <w:r w:rsidRPr="0029564F">
              <w:rPr>
                <w:rFonts w:ascii="Calibri" w:eastAsia="Calibri" w:hAnsi="Calibri" w:cs="Arial"/>
              </w:rPr>
              <w:t xml:space="preserve">frequency </w:t>
            </w:r>
            <w:r w:rsidR="006A064C" w:rsidRPr="0029564F">
              <w:rPr>
                <w:rFonts w:ascii="Calibri" w:eastAsia="Calibri" w:hAnsi="Calibri" w:cs="Arial"/>
              </w:rPr>
              <w:t>chest wall oscillation</w:t>
            </w:r>
            <w:r w:rsidRPr="0029564F">
              <w:rPr>
                <w:rFonts w:ascii="Calibri" w:eastAsia="Calibri" w:hAnsi="Calibri" w:cs="Arial"/>
              </w:rPr>
              <w:t xml:space="preserve"> would add significant cost compared to chest physiotherapy or positive expiratory pressure devices. </w:t>
            </w:r>
            <w:r w:rsidRPr="0029564F">
              <w:rPr>
                <w:rFonts w:ascii="Calibri" w:eastAsia="Calibri" w:hAnsi="Calibri" w:cs="Arial"/>
              </w:rPr>
              <w:lastRenderedPageBreak/>
              <w:t xml:space="preserve">However, in situations in which chest physiotherapy is not consistently available or tolerated and positive expiratory pressure devices are not effective or tolerated, the additional cost of the </w:t>
            </w:r>
            <w:r w:rsidR="00975805" w:rsidRPr="004E0E0F">
              <w:rPr>
                <w:rFonts w:ascii="Calibri" w:eastAsia="Calibri" w:hAnsi="Calibri" w:cs="Arial"/>
              </w:rPr>
              <w:t>high</w:t>
            </w:r>
            <w:r w:rsidR="00975805">
              <w:rPr>
                <w:rFonts w:ascii="Calibri" w:eastAsia="Calibri" w:hAnsi="Calibri" w:cs="Arial"/>
              </w:rPr>
              <w:t>-</w:t>
            </w:r>
            <w:r w:rsidR="00975805" w:rsidRPr="004E0E0F">
              <w:rPr>
                <w:rFonts w:ascii="Calibri" w:eastAsia="Calibri" w:hAnsi="Calibri" w:cs="Arial"/>
              </w:rPr>
              <w:t>frequency chest wall oscillation</w:t>
            </w:r>
            <w:r w:rsidRPr="0029564F">
              <w:rPr>
                <w:rFonts w:ascii="Calibri" w:eastAsia="Calibri" w:hAnsi="Calibri" w:cs="Arial"/>
              </w:rPr>
              <w:t xml:space="preserve"> device would be offset to the extent that it reduces hospitalizations and exacerbations.</w:t>
            </w:r>
          </w:p>
          <w:p w14:paraId="1AC18169" w14:textId="07E7633B" w:rsidR="00494065" w:rsidRPr="0029564F" w:rsidRDefault="00494065" w:rsidP="0029564F">
            <w:pPr>
              <w:spacing w:after="0" w:line="240" w:lineRule="auto"/>
              <w:rPr>
                <w:rFonts w:ascii="Calibri" w:eastAsia="Calibri" w:hAnsi="Calibri" w:cs="Arial"/>
              </w:rPr>
            </w:pPr>
            <w:r w:rsidRPr="0029564F">
              <w:rPr>
                <w:rFonts w:ascii="Calibri" w:eastAsia="Calibri" w:hAnsi="Calibri" w:cs="Arial"/>
              </w:rPr>
              <w:t xml:space="preserve">Chest physiotherapy </w:t>
            </w:r>
            <w:r w:rsidR="00975805">
              <w:rPr>
                <w:rFonts w:ascii="Calibri" w:eastAsia="Calibri" w:hAnsi="Calibri" w:cs="Arial"/>
              </w:rPr>
              <w:t xml:space="preserve">must be provided by </w:t>
            </w:r>
            <w:r w:rsidRPr="0029564F">
              <w:rPr>
                <w:rFonts w:ascii="Calibri" w:eastAsia="Calibri" w:hAnsi="Calibri" w:cs="Arial"/>
              </w:rPr>
              <w:t xml:space="preserve">a trained caregiver for 20 to 40 minutes, one or more times per day; could be provided by a paid or unpaid caregiver. </w:t>
            </w:r>
          </w:p>
        </w:tc>
        <w:tc>
          <w:tcPr>
            <w:tcW w:w="2070" w:type="dxa"/>
            <w:vMerge w:val="restart"/>
            <w:shd w:val="clear" w:color="auto" w:fill="auto"/>
          </w:tcPr>
          <w:p w14:paraId="0C8E565D" w14:textId="310F93A1" w:rsidR="00494065" w:rsidRPr="0029564F" w:rsidRDefault="00494065" w:rsidP="0029564F">
            <w:pPr>
              <w:spacing w:after="0" w:line="240" w:lineRule="auto"/>
              <w:rPr>
                <w:rFonts w:ascii="Calibri" w:eastAsia="Calibri" w:hAnsi="Calibri" w:cs="Arial"/>
              </w:rPr>
            </w:pPr>
            <w:r w:rsidRPr="0029564F">
              <w:rPr>
                <w:rFonts w:ascii="Calibri" w:eastAsia="Calibri" w:hAnsi="Calibri" w:cs="Arial"/>
              </w:rPr>
              <w:lastRenderedPageBreak/>
              <w:t>Patients may prefer treatment options that can be self-administered, confer greater independence, and ensure reliable</w:t>
            </w:r>
            <w:r w:rsidR="00604928" w:rsidRPr="0029564F">
              <w:rPr>
                <w:rFonts w:ascii="Calibri" w:eastAsia="Calibri" w:hAnsi="Calibri" w:cs="Arial"/>
              </w:rPr>
              <w:t xml:space="preserve"> and </w:t>
            </w:r>
            <w:r w:rsidRPr="0029564F">
              <w:rPr>
                <w:rFonts w:ascii="Calibri" w:eastAsia="Calibri" w:hAnsi="Calibri" w:cs="Arial"/>
              </w:rPr>
              <w:lastRenderedPageBreak/>
              <w:t xml:space="preserve">consistent treatment. </w:t>
            </w:r>
          </w:p>
        </w:tc>
        <w:tc>
          <w:tcPr>
            <w:tcW w:w="2052" w:type="dxa"/>
            <w:vMerge w:val="restart"/>
            <w:shd w:val="clear" w:color="auto" w:fill="auto"/>
          </w:tcPr>
          <w:p w14:paraId="4B93F09F" w14:textId="77777777" w:rsidR="00494065" w:rsidRPr="0029564F" w:rsidRDefault="00494065" w:rsidP="0029564F">
            <w:pPr>
              <w:spacing w:line="240" w:lineRule="auto"/>
              <w:rPr>
                <w:rFonts w:ascii="Calibri" w:eastAsia="Calibri" w:hAnsi="Calibri" w:cs="Arial"/>
              </w:rPr>
            </w:pPr>
            <w:r w:rsidRPr="0029564F">
              <w:rPr>
                <w:rFonts w:ascii="Calibri" w:eastAsia="Calibri" w:hAnsi="Calibri" w:cs="Arial"/>
              </w:rPr>
              <w:lastRenderedPageBreak/>
              <w:t xml:space="preserve">Some patients may not be able to tolerate chest physiotherapy or positive expiratory pressure devices. </w:t>
            </w:r>
          </w:p>
          <w:p w14:paraId="4A62337A" w14:textId="4B067E2D" w:rsidR="00494065" w:rsidRPr="0029564F" w:rsidRDefault="00494065" w:rsidP="0029564F">
            <w:pPr>
              <w:spacing w:after="0" w:line="240" w:lineRule="auto"/>
              <w:rPr>
                <w:rFonts w:ascii="Calibri" w:eastAsia="Calibri" w:hAnsi="Calibri" w:cs="Arial"/>
              </w:rPr>
            </w:pPr>
            <w:r w:rsidRPr="0029564F">
              <w:rPr>
                <w:rFonts w:ascii="Calibri" w:eastAsia="Calibri" w:hAnsi="Calibri" w:cs="Arial"/>
              </w:rPr>
              <w:lastRenderedPageBreak/>
              <w:t>Some patients may not have caregivers who are available or physically able to administer daily chest</w:t>
            </w:r>
            <w:r w:rsidR="00214F8D">
              <w:rPr>
                <w:rFonts w:ascii="Calibri" w:eastAsia="Calibri" w:hAnsi="Calibri" w:cs="Arial"/>
              </w:rPr>
              <w:t xml:space="preserve"> </w:t>
            </w:r>
            <w:r w:rsidRPr="0029564F">
              <w:rPr>
                <w:rFonts w:ascii="Calibri" w:eastAsia="Calibri" w:hAnsi="Calibri" w:cs="Arial"/>
              </w:rPr>
              <w:t>physiotherapy.</w:t>
            </w:r>
          </w:p>
        </w:tc>
      </w:tr>
      <w:tr w:rsidR="00494065" w:rsidRPr="007A1008" w14:paraId="44038E93" w14:textId="77777777" w:rsidTr="0029564F">
        <w:trPr>
          <w:trHeight w:val="638"/>
        </w:trPr>
        <w:tc>
          <w:tcPr>
            <w:tcW w:w="1908" w:type="dxa"/>
            <w:shd w:val="clear" w:color="auto" w:fill="auto"/>
          </w:tcPr>
          <w:p w14:paraId="071E47DB" w14:textId="6BF48143" w:rsidR="00494065" w:rsidRPr="007A1008" w:rsidRDefault="00494065" w:rsidP="002D5EAA">
            <w:pPr>
              <w:spacing w:after="0" w:line="240" w:lineRule="auto"/>
              <w:rPr>
                <w:rFonts w:ascii="Calibri" w:eastAsia="Calibri" w:hAnsi="Calibri" w:cs="Arial"/>
                <w:i/>
              </w:rPr>
            </w:pPr>
            <w:r>
              <w:rPr>
                <w:rFonts w:ascii="Calibri" w:eastAsia="Calibri" w:hAnsi="Calibri" w:cs="Arial"/>
                <w:b/>
              </w:rPr>
              <w:t>Mortality</w:t>
            </w:r>
            <w:r w:rsidRPr="007A1008">
              <w:rPr>
                <w:rFonts w:ascii="Calibri" w:eastAsia="Calibri" w:hAnsi="Calibri" w:cs="Arial"/>
              </w:rPr>
              <w:t xml:space="preserve"> </w:t>
            </w:r>
            <w:r w:rsidR="002D0CCE">
              <w:rPr>
                <w:rFonts w:ascii="Calibri" w:eastAsia="Calibri" w:hAnsi="Calibri" w:cs="Arial"/>
              </w:rPr>
              <w:br/>
            </w:r>
            <w:r w:rsidRPr="007A1008">
              <w:rPr>
                <w:rFonts w:ascii="Calibri" w:eastAsia="Calibri" w:hAnsi="Calibri" w:cs="Arial"/>
                <w:i/>
              </w:rPr>
              <w:t>(Critical outcome)</w:t>
            </w:r>
          </w:p>
        </w:tc>
        <w:tc>
          <w:tcPr>
            <w:tcW w:w="4770" w:type="dxa"/>
            <w:shd w:val="clear" w:color="auto" w:fill="auto"/>
          </w:tcPr>
          <w:p w14:paraId="2FB75774" w14:textId="77777777" w:rsidR="00494065" w:rsidRPr="007A1008" w:rsidRDefault="00494065" w:rsidP="002D5EAA">
            <w:pPr>
              <w:spacing w:after="0" w:line="240" w:lineRule="auto"/>
              <w:rPr>
                <w:rFonts w:ascii="Calibri" w:eastAsia="Calibri" w:hAnsi="Calibri" w:cs="Arial"/>
                <w:i/>
              </w:rPr>
            </w:pPr>
            <w:r>
              <w:rPr>
                <w:rFonts w:ascii="Calibri" w:eastAsia="Calibri" w:hAnsi="Calibri" w:cs="Arial"/>
              </w:rPr>
              <w:t>No evidence</w:t>
            </w:r>
          </w:p>
        </w:tc>
        <w:tc>
          <w:tcPr>
            <w:tcW w:w="2340" w:type="dxa"/>
            <w:vMerge/>
            <w:shd w:val="clear" w:color="auto" w:fill="auto"/>
          </w:tcPr>
          <w:p w14:paraId="27A2CE24" w14:textId="77777777" w:rsidR="00494065" w:rsidRPr="007A1008" w:rsidRDefault="00494065" w:rsidP="002D5EAA">
            <w:pPr>
              <w:spacing w:after="0" w:line="240" w:lineRule="auto"/>
              <w:rPr>
                <w:rFonts w:ascii="Calibri" w:eastAsia="Calibri" w:hAnsi="Calibri" w:cs="Arial"/>
              </w:rPr>
            </w:pPr>
          </w:p>
        </w:tc>
        <w:tc>
          <w:tcPr>
            <w:tcW w:w="2070" w:type="dxa"/>
            <w:vMerge/>
            <w:shd w:val="clear" w:color="auto" w:fill="auto"/>
          </w:tcPr>
          <w:p w14:paraId="2BCAFC1E" w14:textId="77777777" w:rsidR="00494065" w:rsidRPr="007A1008" w:rsidRDefault="00494065" w:rsidP="002D5EAA">
            <w:pPr>
              <w:spacing w:after="0" w:line="240" w:lineRule="auto"/>
              <w:rPr>
                <w:rFonts w:ascii="Calibri" w:eastAsia="Calibri" w:hAnsi="Calibri" w:cs="Arial"/>
              </w:rPr>
            </w:pPr>
          </w:p>
        </w:tc>
        <w:tc>
          <w:tcPr>
            <w:tcW w:w="2052" w:type="dxa"/>
            <w:vMerge/>
            <w:shd w:val="clear" w:color="auto" w:fill="auto"/>
          </w:tcPr>
          <w:p w14:paraId="2536D7DA" w14:textId="77777777" w:rsidR="00494065" w:rsidRPr="007A1008" w:rsidRDefault="00494065" w:rsidP="002D5EAA">
            <w:pPr>
              <w:spacing w:after="0" w:line="240" w:lineRule="auto"/>
              <w:rPr>
                <w:rFonts w:ascii="Calibri" w:eastAsia="Calibri" w:hAnsi="Calibri" w:cs="Arial"/>
              </w:rPr>
            </w:pPr>
          </w:p>
        </w:tc>
      </w:tr>
      <w:tr w:rsidR="00494065" w:rsidRPr="007A1008" w14:paraId="6DAD330D" w14:textId="77777777" w:rsidTr="002D5EAA">
        <w:trPr>
          <w:cantSplit/>
          <w:trHeight w:val="1611"/>
        </w:trPr>
        <w:tc>
          <w:tcPr>
            <w:tcW w:w="1908" w:type="dxa"/>
            <w:shd w:val="clear" w:color="auto" w:fill="auto"/>
          </w:tcPr>
          <w:p w14:paraId="57818913" w14:textId="77777777" w:rsidR="00494065" w:rsidRPr="007A1008" w:rsidRDefault="00494065" w:rsidP="002D5EAA">
            <w:pPr>
              <w:spacing w:after="0" w:line="240" w:lineRule="auto"/>
              <w:rPr>
                <w:rFonts w:ascii="Calibri" w:eastAsia="Calibri" w:hAnsi="Calibri" w:cs="Arial"/>
                <w:i/>
              </w:rPr>
            </w:pPr>
            <w:r>
              <w:rPr>
                <w:rFonts w:ascii="Calibri" w:eastAsia="Calibri" w:hAnsi="Calibri" w:cs="Arial"/>
                <w:b/>
              </w:rPr>
              <w:lastRenderedPageBreak/>
              <w:t>Pulmonary Exacerbations Requiring A</w:t>
            </w:r>
            <w:r w:rsidRPr="0082212A">
              <w:rPr>
                <w:rFonts w:ascii="Calibri" w:eastAsia="Calibri" w:hAnsi="Calibri" w:cs="Arial"/>
                <w:b/>
              </w:rPr>
              <w:t>ntibiotics</w:t>
            </w:r>
            <w:r w:rsidRPr="007A1008">
              <w:rPr>
                <w:rFonts w:ascii="Calibri" w:eastAsia="Calibri" w:hAnsi="Calibri" w:cs="Arial"/>
              </w:rPr>
              <w:t xml:space="preserve"> </w:t>
            </w:r>
            <w:r w:rsidRPr="007A1008">
              <w:rPr>
                <w:rFonts w:ascii="Calibri" w:eastAsia="Calibri" w:hAnsi="Calibri" w:cs="Arial"/>
                <w:i/>
              </w:rPr>
              <w:t>(Important outcome)</w:t>
            </w:r>
          </w:p>
        </w:tc>
        <w:tc>
          <w:tcPr>
            <w:tcW w:w="4770" w:type="dxa"/>
            <w:shd w:val="clear" w:color="auto" w:fill="auto"/>
          </w:tcPr>
          <w:p w14:paraId="5A48E37A" w14:textId="69EA24A6" w:rsidR="00CA0102" w:rsidRDefault="00CA0102" w:rsidP="002D5EAA">
            <w:pPr>
              <w:spacing w:after="0" w:line="240" w:lineRule="auto"/>
              <w:rPr>
                <w:rFonts w:ascii="Calibri" w:eastAsia="Calibri" w:hAnsi="Calibri" w:cs="Arial"/>
                <w:u w:val="single"/>
              </w:rPr>
            </w:pPr>
            <w:r>
              <w:rPr>
                <w:rFonts w:ascii="Calibri" w:eastAsia="Calibri" w:hAnsi="Calibri" w:cs="Arial"/>
              </w:rPr>
              <w:t>Mixed results</w:t>
            </w:r>
          </w:p>
          <w:p w14:paraId="3BFE692E" w14:textId="5DBDED63" w:rsidR="00585EC6" w:rsidRDefault="00494065" w:rsidP="002D5EAA">
            <w:pPr>
              <w:spacing w:after="0" w:line="240" w:lineRule="auto"/>
              <w:rPr>
                <w:rFonts w:ascii="Calibri" w:eastAsia="Calibri" w:hAnsi="Calibri" w:cs="Arial"/>
              </w:rPr>
            </w:pPr>
            <w:r w:rsidRPr="004C23E8">
              <w:rPr>
                <w:rFonts w:ascii="Calibri" w:eastAsia="Calibri" w:hAnsi="Calibri" w:cs="Arial"/>
                <w:u w:val="single"/>
              </w:rPr>
              <w:t>Compared to positive expiratory pressure</w:t>
            </w:r>
            <w:r>
              <w:rPr>
                <w:rFonts w:ascii="Calibri" w:eastAsia="Calibri" w:hAnsi="Calibri" w:cs="Arial"/>
              </w:rPr>
              <w:t xml:space="preserve">: </w:t>
            </w:r>
          </w:p>
          <w:p w14:paraId="6CD460B7" w14:textId="29F8856F" w:rsidR="001649BF" w:rsidRDefault="001649BF" w:rsidP="002D5EAA">
            <w:pPr>
              <w:spacing w:after="0" w:line="240" w:lineRule="auto"/>
            </w:pPr>
            <w:r>
              <w:t>S</w:t>
            </w:r>
            <w:r w:rsidR="00494065">
              <w:t>ignificantly more exacerbations</w:t>
            </w:r>
            <w:r w:rsidR="008A25F8">
              <w:t xml:space="preserve"> requiring antibiotics</w:t>
            </w:r>
            <w:r w:rsidR="00494065">
              <w:t xml:space="preserve"> (median, 2.0; interquartile range, 1.0 to 3.0) than the positive expiratory pressure therapy group (median, 1.</w:t>
            </w:r>
            <w:r w:rsidR="005A7F30">
              <w:t>14</w:t>
            </w:r>
            <w:r w:rsidR="00494065">
              <w:t xml:space="preserve">; interquartile range, 0.0 to 2.0; </w:t>
            </w:r>
            <w:r w:rsidR="00293F72">
              <w:t>o</w:t>
            </w:r>
            <w:r w:rsidR="006C3BBB">
              <w:t xml:space="preserve">dds </w:t>
            </w:r>
            <w:r w:rsidR="0025759B">
              <w:t>r</w:t>
            </w:r>
            <w:r w:rsidR="006C3BBB">
              <w:t xml:space="preserve">atio, </w:t>
            </w:r>
            <w:r w:rsidR="00B25689">
              <w:t xml:space="preserve">4.10; 95% CI, 1.42 to 11.84; </w:t>
            </w:r>
            <w:r w:rsidR="00DA4DCD">
              <w:rPr>
                <w:i/>
              </w:rPr>
              <w:t>P</w:t>
            </w:r>
            <w:r w:rsidR="00494065">
              <w:t xml:space="preserve"> = .007)</w:t>
            </w:r>
          </w:p>
          <w:p w14:paraId="3D071FC1" w14:textId="77777777" w:rsidR="001649BF" w:rsidRDefault="001649BF" w:rsidP="002D5EAA">
            <w:pPr>
              <w:spacing w:after="0" w:line="240" w:lineRule="auto"/>
            </w:pPr>
          </w:p>
          <w:p w14:paraId="1F74786B" w14:textId="1811E464" w:rsidR="00494065" w:rsidRPr="005F3ECA" w:rsidRDefault="00E3456E" w:rsidP="002D5EAA">
            <w:pPr>
              <w:spacing w:after="0" w:line="240" w:lineRule="auto"/>
            </w:pPr>
            <w:r>
              <w:t>N</w:t>
            </w:r>
            <w:r w:rsidR="001649BF">
              <w:t xml:space="preserve">o significant difference when limited to IV antibiotics </w:t>
            </w:r>
            <w:r w:rsidR="0077449F">
              <w:t>(</w:t>
            </w:r>
            <w:r w:rsidR="00711D51">
              <w:t>OR, 2.36; 95% CI, 0.81 to 6.94)</w:t>
            </w:r>
            <w:r w:rsidR="00DB0EF1">
              <w:t xml:space="preserve"> </w:t>
            </w:r>
          </w:p>
          <w:p w14:paraId="523C6488" w14:textId="6C40A712" w:rsidR="00494065" w:rsidRDefault="00494065" w:rsidP="0029564F">
            <w:pPr>
              <w:spacing w:line="240" w:lineRule="auto"/>
              <w:rPr>
                <w:rFonts w:ascii="Calibri" w:eastAsia="Calibri" w:hAnsi="Calibri" w:cs="Arial"/>
                <w:i/>
              </w:rPr>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very low confidence, based on 1 RCT, n</w:t>
            </w:r>
            <w:r w:rsidR="002D0CCE">
              <w:rPr>
                <w:rFonts w:ascii="Calibri" w:eastAsia="Calibri" w:hAnsi="Calibri" w:cs="Arial"/>
                <w:i/>
              </w:rPr>
              <w:t> </w:t>
            </w:r>
            <w:r w:rsidRPr="007A1008">
              <w:rPr>
                <w:rFonts w:ascii="Calibri" w:eastAsia="Calibri" w:hAnsi="Calibri" w:cs="Arial"/>
                <w:i/>
              </w:rPr>
              <w:t>=</w:t>
            </w:r>
            <w:r w:rsidR="002D0CCE">
              <w:rPr>
                <w:rFonts w:ascii="Calibri" w:eastAsia="Calibri" w:hAnsi="Calibri" w:cs="Arial"/>
                <w:i/>
              </w:rPr>
              <w:t> </w:t>
            </w:r>
            <w:r>
              <w:rPr>
                <w:rFonts w:ascii="Calibri" w:eastAsia="Calibri" w:hAnsi="Calibri" w:cs="Arial"/>
                <w:i/>
              </w:rPr>
              <w:t>107</w:t>
            </w:r>
            <w:r w:rsidRPr="007A1008">
              <w:rPr>
                <w:rFonts w:ascii="Calibri" w:eastAsia="Calibri" w:hAnsi="Calibri" w:cs="Arial"/>
                <w:i/>
              </w:rPr>
              <w:t>)</w:t>
            </w:r>
          </w:p>
          <w:p w14:paraId="2848D423" w14:textId="46EE76D1" w:rsidR="00494065" w:rsidRDefault="00494065" w:rsidP="002D5EAA">
            <w:pPr>
              <w:spacing w:after="0" w:line="240" w:lineRule="auto"/>
            </w:pPr>
            <w:r w:rsidRPr="004C23E8">
              <w:rPr>
                <w:u w:val="single"/>
              </w:rPr>
              <w:t>Compared to chest physiotherapy</w:t>
            </w:r>
            <w:r>
              <w:t>:</w:t>
            </w:r>
            <w:r w:rsidR="00DA4DCD">
              <w:br/>
            </w:r>
            <w:r w:rsidR="0060367F">
              <w:t>N</w:t>
            </w:r>
            <w:r>
              <w:t xml:space="preserve">o significant difference </w:t>
            </w:r>
            <w:r w:rsidR="006E5551">
              <w:t>in time to pulmonary exacerbation</w:t>
            </w:r>
            <w:r w:rsidR="00934AF3">
              <w:t xml:space="preserve"> requiring antibiotics</w:t>
            </w:r>
            <w:r w:rsidR="006E5551">
              <w:t xml:space="preserve"> </w:t>
            </w:r>
            <w:r w:rsidR="0001662C">
              <w:t>(</w:t>
            </w:r>
            <w:r w:rsidR="00DA4DCD">
              <w:rPr>
                <w:i/>
              </w:rPr>
              <w:t>P</w:t>
            </w:r>
            <w:r>
              <w:t xml:space="preserve"> &gt; .05).</w:t>
            </w:r>
          </w:p>
          <w:p w14:paraId="0CFF1537" w14:textId="06AC550C" w:rsidR="00494065" w:rsidRDefault="00494065" w:rsidP="0029564F">
            <w:pPr>
              <w:spacing w:line="240" w:lineRule="auto"/>
              <w:rPr>
                <w:rFonts w:ascii="Calibri" w:eastAsia="Calibri" w:hAnsi="Calibri" w:cs="Arial"/>
                <w:i/>
              </w:rPr>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very low confidence, based on 1 RCT, n</w:t>
            </w:r>
            <w:r w:rsidR="002D0CCE">
              <w:rPr>
                <w:rFonts w:ascii="Calibri" w:eastAsia="Calibri" w:hAnsi="Calibri" w:cs="Arial"/>
                <w:i/>
              </w:rPr>
              <w:t> </w:t>
            </w:r>
            <w:r w:rsidRPr="007A1008">
              <w:rPr>
                <w:rFonts w:ascii="Calibri" w:eastAsia="Calibri" w:hAnsi="Calibri" w:cs="Arial"/>
                <w:i/>
              </w:rPr>
              <w:t>=</w:t>
            </w:r>
            <w:r w:rsidR="002D0CCE">
              <w:rPr>
                <w:rFonts w:ascii="Calibri" w:eastAsia="Calibri" w:hAnsi="Calibri" w:cs="Arial"/>
                <w:i/>
              </w:rPr>
              <w:t> </w:t>
            </w:r>
            <w:r w:rsidR="006E5551">
              <w:rPr>
                <w:rFonts w:ascii="Calibri" w:eastAsia="Calibri" w:hAnsi="Calibri" w:cs="Arial"/>
                <w:i/>
              </w:rPr>
              <w:t>115</w:t>
            </w:r>
            <w:r w:rsidRPr="007A1008">
              <w:rPr>
                <w:rFonts w:ascii="Calibri" w:eastAsia="Calibri" w:hAnsi="Calibri" w:cs="Arial"/>
                <w:i/>
              </w:rPr>
              <w:t>)</w:t>
            </w:r>
          </w:p>
          <w:p w14:paraId="69CC2A02" w14:textId="77777777" w:rsidR="00CC2DA6" w:rsidRDefault="00494065" w:rsidP="002D5EAA">
            <w:pPr>
              <w:spacing w:after="0" w:line="240" w:lineRule="auto"/>
              <w:rPr>
                <w:rFonts w:ascii="Calibri" w:eastAsia="Calibri" w:hAnsi="Calibri" w:cs="Arial"/>
              </w:rPr>
            </w:pPr>
            <w:r w:rsidRPr="004C23E8">
              <w:rPr>
                <w:rFonts w:ascii="Calibri" w:eastAsia="Calibri" w:hAnsi="Calibri" w:cs="Arial"/>
                <w:u w:val="single"/>
              </w:rPr>
              <w:t>Compared to other oral or external oscillatory devices</w:t>
            </w:r>
            <w:r>
              <w:rPr>
                <w:rFonts w:ascii="Calibri" w:eastAsia="Calibri" w:hAnsi="Calibri" w:cs="Arial"/>
              </w:rPr>
              <w:t xml:space="preserve">: </w:t>
            </w:r>
          </w:p>
          <w:p w14:paraId="3F344515" w14:textId="2B2FF4B9" w:rsidR="00494065" w:rsidRDefault="00CC2DA6" w:rsidP="002D5EAA">
            <w:pPr>
              <w:spacing w:after="0" w:line="240" w:lineRule="auto"/>
              <w:rPr>
                <w:rFonts w:ascii="Calibri" w:eastAsia="Calibri" w:hAnsi="Calibri" w:cs="Arial"/>
              </w:rPr>
            </w:pPr>
            <w:r>
              <w:rPr>
                <w:rFonts w:ascii="Calibri" w:eastAsia="Calibri" w:hAnsi="Calibri" w:cs="Arial"/>
              </w:rPr>
              <w:t>N</w:t>
            </w:r>
            <w:r w:rsidR="00494065">
              <w:rPr>
                <w:rFonts w:ascii="Calibri" w:eastAsia="Calibri" w:hAnsi="Calibri" w:cs="Arial"/>
              </w:rPr>
              <w:t>o significant difference</w:t>
            </w:r>
          </w:p>
          <w:p w14:paraId="534B0680" w14:textId="1E24B5B5" w:rsidR="00494065" w:rsidRPr="004C23E8" w:rsidRDefault="00494065" w:rsidP="002D5EAA">
            <w:pPr>
              <w:spacing w:after="0" w:line="240" w:lineRule="auto"/>
              <w:rPr>
                <w:rFonts w:ascii="Calibri" w:eastAsia="Calibri" w:hAnsi="Calibri" w:cs="Arial"/>
                <w:i/>
              </w:rPr>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very low confidence, based on 1 RCT, n</w:t>
            </w:r>
            <w:r w:rsidR="002D0CCE">
              <w:rPr>
                <w:rFonts w:ascii="Calibri" w:eastAsia="Calibri" w:hAnsi="Calibri" w:cs="Arial"/>
                <w:i/>
              </w:rPr>
              <w:t> </w:t>
            </w:r>
            <w:r w:rsidRPr="007A1008">
              <w:rPr>
                <w:rFonts w:ascii="Calibri" w:eastAsia="Calibri" w:hAnsi="Calibri" w:cs="Arial"/>
                <w:i/>
              </w:rPr>
              <w:t>=</w:t>
            </w:r>
            <w:r w:rsidR="002D0CCE">
              <w:rPr>
                <w:rFonts w:ascii="Calibri" w:eastAsia="Calibri" w:hAnsi="Calibri" w:cs="Arial"/>
                <w:i/>
              </w:rPr>
              <w:t> </w:t>
            </w:r>
            <w:r>
              <w:rPr>
                <w:rFonts w:ascii="Calibri" w:eastAsia="Calibri" w:hAnsi="Calibri" w:cs="Arial"/>
                <w:i/>
              </w:rPr>
              <w:t>16</w:t>
            </w:r>
            <w:r w:rsidRPr="007A1008">
              <w:rPr>
                <w:rFonts w:ascii="Calibri" w:eastAsia="Calibri" w:hAnsi="Calibri" w:cs="Arial"/>
                <w:i/>
              </w:rPr>
              <w:t>)</w:t>
            </w:r>
          </w:p>
        </w:tc>
        <w:tc>
          <w:tcPr>
            <w:tcW w:w="2340" w:type="dxa"/>
            <w:vMerge/>
            <w:shd w:val="clear" w:color="auto" w:fill="auto"/>
          </w:tcPr>
          <w:p w14:paraId="00454E78" w14:textId="77777777" w:rsidR="00494065" w:rsidRPr="007A1008" w:rsidRDefault="00494065" w:rsidP="002D5EAA">
            <w:pPr>
              <w:spacing w:after="0" w:line="240" w:lineRule="auto"/>
              <w:rPr>
                <w:rFonts w:ascii="Calibri" w:eastAsia="Calibri" w:hAnsi="Calibri" w:cs="Arial"/>
              </w:rPr>
            </w:pPr>
          </w:p>
        </w:tc>
        <w:tc>
          <w:tcPr>
            <w:tcW w:w="2070" w:type="dxa"/>
            <w:vMerge/>
            <w:shd w:val="clear" w:color="auto" w:fill="auto"/>
          </w:tcPr>
          <w:p w14:paraId="7DE00FA2" w14:textId="77777777" w:rsidR="00494065" w:rsidRPr="007A1008" w:rsidRDefault="00494065" w:rsidP="002D5EAA">
            <w:pPr>
              <w:spacing w:after="0" w:line="240" w:lineRule="auto"/>
              <w:rPr>
                <w:rFonts w:ascii="Calibri" w:eastAsia="Calibri" w:hAnsi="Calibri" w:cs="Arial"/>
              </w:rPr>
            </w:pPr>
          </w:p>
        </w:tc>
        <w:tc>
          <w:tcPr>
            <w:tcW w:w="2052" w:type="dxa"/>
            <w:vMerge/>
            <w:shd w:val="clear" w:color="auto" w:fill="auto"/>
          </w:tcPr>
          <w:p w14:paraId="17C4A2FB" w14:textId="77777777" w:rsidR="00494065" w:rsidRPr="007A1008" w:rsidRDefault="00494065" w:rsidP="002D5EAA">
            <w:pPr>
              <w:spacing w:after="0" w:line="240" w:lineRule="auto"/>
              <w:rPr>
                <w:rFonts w:ascii="Calibri" w:eastAsia="Calibri" w:hAnsi="Calibri" w:cs="Arial"/>
              </w:rPr>
            </w:pPr>
          </w:p>
        </w:tc>
      </w:tr>
      <w:tr w:rsidR="00494065" w:rsidRPr="007A1008" w14:paraId="16770179" w14:textId="77777777" w:rsidTr="002D5EAA">
        <w:trPr>
          <w:cantSplit/>
          <w:trHeight w:val="323"/>
        </w:trPr>
        <w:tc>
          <w:tcPr>
            <w:tcW w:w="1908" w:type="dxa"/>
            <w:shd w:val="clear" w:color="auto" w:fill="auto"/>
          </w:tcPr>
          <w:p w14:paraId="288C5895" w14:textId="77777777" w:rsidR="00494065" w:rsidRPr="007A1008" w:rsidRDefault="00494065" w:rsidP="002D5EAA">
            <w:pPr>
              <w:spacing w:after="0" w:line="240" w:lineRule="auto"/>
              <w:rPr>
                <w:rFonts w:ascii="Calibri" w:eastAsia="Calibri" w:hAnsi="Calibri" w:cs="Arial"/>
              </w:rPr>
            </w:pPr>
            <w:r>
              <w:rPr>
                <w:rFonts w:ascii="Calibri" w:eastAsia="Calibri" w:hAnsi="Calibri" w:cs="Arial"/>
                <w:b/>
              </w:rPr>
              <w:t xml:space="preserve">Exercise Capacity </w:t>
            </w:r>
            <w:r w:rsidRPr="007A1008">
              <w:rPr>
                <w:rFonts w:ascii="Calibri" w:eastAsia="Calibri" w:hAnsi="Calibri" w:cs="Arial"/>
                <w:i/>
              </w:rPr>
              <w:t>(Important outcome)</w:t>
            </w:r>
          </w:p>
        </w:tc>
        <w:tc>
          <w:tcPr>
            <w:tcW w:w="4770" w:type="dxa"/>
            <w:shd w:val="clear" w:color="auto" w:fill="auto"/>
          </w:tcPr>
          <w:p w14:paraId="2B2F2479" w14:textId="77777777" w:rsidR="00494065" w:rsidRPr="007A1008" w:rsidRDefault="00494065" w:rsidP="002D5EAA">
            <w:pPr>
              <w:spacing w:after="0" w:line="240" w:lineRule="auto"/>
              <w:rPr>
                <w:rFonts w:ascii="Calibri" w:eastAsia="Calibri" w:hAnsi="Calibri" w:cs="Arial"/>
              </w:rPr>
            </w:pPr>
            <w:r>
              <w:rPr>
                <w:rFonts w:ascii="Calibri" w:eastAsia="Calibri" w:hAnsi="Calibri" w:cs="Arial"/>
              </w:rPr>
              <w:t>No evidence</w:t>
            </w:r>
          </w:p>
          <w:p w14:paraId="4A96EF5A" w14:textId="77777777" w:rsidR="00494065" w:rsidRPr="007A1008" w:rsidRDefault="00494065" w:rsidP="002D5EAA">
            <w:pPr>
              <w:spacing w:after="0" w:line="240" w:lineRule="auto"/>
              <w:rPr>
                <w:rFonts w:ascii="Calibri" w:eastAsia="Calibri" w:hAnsi="Calibri" w:cs="Arial"/>
              </w:rPr>
            </w:pPr>
          </w:p>
        </w:tc>
        <w:tc>
          <w:tcPr>
            <w:tcW w:w="2340" w:type="dxa"/>
            <w:vMerge/>
            <w:shd w:val="clear" w:color="auto" w:fill="auto"/>
          </w:tcPr>
          <w:p w14:paraId="1B692EC8" w14:textId="77777777" w:rsidR="00494065" w:rsidRPr="007A1008" w:rsidRDefault="00494065" w:rsidP="002D5EAA">
            <w:pPr>
              <w:spacing w:after="0" w:line="240" w:lineRule="auto"/>
              <w:rPr>
                <w:rFonts w:ascii="Calibri" w:eastAsia="Calibri" w:hAnsi="Calibri" w:cs="Arial"/>
              </w:rPr>
            </w:pPr>
          </w:p>
        </w:tc>
        <w:tc>
          <w:tcPr>
            <w:tcW w:w="2070" w:type="dxa"/>
            <w:vMerge/>
            <w:shd w:val="clear" w:color="auto" w:fill="auto"/>
          </w:tcPr>
          <w:p w14:paraId="2D347564" w14:textId="77777777" w:rsidR="00494065" w:rsidRPr="007A1008" w:rsidRDefault="00494065" w:rsidP="002D5EAA">
            <w:pPr>
              <w:spacing w:after="0" w:line="240" w:lineRule="auto"/>
              <w:rPr>
                <w:rFonts w:ascii="Calibri" w:eastAsia="Calibri" w:hAnsi="Calibri" w:cs="Arial"/>
              </w:rPr>
            </w:pPr>
          </w:p>
        </w:tc>
        <w:tc>
          <w:tcPr>
            <w:tcW w:w="2052" w:type="dxa"/>
            <w:vMerge/>
            <w:shd w:val="clear" w:color="auto" w:fill="auto"/>
          </w:tcPr>
          <w:p w14:paraId="508842C9" w14:textId="77777777" w:rsidR="00494065" w:rsidRPr="007A1008" w:rsidRDefault="00494065" w:rsidP="002D5EAA">
            <w:pPr>
              <w:spacing w:after="0" w:line="240" w:lineRule="auto"/>
              <w:rPr>
                <w:rFonts w:ascii="Calibri" w:eastAsia="Calibri" w:hAnsi="Calibri" w:cs="Arial"/>
              </w:rPr>
            </w:pPr>
          </w:p>
        </w:tc>
      </w:tr>
      <w:tr w:rsidR="00494065" w:rsidRPr="007A1008" w14:paraId="3FDDDDD9" w14:textId="77777777" w:rsidTr="002D5EAA">
        <w:trPr>
          <w:cantSplit/>
          <w:trHeight w:val="806"/>
        </w:trPr>
        <w:tc>
          <w:tcPr>
            <w:tcW w:w="1908" w:type="dxa"/>
            <w:shd w:val="clear" w:color="auto" w:fill="auto"/>
          </w:tcPr>
          <w:p w14:paraId="6E803A5F" w14:textId="0F7AEA69" w:rsidR="00494065" w:rsidRPr="00A360AA" w:rsidRDefault="00494065" w:rsidP="002D5EAA">
            <w:pPr>
              <w:spacing w:after="0" w:line="240" w:lineRule="auto"/>
              <w:rPr>
                <w:rFonts w:ascii="Calibri" w:eastAsia="Calibri" w:hAnsi="Calibri" w:cs="Arial"/>
                <w:b/>
              </w:rPr>
            </w:pPr>
            <w:r>
              <w:rPr>
                <w:rFonts w:ascii="Calibri" w:eastAsia="Calibri" w:hAnsi="Calibri" w:cs="Arial"/>
                <w:b/>
              </w:rPr>
              <w:lastRenderedPageBreak/>
              <w:t xml:space="preserve">Breathlessness or Cough </w:t>
            </w:r>
            <w:r w:rsidR="002D0CCE">
              <w:rPr>
                <w:rFonts w:ascii="Calibri" w:eastAsia="Calibri" w:hAnsi="Calibri" w:cs="Arial"/>
                <w:b/>
              </w:rPr>
              <w:br/>
            </w:r>
            <w:r w:rsidRPr="007A1008">
              <w:rPr>
                <w:rFonts w:ascii="Calibri" w:eastAsia="Calibri" w:hAnsi="Calibri" w:cs="Arial"/>
                <w:i/>
              </w:rPr>
              <w:t>(Important outcome)</w:t>
            </w:r>
          </w:p>
        </w:tc>
        <w:tc>
          <w:tcPr>
            <w:tcW w:w="4770" w:type="dxa"/>
            <w:shd w:val="clear" w:color="auto" w:fill="auto"/>
          </w:tcPr>
          <w:p w14:paraId="484C504A" w14:textId="77777777" w:rsidR="00494065" w:rsidRPr="007A1008" w:rsidRDefault="00494065" w:rsidP="002D5EAA">
            <w:pPr>
              <w:spacing w:after="0" w:line="240" w:lineRule="auto"/>
              <w:rPr>
                <w:rFonts w:ascii="Calibri" w:eastAsia="Calibri" w:hAnsi="Calibri" w:cs="Arial"/>
              </w:rPr>
            </w:pPr>
            <w:r>
              <w:rPr>
                <w:rFonts w:ascii="Calibri" w:eastAsia="Calibri" w:hAnsi="Calibri" w:cs="Arial"/>
              </w:rPr>
              <w:t>No evidence</w:t>
            </w:r>
          </w:p>
        </w:tc>
        <w:tc>
          <w:tcPr>
            <w:tcW w:w="2340" w:type="dxa"/>
            <w:vMerge/>
            <w:shd w:val="clear" w:color="auto" w:fill="auto"/>
          </w:tcPr>
          <w:p w14:paraId="32B0F170" w14:textId="77777777" w:rsidR="00494065" w:rsidRPr="007A1008" w:rsidRDefault="00494065" w:rsidP="002D5EAA">
            <w:pPr>
              <w:spacing w:after="0" w:line="240" w:lineRule="auto"/>
              <w:rPr>
                <w:rFonts w:ascii="Calibri" w:eastAsia="Calibri" w:hAnsi="Calibri" w:cs="Arial"/>
              </w:rPr>
            </w:pPr>
          </w:p>
        </w:tc>
        <w:tc>
          <w:tcPr>
            <w:tcW w:w="2070" w:type="dxa"/>
            <w:vMerge/>
            <w:shd w:val="clear" w:color="auto" w:fill="auto"/>
          </w:tcPr>
          <w:p w14:paraId="492B2543" w14:textId="77777777" w:rsidR="00494065" w:rsidRPr="007A1008" w:rsidRDefault="00494065" w:rsidP="002D5EAA">
            <w:pPr>
              <w:spacing w:after="0" w:line="240" w:lineRule="auto"/>
              <w:rPr>
                <w:rFonts w:ascii="Calibri" w:eastAsia="Calibri" w:hAnsi="Calibri" w:cs="Arial"/>
              </w:rPr>
            </w:pPr>
          </w:p>
        </w:tc>
        <w:tc>
          <w:tcPr>
            <w:tcW w:w="2052" w:type="dxa"/>
            <w:vMerge/>
            <w:shd w:val="clear" w:color="auto" w:fill="auto"/>
          </w:tcPr>
          <w:p w14:paraId="1741516F" w14:textId="77777777" w:rsidR="00494065" w:rsidRPr="007A1008" w:rsidRDefault="00494065" w:rsidP="002D5EAA">
            <w:pPr>
              <w:spacing w:after="0" w:line="240" w:lineRule="auto"/>
              <w:rPr>
                <w:rFonts w:ascii="Calibri" w:eastAsia="Calibri" w:hAnsi="Calibri" w:cs="Arial"/>
              </w:rPr>
            </w:pPr>
          </w:p>
        </w:tc>
      </w:tr>
      <w:tr w:rsidR="00494065" w:rsidRPr="007A1008" w14:paraId="0D022B5D" w14:textId="77777777" w:rsidTr="002D5EAA">
        <w:trPr>
          <w:cantSplit/>
          <w:trHeight w:val="85"/>
        </w:trPr>
        <w:tc>
          <w:tcPr>
            <w:tcW w:w="13140" w:type="dxa"/>
            <w:gridSpan w:val="5"/>
            <w:tcBorders>
              <w:left w:val="nil"/>
              <w:right w:val="nil"/>
            </w:tcBorders>
            <w:shd w:val="clear" w:color="auto" w:fill="auto"/>
          </w:tcPr>
          <w:p w14:paraId="3D94B575" w14:textId="77777777" w:rsidR="00494065" w:rsidRPr="00106CA3" w:rsidRDefault="00494065" w:rsidP="002D5EAA">
            <w:pPr>
              <w:spacing w:after="0" w:line="240" w:lineRule="auto"/>
              <w:rPr>
                <w:rFonts w:ascii="Calibri" w:eastAsia="Calibri" w:hAnsi="Calibri" w:cs="Arial"/>
                <w:b/>
                <w:sz w:val="16"/>
                <w:szCs w:val="16"/>
              </w:rPr>
            </w:pPr>
          </w:p>
        </w:tc>
      </w:tr>
      <w:tr w:rsidR="00494065" w:rsidRPr="007A1008" w14:paraId="4EB08745" w14:textId="77777777" w:rsidTr="002D5EAA">
        <w:trPr>
          <w:cantSplit/>
          <w:trHeight w:val="638"/>
        </w:trPr>
        <w:tc>
          <w:tcPr>
            <w:tcW w:w="13140" w:type="dxa"/>
            <w:gridSpan w:val="5"/>
            <w:shd w:val="clear" w:color="auto" w:fill="E7EFF9"/>
          </w:tcPr>
          <w:p w14:paraId="27464ACE" w14:textId="57D83E94" w:rsidR="00494065" w:rsidRPr="006A0199" w:rsidRDefault="00494065" w:rsidP="00DC68A4">
            <w:pPr>
              <w:spacing w:after="0" w:line="240" w:lineRule="auto"/>
              <w:rPr>
                <w:rFonts w:ascii="Calibri" w:eastAsia="Calibri" w:hAnsi="Calibri" w:cs="Arial"/>
                <w:b/>
              </w:rPr>
            </w:pPr>
            <w:r w:rsidRPr="007A1008">
              <w:rPr>
                <w:rFonts w:ascii="Calibri" w:eastAsia="Calibri" w:hAnsi="Calibri" w:cs="Arial"/>
                <w:b/>
              </w:rPr>
              <w:t xml:space="preserve">Balance of benefits and harms: </w:t>
            </w:r>
            <w:r>
              <w:rPr>
                <w:rFonts w:ascii="Calibri" w:eastAsia="Calibri" w:hAnsi="Calibri" w:cs="Arial"/>
              </w:rPr>
              <w:t xml:space="preserve">Based on </w:t>
            </w:r>
            <w:r w:rsidR="00507DFA">
              <w:rPr>
                <w:rFonts w:ascii="Calibri" w:eastAsia="Calibri" w:hAnsi="Calibri" w:cs="Arial"/>
              </w:rPr>
              <w:t xml:space="preserve">very </w:t>
            </w:r>
            <w:r>
              <w:rPr>
                <w:rFonts w:ascii="Calibri" w:eastAsia="Calibri" w:hAnsi="Calibri" w:cs="Arial"/>
              </w:rPr>
              <w:t>low</w:t>
            </w:r>
            <w:r w:rsidR="00975805">
              <w:rPr>
                <w:rFonts w:ascii="Calibri" w:eastAsia="Calibri" w:hAnsi="Calibri" w:cs="Arial"/>
              </w:rPr>
              <w:t>-</w:t>
            </w:r>
            <w:r>
              <w:rPr>
                <w:rFonts w:ascii="Calibri" w:eastAsia="Calibri" w:hAnsi="Calibri" w:cs="Arial"/>
              </w:rPr>
              <w:t>confidence evidence, high</w:t>
            </w:r>
            <w:r w:rsidR="006D2097">
              <w:rPr>
                <w:rFonts w:ascii="Calibri" w:eastAsia="Calibri" w:hAnsi="Calibri" w:cs="Arial"/>
              </w:rPr>
              <w:t>-frequency</w:t>
            </w:r>
            <w:r w:rsidR="006D2097" w:rsidRPr="00220BB7">
              <w:rPr>
                <w:rFonts w:ascii="Calibri" w:eastAsia="Calibri" w:hAnsi="Calibri" w:cs="Arial"/>
              </w:rPr>
              <w:t xml:space="preserve"> chest wall oscillation</w:t>
            </w:r>
            <w:r>
              <w:rPr>
                <w:rFonts w:ascii="Calibri" w:eastAsia="Calibri" w:hAnsi="Calibri" w:cs="Arial"/>
              </w:rPr>
              <w:t xml:space="preserve"> devices have similar outcomes </w:t>
            </w:r>
            <w:r w:rsidR="007D44D7">
              <w:rPr>
                <w:rFonts w:ascii="Calibri" w:eastAsia="Calibri" w:hAnsi="Calibri" w:cs="Arial"/>
              </w:rPr>
              <w:t>to chest</w:t>
            </w:r>
            <w:r>
              <w:rPr>
                <w:rFonts w:ascii="Calibri" w:eastAsia="Calibri" w:hAnsi="Calibri" w:cs="Arial"/>
              </w:rPr>
              <w:t xml:space="preserve"> physiotherapy for reducing hospitalizations</w:t>
            </w:r>
            <w:r w:rsidR="00171458">
              <w:rPr>
                <w:rFonts w:ascii="Calibri" w:eastAsia="Calibri" w:hAnsi="Calibri" w:cs="Arial"/>
              </w:rPr>
              <w:t xml:space="preserve">. </w:t>
            </w:r>
            <w:r w:rsidR="00351F29">
              <w:rPr>
                <w:rFonts w:ascii="Calibri" w:eastAsia="Calibri" w:hAnsi="Calibri" w:cs="Arial"/>
              </w:rPr>
              <w:t>There is mixed evidence</w:t>
            </w:r>
            <w:r w:rsidR="00421AFC">
              <w:rPr>
                <w:rFonts w:ascii="Calibri" w:eastAsia="Calibri" w:hAnsi="Calibri" w:cs="Arial"/>
              </w:rPr>
              <w:t xml:space="preserve"> compared to </w:t>
            </w:r>
            <w:r w:rsidR="003E2C7C">
              <w:rPr>
                <w:rFonts w:ascii="Calibri" w:eastAsia="Calibri" w:hAnsi="Calibri" w:cs="Arial"/>
              </w:rPr>
              <w:t xml:space="preserve">positive expiratory </w:t>
            </w:r>
            <w:r w:rsidR="00345E61">
              <w:rPr>
                <w:rFonts w:ascii="Calibri" w:eastAsia="Calibri" w:hAnsi="Calibri" w:cs="Arial"/>
              </w:rPr>
              <w:t>pressure</w:t>
            </w:r>
            <w:r w:rsidR="004A7C1B">
              <w:rPr>
                <w:rFonts w:ascii="Calibri" w:eastAsia="Calibri" w:hAnsi="Calibri" w:cs="Arial"/>
              </w:rPr>
              <w:t>,</w:t>
            </w:r>
            <w:r w:rsidR="00345E61">
              <w:rPr>
                <w:rFonts w:ascii="Calibri" w:eastAsia="Calibri" w:hAnsi="Calibri" w:cs="Arial"/>
              </w:rPr>
              <w:t xml:space="preserve"> chest </w:t>
            </w:r>
            <w:r w:rsidR="00197E3C">
              <w:rPr>
                <w:rFonts w:ascii="Calibri" w:eastAsia="Calibri" w:hAnsi="Calibri" w:cs="Arial"/>
              </w:rPr>
              <w:t>physiotherapy</w:t>
            </w:r>
            <w:r w:rsidR="004A7C1B">
              <w:rPr>
                <w:rFonts w:ascii="Calibri" w:eastAsia="Calibri" w:hAnsi="Calibri" w:cs="Arial"/>
              </w:rPr>
              <w:t>, and other oscillating devices</w:t>
            </w:r>
            <w:r w:rsidR="003E2C7C">
              <w:rPr>
                <w:rFonts w:ascii="Calibri" w:eastAsia="Calibri" w:hAnsi="Calibri" w:cs="Arial"/>
              </w:rPr>
              <w:t xml:space="preserve"> </w:t>
            </w:r>
            <w:r>
              <w:rPr>
                <w:rFonts w:ascii="Calibri" w:eastAsia="Calibri" w:hAnsi="Calibri" w:cs="Arial"/>
              </w:rPr>
              <w:t xml:space="preserve">for reducing exacerbations </w:t>
            </w:r>
            <w:r w:rsidR="00807CE9">
              <w:rPr>
                <w:rFonts w:ascii="Calibri" w:eastAsia="Calibri" w:hAnsi="Calibri" w:cs="Arial"/>
              </w:rPr>
              <w:t>in</w:t>
            </w:r>
            <w:r>
              <w:rPr>
                <w:rFonts w:ascii="Calibri" w:eastAsia="Calibri" w:hAnsi="Calibri" w:cs="Arial"/>
              </w:rPr>
              <w:t xml:space="preserve"> patients with cystic fibrosis. There are few </w:t>
            </w:r>
            <w:r w:rsidR="00536952">
              <w:rPr>
                <w:rFonts w:ascii="Calibri" w:eastAsia="Calibri" w:hAnsi="Calibri" w:cs="Arial"/>
              </w:rPr>
              <w:t xml:space="preserve">device-related </w:t>
            </w:r>
            <w:r>
              <w:rPr>
                <w:rFonts w:ascii="Calibri" w:eastAsia="Calibri" w:hAnsi="Calibri" w:cs="Arial"/>
              </w:rPr>
              <w:t>harms found for hi</w:t>
            </w:r>
            <w:r w:rsidR="00354EEC">
              <w:rPr>
                <w:rFonts w:ascii="Calibri" w:eastAsia="Calibri" w:hAnsi="Calibri" w:cs="Arial"/>
              </w:rPr>
              <w:t>gh-frequency</w:t>
            </w:r>
            <w:r>
              <w:rPr>
                <w:rFonts w:ascii="Calibri" w:eastAsia="Calibri" w:hAnsi="Calibri" w:cs="Arial"/>
              </w:rPr>
              <w:t xml:space="preserve"> chest wall oscillation devices.</w:t>
            </w:r>
          </w:p>
        </w:tc>
      </w:tr>
      <w:tr w:rsidR="00494065" w:rsidRPr="007A1008" w14:paraId="37859606" w14:textId="77777777" w:rsidTr="0029564F">
        <w:trPr>
          <w:cantSplit/>
          <w:trHeight w:val="692"/>
        </w:trPr>
        <w:tc>
          <w:tcPr>
            <w:tcW w:w="13140" w:type="dxa"/>
            <w:gridSpan w:val="5"/>
            <w:shd w:val="clear" w:color="auto" w:fill="E7EFF9"/>
          </w:tcPr>
          <w:p w14:paraId="65423203" w14:textId="00C7EDA4"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Rationale:</w:t>
            </w:r>
            <w:r w:rsidRPr="007A1008">
              <w:rPr>
                <w:rFonts w:ascii="Calibri" w:eastAsia="Calibri" w:hAnsi="Calibri" w:cs="Arial"/>
              </w:rPr>
              <w:t xml:space="preserve"> </w:t>
            </w:r>
            <w:r w:rsidR="00545CFA">
              <w:rPr>
                <w:rFonts w:ascii="Calibri" w:eastAsia="Calibri" w:hAnsi="Calibri" w:cs="Arial"/>
              </w:rPr>
              <w:t>H</w:t>
            </w:r>
            <w:r>
              <w:rPr>
                <w:rFonts w:ascii="Calibri" w:eastAsia="Calibri" w:hAnsi="Calibri" w:cs="Arial"/>
              </w:rPr>
              <w:t>i</w:t>
            </w:r>
            <w:r w:rsidR="00354EEC">
              <w:rPr>
                <w:rFonts w:ascii="Calibri" w:eastAsia="Calibri" w:hAnsi="Calibri" w:cs="Arial"/>
              </w:rPr>
              <w:t>gh-frequency</w:t>
            </w:r>
            <w:r>
              <w:rPr>
                <w:rFonts w:ascii="Calibri" w:eastAsia="Calibri" w:hAnsi="Calibri" w:cs="Arial"/>
              </w:rPr>
              <w:t xml:space="preserve"> chest wall oscillation devices</w:t>
            </w:r>
            <w:r w:rsidR="00545CFA">
              <w:rPr>
                <w:rFonts w:ascii="Calibri" w:eastAsia="Calibri" w:hAnsi="Calibri" w:cs="Arial"/>
              </w:rPr>
              <w:t xml:space="preserve"> are not inferior to other alternatives</w:t>
            </w:r>
            <w:r w:rsidR="006A2043">
              <w:rPr>
                <w:rFonts w:ascii="Calibri" w:eastAsia="Calibri" w:hAnsi="Calibri" w:cs="Arial"/>
              </w:rPr>
              <w:t xml:space="preserve"> based on very low certainty evidence</w:t>
            </w:r>
            <w:r w:rsidR="00545CFA">
              <w:rPr>
                <w:rFonts w:ascii="Calibri" w:eastAsia="Calibri" w:hAnsi="Calibri" w:cs="Arial"/>
              </w:rPr>
              <w:t xml:space="preserve">, and have a low rate of </w:t>
            </w:r>
            <w:r w:rsidR="00E059EE">
              <w:rPr>
                <w:rFonts w:ascii="Calibri" w:eastAsia="Calibri" w:hAnsi="Calibri" w:cs="Arial"/>
              </w:rPr>
              <w:t>device</w:t>
            </w:r>
            <w:r w:rsidR="006A2043">
              <w:rPr>
                <w:rFonts w:ascii="Calibri" w:eastAsia="Calibri" w:hAnsi="Calibri" w:cs="Arial"/>
              </w:rPr>
              <w:t xml:space="preserve">-related </w:t>
            </w:r>
            <w:r w:rsidR="00545CFA">
              <w:rPr>
                <w:rFonts w:ascii="Calibri" w:eastAsia="Calibri" w:hAnsi="Calibri" w:cs="Arial"/>
              </w:rPr>
              <w:t xml:space="preserve">harms, but much higher cost. </w:t>
            </w:r>
            <w:r w:rsidR="00975805">
              <w:rPr>
                <w:rFonts w:ascii="Calibri" w:eastAsia="Calibri" w:hAnsi="Calibri" w:cs="Arial"/>
              </w:rPr>
              <w:t>However, w</w:t>
            </w:r>
            <w:r w:rsidR="00545CFA">
              <w:rPr>
                <w:rFonts w:ascii="Calibri" w:eastAsia="Calibri" w:hAnsi="Calibri" w:cs="Arial"/>
              </w:rPr>
              <w:t>e recommend coverage because some patients may need other treatment options</w:t>
            </w:r>
            <w:r w:rsidR="00F20BF5">
              <w:rPr>
                <w:rFonts w:ascii="Calibri" w:eastAsia="Calibri" w:hAnsi="Calibri" w:cs="Arial"/>
              </w:rPr>
              <w:t xml:space="preserve"> and due to the small size of the population affected</w:t>
            </w:r>
            <w:r w:rsidR="00545CFA">
              <w:rPr>
                <w:rFonts w:ascii="Calibri" w:eastAsia="Calibri" w:hAnsi="Calibri" w:cs="Arial"/>
              </w:rPr>
              <w:t xml:space="preserve">. The recommendation is weak because of the </w:t>
            </w:r>
            <w:r w:rsidR="00E547A7">
              <w:rPr>
                <w:rFonts w:ascii="Calibri" w:eastAsia="Calibri" w:hAnsi="Calibri" w:cs="Arial"/>
              </w:rPr>
              <w:t xml:space="preserve">very </w:t>
            </w:r>
            <w:r w:rsidR="00545CFA">
              <w:rPr>
                <w:rFonts w:ascii="Calibri" w:eastAsia="Calibri" w:hAnsi="Calibri" w:cs="Arial"/>
              </w:rPr>
              <w:t>low quality of the evidence.</w:t>
            </w:r>
          </w:p>
        </w:tc>
      </w:tr>
      <w:tr w:rsidR="00494065" w:rsidRPr="007A1008" w14:paraId="1C244C5E" w14:textId="77777777" w:rsidTr="002D5EAA">
        <w:trPr>
          <w:cantSplit/>
          <w:trHeight w:val="350"/>
        </w:trPr>
        <w:tc>
          <w:tcPr>
            <w:tcW w:w="13140" w:type="dxa"/>
            <w:gridSpan w:val="5"/>
            <w:shd w:val="clear" w:color="auto" w:fill="E7EFF9"/>
          </w:tcPr>
          <w:p w14:paraId="7B6CFA16" w14:textId="729914B5" w:rsidR="00C01888" w:rsidRDefault="00494065" w:rsidP="00C01888">
            <w:pPr>
              <w:pStyle w:val="CGBoxText"/>
              <w:rPr>
                <w:color w:val="auto"/>
              </w:rPr>
            </w:pPr>
            <w:r w:rsidRPr="00220BB7">
              <w:rPr>
                <w:b/>
                <w:color w:val="auto"/>
              </w:rPr>
              <w:t>Recommendation:</w:t>
            </w:r>
            <w:r w:rsidRPr="00220BB7">
              <w:rPr>
                <w:color w:val="auto"/>
              </w:rPr>
              <w:t xml:space="preserve"> </w:t>
            </w:r>
            <w:r w:rsidR="00847180" w:rsidRPr="00220BB7">
              <w:rPr>
                <w:color w:val="auto"/>
              </w:rPr>
              <w:t>Hi</w:t>
            </w:r>
            <w:r w:rsidR="00354EEC">
              <w:rPr>
                <w:color w:val="auto"/>
              </w:rPr>
              <w:t>gh-frequency</w:t>
            </w:r>
            <w:r w:rsidR="00847180" w:rsidRPr="00220BB7">
              <w:rPr>
                <w:color w:val="auto"/>
              </w:rPr>
              <w:t xml:space="preserve"> chest wall oscillation devices </w:t>
            </w:r>
            <w:r w:rsidR="00847180" w:rsidRPr="00220BB7" w:rsidDel="005B6FDE">
              <w:rPr>
                <w:color w:val="auto"/>
              </w:rPr>
              <w:t xml:space="preserve">are </w:t>
            </w:r>
            <w:r w:rsidR="00847180" w:rsidRPr="00220BB7">
              <w:rPr>
                <w:color w:val="auto"/>
              </w:rPr>
              <w:t>recommended for coverage for patients with cystic fibrosis (</w:t>
            </w:r>
            <w:r w:rsidR="00847180" w:rsidRPr="00220BB7">
              <w:rPr>
                <w:i/>
                <w:color w:val="auto"/>
              </w:rPr>
              <w:t>weak recommendation)</w:t>
            </w:r>
            <w:r w:rsidR="00847180" w:rsidRPr="00220BB7">
              <w:rPr>
                <w:color w:val="auto"/>
              </w:rPr>
              <w:t xml:space="preserve"> when there is</w:t>
            </w:r>
            <w:r w:rsidR="00C01888">
              <w:rPr>
                <w:color w:val="auto"/>
              </w:rPr>
              <w:t xml:space="preserve"> </w:t>
            </w:r>
            <w:r w:rsidR="00847180" w:rsidRPr="00220BB7">
              <w:rPr>
                <w:color w:val="auto"/>
              </w:rPr>
              <w:t>documentation of frequent severe exacerbations requiring antibiotics and/or hospitalization</w:t>
            </w:r>
            <w:r w:rsidR="00B05ADD">
              <w:rPr>
                <w:color w:val="auto"/>
              </w:rPr>
              <w:t>,</w:t>
            </w:r>
            <w:r w:rsidR="00847180" w:rsidRPr="00220BB7">
              <w:rPr>
                <w:color w:val="auto"/>
              </w:rPr>
              <w:t xml:space="preserve"> despite </w:t>
            </w:r>
            <w:r w:rsidR="00C01888">
              <w:rPr>
                <w:color w:val="auto"/>
              </w:rPr>
              <w:t>either</w:t>
            </w:r>
            <w:r w:rsidR="00B05ADD">
              <w:rPr>
                <w:color w:val="auto"/>
              </w:rPr>
              <w:t>:</w:t>
            </w:r>
          </w:p>
          <w:p w14:paraId="0494E93E" w14:textId="6ED164BC" w:rsidR="00847180" w:rsidRPr="00C01888" w:rsidRDefault="0093221D" w:rsidP="00CB30F9">
            <w:pPr>
              <w:pStyle w:val="CGBoxText"/>
              <w:numPr>
                <w:ilvl w:val="0"/>
                <w:numId w:val="39"/>
              </w:numPr>
              <w:rPr>
                <w:color w:val="auto"/>
              </w:rPr>
            </w:pPr>
            <w:r w:rsidRPr="0093221D">
              <w:rPr>
                <w:color w:val="auto"/>
              </w:rPr>
              <w:t>having received</w:t>
            </w:r>
            <w:r w:rsidR="00214F8D">
              <w:rPr>
                <w:color w:val="auto"/>
              </w:rPr>
              <w:t xml:space="preserve"> </w:t>
            </w:r>
            <w:r w:rsidRPr="0093221D">
              <w:rPr>
                <w:color w:val="auto"/>
              </w:rPr>
              <w:t>chest physiotherapy and positive expiratory pressure therapy</w:t>
            </w:r>
            <w:r w:rsidR="00DC478A">
              <w:rPr>
                <w:color w:val="auto"/>
              </w:rPr>
              <w:t>,</w:t>
            </w:r>
            <w:r w:rsidR="00847180" w:rsidRPr="00220BB7">
              <w:rPr>
                <w:color w:val="auto"/>
              </w:rPr>
              <w:t xml:space="preserve"> OR</w:t>
            </w:r>
          </w:p>
          <w:p w14:paraId="1AD94477" w14:textId="5DD98414" w:rsidR="00C01888" w:rsidRPr="00C01888" w:rsidRDefault="00847180" w:rsidP="00CB30F9">
            <w:pPr>
              <w:pStyle w:val="CGBoxText"/>
              <w:numPr>
                <w:ilvl w:val="0"/>
                <w:numId w:val="39"/>
              </w:numPr>
              <w:rPr>
                <w:color w:val="auto"/>
              </w:rPr>
            </w:pPr>
            <w:r w:rsidRPr="00220BB7">
              <w:rPr>
                <w:color w:val="auto"/>
              </w:rPr>
              <w:t xml:space="preserve">documentation that chest physical therapy and positive expiratory pressure devices are not tolerated or not available (e.g., inability of a caregiver to perform chest </w:t>
            </w:r>
            <w:r w:rsidR="00975805" w:rsidRPr="00220BB7">
              <w:rPr>
                <w:color w:val="auto"/>
              </w:rPr>
              <w:t>physi</w:t>
            </w:r>
            <w:r w:rsidR="00975805">
              <w:rPr>
                <w:color w:val="auto"/>
              </w:rPr>
              <w:t>o</w:t>
            </w:r>
            <w:r w:rsidRPr="00220BB7">
              <w:rPr>
                <w:color w:val="auto"/>
              </w:rPr>
              <w:t>therapy).</w:t>
            </w:r>
          </w:p>
        </w:tc>
      </w:tr>
    </w:tbl>
    <w:p w14:paraId="0AA14B24" w14:textId="279406F5" w:rsidR="00494065" w:rsidRDefault="00494065" w:rsidP="0029564F">
      <w:pPr>
        <w:pStyle w:val="Footer"/>
        <w:spacing w:before="40" w:after="240" w:line="240" w:lineRule="auto"/>
      </w:pPr>
      <w:r w:rsidRPr="0029564F">
        <w:rPr>
          <w:sz w:val="20"/>
          <w:szCs w:val="22"/>
        </w:rPr>
        <w:t>Note</w:t>
      </w:r>
      <w:r w:rsidR="0019299F">
        <w:rPr>
          <w:sz w:val="20"/>
          <w:szCs w:val="22"/>
        </w:rPr>
        <w:t>.</w:t>
      </w:r>
      <w:r w:rsidRPr="0029564F">
        <w:rPr>
          <w:sz w:val="20"/>
          <w:szCs w:val="22"/>
        </w:rPr>
        <w:t xml:space="preserve"> GRADE table elements are described in Appendix A. A GRADE Evidence Profile is in Appendix B.</w:t>
      </w:r>
      <w:r w:rsidR="006D2097" w:rsidRPr="0029564F">
        <w:rPr>
          <w:sz w:val="20"/>
          <w:szCs w:val="22"/>
        </w:rPr>
        <w:br/>
        <w:t>Abbreviations. CI: confidence interval; GRADE: Grading of Recommendations, Assessment, Development, and Evaluation methodology; RCT: randomized controlled trial.</w:t>
      </w:r>
      <w:r>
        <w:rPr>
          <w:b/>
        </w:rPr>
        <w:br w:type="page"/>
      </w:r>
    </w:p>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652"/>
        <w:gridCol w:w="2070"/>
        <w:gridCol w:w="1710"/>
        <w:gridCol w:w="1800"/>
      </w:tblGrid>
      <w:tr w:rsidR="00494065" w:rsidRPr="007A1008" w14:paraId="00C68597" w14:textId="77777777" w:rsidTr="0029564F">
        <w:trPr>
          <w:trHeight w:val="547"/>
          <w:tblHeader/>
        </w:trPr>
        <w:tc>
          <w:tcPr>
            <w:tcW w:w="13140" w:type="dxa"/>
            <w:gridSpan w:val="5"/>
            <w:tcBorders>
              <w:top w:val="nil"/>
              <w:left w:val="nil"/>
              <w:right w:val="nil"/>
            </w:tcBorders>
            <w:shd w:val="clear" w:color="auto" w:fill="auto"/>
            <w:vAlign w:val="center"/>
          </w:tcPr>
          <w:p w14:paraId="68CC4D83" w14:textId="72D92E07" w:rsidR="00494065" w:rsidRPr="007A1008" w:rsidRDefault="00494065" w:rsidP="002D5EAA">
            <w:pPr>
              <w:pStyle w:val="Heading2"/>
              <w:rPr>
                <w:rFonts w:asciiTheme="minorHAnsi" w:hAnsiTheme="minorHAnsi"/>
              </w:rPr>
            </w:pPr>
            <w:bookmarkStart w:id="16" w:name="_Toc72335263"/>
            <w:bookmarkStart w:id="17" w:name="_Toc87358433"/>
            <w:r w:rsidRPr="00535FC0">
              <w:lastRenderedPageBreak/>
              <w:t xml:space="preserve">Should </w:t>
            </w:r>
            <w:r>
              <w:t>high</w:t>
            </w:r>
            <w:r w:rsidR="00354EEC">
              <w:t>-</w:t>
            </w:r>
            <w:r>
              <w:t>frequency chest wall oscillation devices</w:t>
            </w:r>
            <w:r w:rsidRPr="00535FC0">
              <w:t xml:space="preserve"> be</w:t>
            </w:r>
            <w:r>
              <w:t xml:space="preserve"> recommended for coverage for children and adults with </w:t>
            </w:r>
            <w:r w:rsidR="00211DBB">
              <w:t>non</w:t>
            </w:r>
            <w:r w:rsidR="00B05ADD">
              <w:t>–</w:t>
            </w:r>
            <w:r w:rsidR="00211DBB">
              <w:t xml:space="preserve">cystic fibrosis </w:t>
            </w:r>
            <w:r w:rsidRPr="00230D48">
              <w:t>bronchiectasis</w:t>
            </w:r>
            <w:r w:rsidRPr="00535FC0">
              <w:t>?</w:t>
            </w:r>
            <w:bookmarkEnd w:id="16"/>
            <w:bookmarkEnd w:id="17"/>
          </w:p>
        </w:tc>
      </w:tr>
      <w:tr w:rsidR="00494065" w:rsidRPr="007A1008" w14:paraId="06927D2C" w14:textId="77777777" w:rsidTr="00BD2614">
        <w:trPr>
          <w:trHeight w:val="547"/>
          <w:tblHeader/>
        </w:trPr>
        <w:tc>
          <w:tcPr>
            <w:tcW w:w="1908" w:type="dxa"/>
            <w:shd w:val="clear" w:color="auto" w:fill="C6D9F1"/>
            <w:vAlign w:val="center"/>
          </w:tcPr>
          <w:p w14:paraId="5AFFB404"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Outcomes</w:t>
            </w:r>
          </w:p>
        </w:tc>
        <w:tc>
          <w:tcPr>
            <w:tcW w:w="5652" w:type="dxa"/>
            <w:shd w:val="clear" w:color="auto" w:fill="C6D9F1"/>
            <w:vAlign w:val="center"/>
          </w:tcPr>
          <w:p w14:paraId="1EA9E635"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Estimate of Effect for Outcome/</w:t>
            </w:r>
          </w:p>
          <w:p w14:paraId="76F13BA5" w14:textId="77777777" w:rsidR="00494065" w:rsidRPr="007A1008" w:rsidRDefault="00494065" w:rsidP="002D5EAA">
            <w:pPr>
              <w:spacing w:after="0" w:line="240" w:lineRule="auto"/>
              <w:rPr>
                <w:rFonts w:ascii="Calibri" w:eastAsia="Calibri" w:hAnsi="Calibri" w:cs="Arial"/>
                <w:b/>
                <w:i/>
              </w:rPr>
            </w:pPr>
            <w:r w:rsidRPr="007A1008">
              <w:rPr>
                <w:rFonts w:ascii="Calibri" w:eastAsia="Calibri" w:hAnsi="Calibri" w:cs="Arial"/>
                <w:b/>
                <w:i/>
              </w:rPr>
              <w:t>Confidence in Estimate</w:t>
            </w:r>
          </w:p>
        </w:tc>
        <w:tc>
          <w:tcPr>
            <w:tcW w:w="2070" w:type="dxa"/>
            <w:shd w:val="clear" w:color="auto" w:fill="C6D9F1"/>
            <w:vAlign w:val="center"/>
          </w:tcPr>
          <w:p w14:paraId="1F8A1238"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Resource Allocation</w:t>
            </w:r>
          </w:p>
        </w:tc>
        <w:tc>
          <w:tcPr>
            <w:tcW w:w="1710" w:type="dxa"/>
            <w:shd w:val="clear" w:color="auto" w:fill="C6D9F1"/>
            <w:vAlign w:val="center"/>
          </w:tcPr>
          <w:p w14:paraId="0EE9A9C4"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Values and Preferences</w:t>
            </w:r>
          </w:p>
        </w:tc>
        <w:tc>
          <w:tcPr>
            <w:tcW w:w="1800" w:type="dxa"/>
            <w:shd w:val="clear" w:color="auto" w:fill="C6D9F1"/>
            <w:vAlign w:val="center"/>
          </w:tcPr>
          <w:p w14:paraId="35227941"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Other Considerations</w:t>
            </w:r>
          </w:p>
        </w:tc>
      </w:tr>
      <w:tr w:rsidR="00494065" w:rsidRPr="00EF20C9" w14:paraId="1ACFB29C" w14:textId="77777777" w:rsidTr="00BD2614">
        <w:trPr>
          <w:trHeight w:val="305"/>
        </w:trPr>
        <w:tc>
          <w:tcPr>
            <w:tcW w:w="1908" w:type="dxa"/>
            <w:shd w:val="clear" w:color="auto" w:fill="auto"/>
          </w:tcPr>
          <w:p w14:paraId="3CD8AA32" w14:textId="77777777" w:rsidR="00494065" w:rsidRPr="00EF20C9" w:rsidRDefault="00494065" w:rsidP="002D5EAA">
            <w:pPr>
              <w:spacing w:after="0" w:line="240" w:lineRule="auto"/>
              <w:rPr>
                <w:rFonts w:ascii="Calibri" w:eastAsia="Calibri" w:hAnsi="Calibri" w:cs="Arial"/>
                <w:i/>
              </w:rPr>
            </w:pPr>
            <w:r w:rsidRPr="00EF20C9">
              <w:rPr>
                <w:rFonts w:ascii="Calibri" w:eastAsia="Calibri" w:hAnsi="Calibri" w:cs="Arial"/>
                <w:b/>
              </w:rPr>
              <w:t>Hospitalizations</w:t>
            </w:r>
            <w:r w:rsidRPr="00EF20C9">
              <w:rPr>
                <w:rFonts w:ascii="Calibri" w:eastAsia="Calibri" w:hAnsi="Calibri" w:cs="Arial"/>
              </w:rPr>
              <w:t xml:space="preserve"> </w:t>
            </w:r>
            <w:r w:rsidRPr="00EF20C9">
              <w:rPr>
                <w:rFonts w:ascii="Calibri" w:eastAsia="Calibri" w:hAnsi="Calibri" w:cs="Arial"/>
                <w:i/>
              </w:rPr>
              <w:t>(Critical outcome)</w:t>
            </w:r>
          </w:p>
        </w:tc>
        <w:tc>
          <w:tcPr>
            <w:tcW w:w="5652" w:type="dxa"/>
            <w:shd w:val="clear" w:color="auto" w:fill="auto"/>
          </w:tcPr>
          <w:p w14:paraId="5F061641" w14:textId="77777777" w:rsidR="00494065" w:rsidRPr="00EF20C9" w:rsidRDefault="00494065" w:rsidP="002D5EAA">
            <w:pPr>
              <w:spacing w:after="0" w:line="240" w:lineRule="auto"/>
              <w:rPr>
                <w:rFonts w:ascii="Calibri" w:eastAsia="Calibri" w:hAnsi="Calibri" w:cs="Arial"/>
                <w:i/>
              </w:rPr>
            </w:pPr>
            <w:r w:rsidRPr="00EF20C9">
              <w:rPr>
                <w:rFonts w:ascii="Calibri" w:eastAsia="Calibri" w:hAnsi="Calibri" w:cs="Arial"/>
              </w:rPr>
              <w:t>No evidence</w:t>
            </w:r>
          </w:p>
        </w:tc>
        <w:tc>
          <w:tcPr>
            <w:tcW w:w="2070" w:type="dxa"/>
            <w:vMerge w:val="restart"/>
            <w:shd w:val="clear" w:color="auto" w:fill="auto"/>
          </w:tcPr>
          <w:p w14:paraId="0790B081" w14:textId="5220532A" w:rsidR="00494065" w:rsidRPr="0029564F" w:rsidRDefault="00494065" w:rsidP="0029564F">
            <w:pPr>
              <w:spacing w:after="0" w:line="240" w:lineRule="auto"/>
              <w:rPr>
                <w:rFonts w:ascii="Calibri" w:eastAsia="Calibri" w:hAnsi="Calibri" w:cs="Arial"/>
              </w:rPr>
            </w:pPr>
            <w:r w:rsidRPr="0029564F">
              <w:rPr>
                <w:rFonts w:ascii="Calibri" w:eastAsia="Calibri" w:hAnsi="Calibri" w:cs="Arial"/>
              </w:rPr>
              <w:t>Coverage of high</w:t>
            </w:r>
            <w:r w:rsidR="00354EEC" w:rsidRPr="0029564F">
              <w:rPr>
                <w:rFonts w:ascii="Calibri" w:eastAsia="Calibri" w:hAnsi="Calibri" w:cs="Arial"/>
              </w:rPr>
              <w:t>-</w:t>
            </w:r>
            <w:r w:rsidRPr="0029564F">
              <w:rPr>
                <w:rFonts w:ascii="Calibri" w:eastAsia="Calibri" w:hAnsi="Calibri" w:cs="Arial"/>
              </w:rPr>
              <w:t>frequency chest</w:t>
            </w:r>
            <w:r w:rsidR="00E6598A" w:rsidRPr="0029564F">
              <w:rPr>
                <w:rFonts w:ascii="Calibri" w:eastAsia="Calibri" w:hAnsi="Calibri" w:cs="Arial"/>
              </w:rPr>
              <w:t xml:space="preserve"> wall</w:t>
            </w:r>
            <w:r w:rsidRPr="0029564F">
              <w:rPr>
                <w:rFonts w:ascii="Calibri" w:eastAsia="Calibri" w:hAnsi="Calibri" w:cs="Arial"/>
              </w:rPr>
              <w:t xml:space="preserve"> oscillation would add significant cost compared to chest physiotherapy or positive expiratory pressure devices.</w:t>
            </w:r>
            <w:r w:rsidR="007002D2" w:rsidRPr="0029564F">
              <w:rPr>
                <w:rFonts w:ascii="Calibri" w:eastAsia="Calibri" w:hAnsi="Calibri" w:cs="Arial"/>
              </w:rPr>
              <w:t xml:space="preserve"> </w:t>
            </w:r>
            <w:r w:rsidRPr="0029564F">
              <w:rPr>
                <w:rFonts w:ascii="Calibri" w:eastAsia="Calibri" w:hAnsi="Calibri" w:cs="Arial"/>
              </w:rPr>
              <w:t xml:space="preserve">However, in situations in which chest physiotherapy is not consistently available or tolerated and positive expiratory pressure devices are not effective or tolerated, the additional cost of the </w:t>
            </w:r>
            <w:r w:rsidR="00C72743">
              <w:rPr>
                <w:rFonts w:ascii="Calibri" w:eastAsia="Calibri" w:hAnsi="Calibri" w:cs="Arial"/>
              </w:rPr>
              <w:t>high-frequency chest wall oscillation</w:t>
            </w:r>
            <w:r w:rsidR="00C72743" w:rsidRPr="0029564F">
              <w:rPr>
                <w:rFonts w:ascii="Calibri" w:eastAsia="Calibri" w:hAnsi="Calibri" w:cs="Arial"/>
              </w:rPr>
              <w:t xml:space="preserve"> </w:t>
            </w:r>
            <w:r w:rsidRPr="0029564F">
              <w:rPr>
                <w:rFonts w:ascii="Calibri" w:eastAsia="Calibri" w:hAnsi="Calibri" w:cs="Arial"/>
              </w:rPr>
              <w:t>device would be offset to the extent that it reduces hospitalizations and exacerbations.</w:t>
            </w:r>
          </w:p>
          <w:p w14:paraId="54D00620" w14:textId="77777777" w:rsidR="00494065" w:rsidRPr="0029564F" w:rsidRDefault="00494065" w:rsidP="002D5EAA">
            <w:pPr>
              <w:spacing w:after="0" w:line="240" w:lineRule="auto"/>
              <w:rPr>
                <w:rFonts w:ascii="Calibri" w:eastAsia="Calibri" w:hAnsi="Calibri" w:cs="Arial"/>
              </w:rPr>
            </w:pPr>
          </w:p>
        </w:tc>
        <w:tc>
          <w:tcPr>
            <w:tcW w:w="1710" w:type="dxa"/>
            <w:vMerge w:val="restart"/>
            <w:shd w:val="clear" w:color="auto" w:fill="auto"/>
          </w:tcPr>
          <w:p w14:paraId="4B87DB7B" w14:textId="0D6535F9" w:rsidR="00604928" w:rsidRPr="0029564F" w:rsidRDefault="00604928" w:rsidP="0029564F">
            <w:pPr>
              <w:spacing w:after="0" w:line="240" w:lineRule="auto"/>
              <w:rPr>
                <w:rFonts w:ascii="Calibri" w:eastAsia="Calibri" w:hAnsi="Calibri" w:cs="Arial"/>
              </w:rPr>
            </w:pPr>
            <w:r w:rsidRPr="0029564F">
              <w:rPr>
                <w:rFonts w:ascii="Calibri" w:eastAsia="Calibri" w:hAnsi="Calibri" w:cs="Arial"/>
              </w:rPr>
              <w:lastRenderedPageBreak/>
              <w:t>Patients may prefer treatment options that can be self-administered, confer greater independence, and ensure reliable and consistent treatment.</w:t>
            </w:r>
          </w:p>
        </w:tc>
        <w:tc>
          <w:tcPr>
            <w:tcW w:w="1800" w:type="dxa"/>
            <w:vMerge w:val="restart"/>
            <w:shd w:val="clear" w:color="auto" w:fill="auto"/>
          </w:tcPr>
          <w:p w14:paraId="35FBE011" w14:textId="458F261C" w:rsidR="000265FD" w:rsidRPr="0093221D" w:rsidRDefault="004B37B7" w:rsidP="002D5EAA">
            <w:pPr>
              <w:spacing w:after="0" w:line="240" w:lineRule="auto"/>
              <w:rPr>
                <w:rFonts w:ascii="Calibri" w:eastAsia="Calibri" w:hAnsi="Calibri" w:cs="Arial"/>
                <w:color w:val="0070C0"/>
              </w:rPr>
            </w:pPr>
            <w:r w:rsidRPr="0093221D">
              <w:rPr>
                <w:rFonts w:ascii="Calibri" w:eastAsia="Calibri" w:hAnsi="Calibri" w:cs="Arial"/>
              </w:rPr>
              <w:t>Appointed e</w:t>
            </w:r>
            <w:r w:rsidR="00D24E56" w:rsidRPr="0093221D">
              <w:rPr>
                <w:rFonts w:ascii="Calibri" w:eastAsia="Calibri" w:hAnsi="Calibri" w:cs="Arial"/>
              </w:rPr>
              <w:t xml:space="preserve">xpert opinion supported coverage of </w:t>
            </w:r>
            <w:r w:rsidR="00DC478A" w:rsidRPr="0093221D">
              <w:rPr>
                <w:rFonts w:ascii="Calibri" w:eastAsia="Calibri" w:hAnsi="Calibri" w:cs="Arial"/>
              </w:rPr>
              <w:t>high-frequency chest wall oscillation devices</w:t>
            </w:r>
            <w:r w:rsidR="00D24E56" w:rsidRPr="0093221D">
              <w:rPr>
                <w:rFonts w:ascii="Calibri" w:eastAsia="Calibri" w:hAnsi="Calibri" w:cs="Arial"/>
              </w:rPr>
              <w:t xml:space="preserve"> for bronchiectasis</w:t>
            </w:r>
            <w:r w:rsidR="00DC478A" w:rsidRPr="0093221D">
              <w:rPr>
                <w:rFonts w:ascii="Calibri" w:eastAsia="Calibri" w:hAnsi="Calibri" w:cs="Arial"/>
              </w:rPr>
              <w:t>,</w:t>
            </w:r>
            <w:r w:rsidR="00D24E56" w:rsidRPr="0093221D">
              <w:rPr>
                <w:rFonts w:ascii="Calibri" w:eastAsia="Calibri" w:hAnsi="Calibri" w:cs="Arial"/>
              </w:rPr>
              <w:t xml:space="preserve"> due to the</w:t>
            </w:r>
            <w:r w:rsidR="005F52B3" w:rsidRPr="0093221D">
              <w:rPr>
                <w:rFonts w:ascii="Calibri" w:eastAsia="Calibri" w:hAnsi="Calibri" w:cs="Arial"/>
              </w:rPr>
              <w:t xml:space="preserve"> pathophysiologic similarities of this condition to </w:t>
            </w:r>
            <w:r w:rsidR="00D24E56" w:rsidRPr="0093221D">
              <w:rPr>
                <w:rFonts w:ascii="Calibri" w:eastAsia="Calibri" w:hAnsi="Calibri" w:cs="Arial"/>
              </w:rPr>
              <w:t>cystic fibrosis</w:t>
            </w:r>
            <w:r w:rsidR="005F52B3" w:rsidRPr="0093221D">
              <w:rPr>
                <w:rFonts w:ascii="Calibri" w:eastAsia="Calibri" w:hAnsi="Calibri" w:cs="Arial"/>
              </w:rPr>
              <w:t xml:space="preserve"> bronchiectasis</w:t>
            </w:r>
            <w:r w:rsidR="00C01888" w:rsidRPr="0093221D">
              <w:rPr>
                <w:rFonts w:ascii="Calibri" w:eastAsia="Calibri" w:hAnsi="Calibri" w:cs="Arial"/>
              </w:rPr>
              <w:t>, but only when there is evidence of chronic infection</w:t>
            </w:r>
            <w:r w:rsidR="000265FD" w:rsidRPr="0093221D">
              <w:rPr>
                <w:rFonts w:ascii="Calibri" w:eastAsia="Calibri" w:hAnsi="Calibri" w:cs="Arial"/>
              </w:rPr>
              <w:t>.</w:t>
            </w:r>
          </w:p>
        </w:tc>
      </w:tr>
      <w:tr w:rsidR="00494065" w:rsidRPr="007A1008" w14:paraId="251636A2" w14:textId="77777777" w:rsidTr="00BD2614">
        <w:trPr>
          <w:trHeight w:val="638"/>
        </w:trPr>
        <w:tc>
          <w:tcPr>
            <w:tcW w:w="1908" w:type="dxa"/>
            <w:shd w:val="clear" w:color="auto" w:fill="auto"/>
          </w:tcPr>
          <w:p w14:paraId="2D03DA9F" w14:textId="5352FC38" w:rsidR="00494065" w:rsidRPr="00EF20C9" w:rsidRDefault="00494065" w:rsidP="002D5EAA">
            <w:pPr>
              <w:spacing w:after="0" w:line="240" w:lineRule="auto"/>
              <w:rPr>
                <w:rFonts w:ascii="Calibri" w:eastAsia="Calibri" w:hAnsi="Calibri" w:cs="Arial"/>
                <w:i/>
              </w:rPr>
            </w:pPr>
            <w:r w:rsidRPr="00EF20C9">
              <w:rPr>
                <w:rFonts w:ascii="Calibri" w:eastAsia="Calibri" w:hAnsi="Calibri" w:cs="Arial"/>
                <w:b/>
              </w:rPr>
              <w:t>Mortality</w:t>
            </w:r>
            <w:r w:rsidRPr="00EF20C9">
              <w:rPr>
                <w:rFonts w:ascii="Calibri" w:eastAsia="Calibri" w:hAnsi="Calibri" w:cs="Arial"/>
              </w:rPr>
              <w:t xml:space="preserve"> </w:t>
            </w:r>
            <w:r w:rsidR="005C6FD7">
              <w:rPr>
                <w:rFonts w:ascii="Calibri" w:eastAsia="Calibri" w:hAnsi="Calibri" w:cs="Arial"/>
              </w:rPr>
              <w:br/>
            </w:r>
            <w:r w:rsidRPr="00EF20C9">
              <w:rPr>
                <w:rFonts w:ascii="Calibri" w:eastAsia="Calibri" w:hAnsi="Calibri" w:cs="Arial"/>
                <w:i/>
              </w:rPr>
              <w:t>(Critical outcome)</w:t>
            </w:r>
          </w:p>
        </w:tc>
        <w:tc>
          <w:tcPr>
            <w:tcW w:w="5652" w:type="dxa"/>
            <w:shd w:val="clear" w:color="auto" w:fill="auto"/>
          </w:tcPr>
          <w:p w14:paraId="07E6D856" w14:textId="77777777" w:rsidR="00494065" w:rsidRPr="007A1008" w:rsidRDefault="00494065" w:rsidP="002D5EAA">
            <w:pPr>
              <w:spacing w:after="0" w:line="240" w:lineRule="auto"/>
              <w:rPr>
                <w:rFonts w:ascii="Calibri" w:eastAsia="Calibri" w:hAnsi="Calibri" w:cs="Arial"/>
                <w:i/>
              </w:rPr>
            </w:pPr>
            <w:r>
              <w:rPr>
                <w:rFonts w:ascii="Calibri" w:eastAsia="Calibri" w:hAnsi="Calibri" w:cs="Arial"/>
              </w:rPr>
              <w:t>No evidence</w:t>
            </w:r>
          </w:p>
        </w:tc>
        <w:tc>
          <w:tcPr>
            <w:tcW w:w="2070" w:type="dxa"/>
            <w:vMerge/>
            <w:shd w:val="clear" w:color="auto" w:fill="auto"/>
          </w:tcPr>
          <w:p w14:paraId="3E06152A" w14:textId="77777777" w:rsidR="00494065" w:rsidRPr="007A1008" w:rsidRDefault="00494065" w:rsidP="002D5EAA">
            <w:pPr>
              <w:spacing w:after="0" w:line="240" w:lineRule="auto"/>
              <w:rPr>
                <w:rFonts w:ascii="Calibri" w:eastAsia="Calibri" w:hAnsi="Calibri" w:cs="Arial"/>
              </w:rPr>
            </w:pPr>
          </w:p>
        </w:tc>
        <w:tc>
          <w:tcPr>
            <w:tcW w:w="1710" w:type="dxa"/>
            <w:vMerge/>
            <w:shd w:val="clear" w:color="auto" w:fill="auto"/>
          </w:tcPr>
          <w:p w14:paraId="0A66AF66" w14:textId="77777777" w:rsidR="00494065" w:rsidRPr="007A1008" w:rsidRDefault="00494065" w:rsidP="002D5EAA">
            <w:pPr>
              <w:spacing w:after="0" w:line="240" w:lineRule="auto"/>
              <w:rPr>
                <w:rFonts w:ascii="Calibri" w:eastAsia="Calibri" w:hAnsi="Calibri" w:cs="Arial"/>
              </w:rPr>
            </w:pPr>
          </w:p>
        </w:tc>
        <w:tc>
          <w:tcPr>
            <w:tcW w:w="1800" w:type="dxa"/>
            <w:vMerge/>
            <w:shd w:val="clear" w:color="auto" w:fill="auto"/>
          </w:tcPr>
          <w:p w14:paraId="206385F1" w14:textId="77777777" w:rsidR="00494065" w:rsidRPr="007A1008" w:rsidRDefault="00494065" w:rsidP="002D5EAA">
            <w:pPr>
              <w:spacing w:after="0" w:line="240" w:lineRule="auto"/>
              <w:rPr>
                <w:rFonts w:ascii="Calibri" w:eastAsia="Calibri" w:hAnsi="Calibri" w:cs="Arial"/>
              </w:rPr>
            </w:pPr>
          </w:p>
        </w:tc>
      </w:tr>
      <w:tr w:rsidR="00494065" w:rsidRPr="007A1008" w14:paraId="068C44AC" w14:textId="77777777" w:rsidTr="00BD2614">
        <w:trPr>
          <w:cantSplit/>
          <w:trHeight w:val="1611"/>
        </w:trPr>
        <w:tc>
          <w:tcPr>
            <w:tcW w:w="1908" w:type="dxa"/>
            <w:shd w:val="clear" w:color="auto" w:fill="auto"/>
          </w:tcPr>
          <w:p w14:paraId="603AB4A6" w14:textId="77777777" w:rsidR="00494065" w:rsidRPr="007A1008" w:rsidRDefault="00494065" w:rsidP="002D5EAA">
            <w:pPr>
              <w:spacing w:after="0" w:line="240" w:lineRule="auto"/>
              <w:rPr>
                <w:rFonts w:ascii="Calibri" w:eastAsia="Calibri" w:hAnsi="Calibri" w:cs="Arial"/>
                <w:i/>
              </w:rPr>
            </w:pPr>
            <w:r>
              <w:rPr>
                <w:rFonts w:ascii="Calibri" w:eastAsia="Calibri" w:hAnsi="Calibri" w:cs="Arial"/>
                <w:b/>
              </w:rPr>
              <w:t>Pulmonary Exacerbations Requiring A</w:t>
            </w:r>
            <w:r w:rsidRPr="0082212A">
              <w:rPr>
                <w:rFonts w:ascii="Calibri" w:eastAsia="Calibri" w:hAnsi="Calibri" w:cs="Arial"/>
                <w:b/>
              </w:rPr>
              <w:t>ntibiotics</w:t>
            </w:r>
            <w:r w:rsidRPr="007A1008">
              <w:rPr>
                <w:rFonts w:ascii="Calibri" w:eastAsia="Calibri" w:hAnsi="Calibri" w:cs="Arial"/>
              </w:rPr>
              <w:t xml:space="preserve"> </w:t>
            </w:r>
            <w:r w:rsidRPr="007A1008">
              <w:rPr>
                <w:rFonts w:ascii="Calibri" w:eastAsia="Calibri" w:hAnsi="Calibri" w:cs="Arial"/>
                <w:i/>
              </w:rPr>
              <w:t>(Important outcome)</w:t>
            </w:r>
          </w:p>
        </w:tc>
        <w:tc>
          <w:tcPr>
            <w:tcW w:w="5652" w:type="dxa"/>
            <w:shd w:val="clear" w:color="auto" w:fill="auto"/>
          </w:tcPr>
          <w:p w14:paraId="6CF46443" w14:textId="77777777" w:rsidR="00221FEF" w:rsidRPr="00D75A3D" w:rsidRDefault="00F61BF2" w:rsidP="002D5EAA">
            <w:pPr>
              <w:spacing w:after="0" w:line="240" w:lineRule="auto"/>
            </w:pPr>
            <w:r w:rsidRPr="00D75A3D">
              <w:rPr>
                <w:u w:val="single"/>
              </w:rPr>
              <w:t>Respin11 HFCWO device c</w:t>
            </w:r>
            <w:r w:rsidR="00494065" w:rsidRPr="00D75A3D">
              <w:rPr>
                <w:u w:val="single"/>
              </w:rPr>
              <w:t>ompared to standard pharmacological therapy alone</w:t>
            </w:r>
            <w:r w:rsidR="00494065" w:rsidRPr="00D75A3D">
              <w:t xml:space="preserve">: </w:t>
            </w:r>
          </w:p>
          <w:p w14:paraId="47312F4D" w14:textId="2CDB1D00" w:rsidR="00494065" w:rsidRDefault="00E112B4" w:rsidP="002D5EAA">
            <w:pPr>
              <w:spacing w:after="0" w:line="240" w:lineRule="auto"/>
            </w:pPr>
            <w:r w:rsidRPr="00D75A3D">
              <w:t>S</w:t>
            </w:r>
            <w:r w:rsidR="00494065" w:rsidRPr="00D75A3D">
              <w:t xml:space="preserve">ignificantly </w:t>
            </w:r>
            <w:r w:rsidR="00494065">
              <w:t>fewer exacerbations over 12 months on average for 1 group that used high</w:t>
            </w:r>
            <w:r w:rsidR="00354EEC">
              <w:t>-</w:t>
            </w:r>
            <w:r w:rsidR="00494065">
              <w:t xml:space="preserve">frequency chest wall oscillation devices: </w:t>
            </w:r>
          </w:p>
          <w:p w14:paraId="44F0857F" w14:textId="3357E38F" w:rsidR="00494065" w:rsidRDefault="00494065" w:rsidP="0029564F">
            <w:pPr>
              <w:pStyle w:val="ListParagraph"/>
              <w:numPr>
                <w:ilvl w:val="0"/>
                <w:numId w:val="24"/>
              </w:numPr>
              <w:spacing w:after="0" w:line="240" w:lineRule="auto"/>
              <w:ind w:left="591"/>
            </w:pPr>
            <w:r>
              <w:t xml:space="preserve">Respin11 group (mean, 0.52 exacerbations; </w:t>
            </w:r>
            <w:r w:rsidR="009149EB">
              <w:t>SD</w:t>
            </w:r>
            <w:r>
              <w:t xml:space="preserve">, 0.14) </w:t>
            </w:r>
          </w:p>
          <w:p w14:paraId="5A3E41E3" w14:textId="19AD807E" w:rsidR="00494065" w:rsidRDefault="00494065" w:rsidP="0029564F">
            <w:pPr>
              <w:pStyle w:val="ListParagraph"/>
              <w:numPr>
                <w:ilvl w:val="0"/>
                <w:numId w:val="24"/>
              </w:numPr>
              <w:spacing w:after="0" w:line="240" w:lineRule="auto"/>
              <w:ind w:left="591"/>
            </w:pPr>
            <w:r>
              <w:t>P</w:t>
            </w:r>
            <w:r w:rsidRPr="002B78E0">
              <w:t>harmacological therapy with other device-delivered interventions</w:t>
            </w:r>
            <w:r>
              <w:t xml:space="preserve"> (mean, 0.96 exacerbations; </w:t>
            </w:r>
            <w:r w:rsidR="007B2E94">
              <w:t>SD</w:t>
            </w:r>
            <w:r>
              <w:t>, 0.40)</w:t>
            </w:r>
          </w:p>
          <w:p w14:paraId="217278C2" w14:textId="255DD482" w:rsidR="00494065" w:rsidRDefault="00494065" w:rsidP="0029564F">
            <w:pPr>
              <w:pStyle w:val="ListParagraph"/>
              <w:numPr>
                <w:ilvl w:val="0"/>
                <w:numId w:val="24"/>
              </w:numPr>
              <w:spacing w:line="240" w:lineRule="auto"/>
              <w:ind w:left="591"/>
              <w:contextualSpacing w:val="0"/>
            </w:pPr>
            <w:r>
              <w:t xml:space="preserve">Between-group difference, </w:t>
            </w:r>
            <w:r w:rsidR="00DA4DCD">
              <w:rPr>
                <w:i/>
              </w:rPr>
              <w:t>P</w:t>
            </w:r>
            <w:r>
              <w:t xml:space="preserve"> &lt; .001</w:t>
            </w:r>
          </w:p>
          <w:p w14:paraId="130F696C" w14:textId="6AF7365C" w:rsidR="00E112B4" w:rsidRDefault="00F61BF2" w:rsidP="002D5EAA">
            <w:pPr>
              <w:spacing w:after="0" w:line="240" w:lineRule="auto"/>
              <w:ind w:left="-36"/>
            </w:pPr>
            <w:r w:rsidRPr="00D75A3D">
              <w:rPr>
                <w:u w:val="single"/>
              </w:rPr>
              <w:t xml:space="preserve">SmartVest HFCWO device </w:t>
            </w:r>
            <w:r>
              <w:rPr>
                <w:u w:val="single"/>
              </w:rPr>
              <w:t>c</w:t>
            </w:r>
            <w:r w:rsidR="00494065" w:rsidRPr="00215E13">
              <w:rPr>
                <w:u w:val="single"/>
              </w:rPr>
              <w:t xml:space="preserve">ompared to </w:t>
            </w:r>
            <w:r w:rsidR="00494065">
              <w:rPr>
                <w:u w:val="single"/>
              </w:rPr>
              <w:t>standard pharmacological therapy alone</w:t>
            </w:r>
            <w:r w:rsidR="00494065">
              <w:t xml:space="preserve">: </w:t>
            </w:r>
          </w:p>
          <w:p w14:paraId="3F8F7568" w14:textId="7E26E9BC" w:rsidR="00494065" w:rsidRDefault="00E112B4" w:rsidP="002D5EAA">
            <w:pPr>
              <w:spacing w:after="0" w:line="240" w:lineRule="auto"/>
              <w:ind w:left="-36"/>
            </w:pPr>
            <w:r>
              <w:t>Th</w:t>
            </w:r>
            <w:r w:rsidR="00494065" w:rsidRPr="00293DA8">
              <w:t xml:space="preserve">e treatment group that used the SmartVest HFCWO device did not have significantly fewer exacerbations when compared to the group that received standard pharmacological therapy </w:t>
            </w:r>
          </w:p>
          <w:p w14:paraId="7D97E2D4" w14:textId="6CEE150B" w:rsidR="00494065" w:rsidRDefault="00494065" w:rsidP="0029564F">
            <w:pPr>
              <w:pStyle w:val="ListParagraph"/>
              <w:numPr>
                <w:ilvl w:val="0"/>
                <w:numId w:val="24"/>
              </w:numPr>
              <w:spacing w:after="0" w:line="240" w:lineRule="auto"/>
              <w:ind w:left="591"/>
            </w:pPr>
            <w:r w:rsidRPr="00293DA8">
              <w:t>SmartVest</w:t>
            </w:r>
            <w:r>
              <w:t xml:space="preserve"> group</w:t>
            </w:r>
            <w:r w:rsidRPr="00293DA8">
              <w:t xml:space="preserve"> </w:t>
            </w:r>
            <w:r>
              <w:t>(</w:t>
            </w:r>
            <w:r w:rsidRPr="00293DA8">
              <w:t xml:space="preserve">mean, not reported; </w:t>
            </w:r>
            <w:r w:rsidR="007B2E94">
              <w:t>SD</w:t>
            </w:r>
            <w:r w:rsidRPr="00293DA8">
              <w:t>, not reported</w:t>
            </w:r>
            <w:r>
              <w:t>)</w:t>
            </w:r>
          </w:p>
          <w:p w14:paraId="46E5ED3B" w14:textId="11ED9320" w:rsidR="00494065" w:rsidRDefault="00494065" w:rsidP="0029564F">
            <w:pPr>
              <w:pStyle w:val="ListParagraph"/>
              <w:numPr>
                <w:ilvl w:val="0"/>
                <w:numId w:val="24"/>
              </w:numPr>
              <w:spacing w:after="0" w:line="240" w:lineRule="auto"/>
              <w:ind w:left="591"/>
            </w:pPr>
            <w:r>
              <w:t>P</w:t>
            </w:r>
            <w:r w:rsidRPr="002B78E0">
              <w:t>harmacological therapy with other device-delivered interventions</w:t>
            </w:r>
            <w:r>
              <w:t xml:space="preserve"> (mean, 0.96 exacerbations; </w:t>
            </w:r>
            <w:r w:rsidR="007B2E94">
              <w:t>SD</w:t>
            </w:r>
            <w:r>
              <w:t>, 0.40)</w:t>
            </w:r>
          </w:p>
          <w:p w14:paraId="7DCAC0FA" w14:textId="2A762B9E" w:rsidR="00494065" w:rsidRPr="00293DA8" w:rsidRDefault="00494065" w:rsidP="0029564F">
            <w:pPr>
              <w:pStyle w:val="ListParagraph"/>
              <w:numPr>
                <w:ilvl w:val="0"/>
                <w:numId w:val="24"/>
              </w:numPr>
              <w:spacing w:line="240" w:lineRule="auto"/>
              <w:ind w:left="591"/>
              <w:contextualSpacing w:val="0"/>
            </w:pPr>
            <w:r>
              <w:t>B</w:t>
            </w:r>
            <w:r w:rsidRPr="00293DA8">
              <w:t xml:space="preserve">etween-group difference, </w:t>
            </w:r>
            <w:r w:rsidR="00DA4DCD">
              <w:rPr>
                <w:i/>
                <w:iCs/>
              </w:rPr>
              <w:t>P</w:t>
            </w:r>
            <w:r w:rsidRPr="00293DA8">
              <w:t xml:space="preserve"> &gt; .05</w:t>
            </w:r>
          </w:p>
          <w:p w14:paraId="2F81C18B" w14:textId="0E806D54" w:rsidR="00494065" w:rsidRPr="007A1008" w:rsidRDefault="00494065" w:rsidP="002D5EAA">
            <w:pPr>
              <w:spacing w:after="0" w:line="240" w:lineRule="auto"/>
              <w:rPr>
                <w:rFonts w:ascii="Calibri" w:eastAsia="Calibri" w:hAnsi="Calibri" w:cs="Arial"/>
              </w:rPr>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very low confidence, based on 1 RCT, n</w:t>
            </w:r>
            <w:r w:rsidR="005C6FD7">
              <w:rPr>
                <w:rFonts w:ascii="Calibri" w:eastAsia="Calibri" w:hAnsi="Calibri" w:cs="Arial"/>
                <w:i/>
              </w:rPr>
              <w:t> </w:t>
            </w:r>
            <w:r w:rsidRPr="007A1008">
              <w:rPr>
                <w:rFonts w:ascii="Calibri" w:eastAsia="Calibri" w:hAnsi="Calibri" w:cs="Arial"/>
                <w:i/>
              </w:rPr>
              <w:t>=</w:t>
            </w:r>
            <w:r w:rsidR="005C6FD7">
              <w:rPr>
                <w:rFonts w:ascii="Calibri" w:eastAsia="Calibri" w:hAnsi="Calibri" w:cs="Arial"/>
                <w:i/>
              </w:rPr>
              <w:t> </w:t>
            </w:r>
            <w:r>
              <w:rPr>
                <w:rFonts w:ascii="Calibri" w:eastAsia="Calibri" w:hAnsi="Calibri" w:cs="Arial"/>
                <w:i/>
              </w:rPr>
              <w:t>42</w:t>
            </w:r>
            <w:r w:rsidRPr="007A1008">
              <w:rPr>
                <w:rFonts w:ascii="Calibri" w:eastAsia="Calibri" w:hAnsi="Calibri" w:cs="Arial"/>
                <w:i/>
              </w:rPr>
              <w:t>)</w:t>
            </w:r>
          </w:p>
        </w:tc>
        <w:tc>
          <w:tcPr>
            <w:tcW w:w="2070" w:type="dxa"/>
            <w:vMerge/>
            <w:shd w:val="clear" w:color="auto" w:fill="auto"/>
          </w:tcPr>
          <w:p w14:paraId="1FEAC591" w14:textId="77777777" w:rsidR="00494065" w:rsidRPr="007A1008" w:rsidRDefault="00494065" w:rsidP="002D5EAA">
            <w:pPr>
              <w:spacing w:after="0" w:line="240" w:lineRule="auto"/>
              <w:rPr>
                <w:rFonts w:ascii="Calibri" w:eastAsia="Calibri" w:hAnsi="Calibri" w:cs="Arial"/>
              </w:rPr>
            </w:pPr>
          </w:p>
        </w:tc>
        <w:tc>
          <w:tcPr>
            <w:tcW w:w="1710" w:type="dxa"/>
            <w:vMerge/>
            <w:shd w:val="clear" w:color="auto" w:fill="auto"/>
          </w:tcPr>
          <w:p w14:paraId="0CAA1DE0" w14:textId="77777777" w:rsidR="00494065" w:rsidRPr="007A1008" w:rsidRDefault="00494065" w:rsidP="002D5EAA">
            <w:pPr>
              <w:spacing w:after="0" w:line="240" w:lineRule="auto"/>
              <w:rPr>
                <w:rFonts w:ascii="Calibri" w:eastAsia="Calibri" w:hAnsi="Calibri" w:cs="Arial"/>
              </w:rPr>
            </w:pPr>
          </w:p>
        </w:tc>
        <w:tc>
          <w:tcPr>
            <w:tcW w:w="1800" w:type="dxa"/>
            <w:vMerge/>
            <w:shd w:val="clear" w:color="auto" w:fill="auto"/>
          </w:tcPr>
          <w:p w14:paraId="7548D7D0" w14:textId="77777777" w:rsidR="00494065" w:rsidRPr="007A1008" w:rsidRDefault="00494065" w:rsidP="002D5EAA">
            <w:pPr>
              <w:spacing w:after="0" w:line="240" w:lineRule="auto"/>
              <w:rPr>
                <w:rFonts w:ascii="Calibri" w:eastAsia="Calibri" w:hAnsi="Calibri" w:cs="Arial"/>
              </w:rPr>
            </w:pPr>
          </w:p>
        </w:tc>
      </w:tr>
      <w:tr w:rsidR="00494065" w:rsidRPr="007A1008" w14:paraId="0EFA6FF9" w14:textId="77777777" w:rsidTr="00BD2614">
        <w:trPr>
          <w:trHeight w:val="864"/>
        </w:trPr>
        <w:tc>
          <w:tcPr>
            <w:tcW w:w="1908" w:type="dxa"/>
            <w:shd w:val="clear" w:color="auto" w:fill="auto"/>
          </w:tcPr>
          <w:p w14:paraId="4E332292" w14:textId="77777777" w:rsidR="00494065" w:rsidRPr="007A1008" w:rsidRDefault="00494065" w:rsidP="002D5EAA">
            <w:pPr>
              <w:spacing w:after="0" w:line="240" w:lineRule="auto"/>
              <w:rPr>
                <w:rFonts w:ascii="Calibri" w:eastAsia="Calibri" w:hAnsi="Calibri" w:cs="Arial"/>
              </w:rPr>
            </w:pPr>
            <w:r>
              <w:rPr>
                <w:rFonts w:ascii="Calibri" w:eastAsia="Calibri" w:hAnsi="Calibri" w:cs="Arial"/>
                <w:b/>
              </w:rPr>
              <w:lastRenderedPageBreak/>
              <w:t xml:space="preserve">Exercise Capacity </w:t>
            </w:r>
            <w:r w:rsidRPr="007A1008">
              <w:rPr>
                <w:rFonts w:ascii="Calibri" w:eastAsia="Calibri" w:hAnsi="Calibri" w:cs="Arial"/>
                <w:i/>
              </w:rPr>
              <w:t>(Important outcome)</w:t>
            </w:r>
          </w:p>
        </w:tc>
        <w:tc>
          <w:tcPr>
            <w:tcW w:w="5652" w:type="dxa"/>
            <w:shd w:val="clear" w:color="auto" w:fill="auto"/>
          </w:tcPr>
          <w:p w14:paraId="1AC21BB3" w14:textId="77777777" w:rsidR="00494065" w:rsidRPr="007A1008" w:rsidRDefault="00494065" w:rsidP="002D5EAA">
            <w:pPr>
              <w:spacing w:after="0" w:line="240" w:lineRule="auto"/>
              <w:rPr>
                <w:rFonts w:ascii="Calibri" w:eastAsia="Calibri" w:hAnsi="Calibri" w:cs="Arial"/>
              </w:rPr>
            </w:pPr>
            <w:r>
              <w:rPr>
                <w:rFonts w:ascii="Calibri" w:eastAsia="Calibri" w:hAnsi="Calibri" w:cs="Arial"/>
              </w:rPr>
              <w:t>No evidence</w:t>
            </w:r>
            <w:r w:rsidRPr="007A1008">
              <w:rPr>
                <w:rFonts w:ascii="Calibri" w:eastAsia="Calibri" w:hAnsi="Calibri" w:cs="Arial"/>
              </w:rPr>
              <w:t xml:space="preserve"> </w:t>
            </w:r>
          </w:p>
        </w:tc>
        <w:tc>
          <w:tcPr>
            <w:tcW w:w="2070" w:type="dxa"/>
            <w:vMerge/>
            <w:shd w:val="clear" w:color="auto" w:fill="auto"/>
          </w:tcPr>
          <w:p w14:paraId="23AD61A5" w14:textId="77777777" w:rsidR="00494065" w:rsidRPr="007A1008" w:rsidRDefault="00494065" w:rsidP="002D5EAA">
            <w:pPr>
              <w:spacing w:after="0" w:line="240" w:lineRule="auto"/>
              <w:rPr>
                <w:rFonts w:ascii="Calibri" w:eastAsia="Calibri" w:hAnsi="Calibri" w:cs="Arial"/>
              </w:rPr>
            </w:pPr>
          </w:p>
        </w:tc>
        <w:tc>
          <w:tcPr>
            <w:tcW w:w="1710" w:type="dxa"/>
            <w:vMerge/>
            <w:shd w:val="clear" w:color="auto" w:fill="auto"/>
          </w:tcPr>
          <w:p w14:paraId="4D87B295" w14:textId="77777777" w:rsidR="00494065" w:rsidRPr="007A1008" w:rsidRDefault="00494065" w:rsidP="002D5EAA">
            <w:pPr>
              <w:spacing w:after="0" w:line="240" w:lineRule="auto"/>
              <w:rPr>
                <w:rFonts w:ascii="Calibri" w:eastAsia="Calibri" w:hAnsi="Calibri" w:cs="Arial"/>
              </w:rPr>
            </w:pPr>
          </w:p>
        </w:tc>
        <w:tc>
          <w:tcPr>
            <w:tcW w:w="1800" w:type="dxa"/>
            <w:vMerge/>
            <w:shd w:val="clear" w:color="auto" w:fill="auto"/>
          </w:tcPr>
          <w:p w14:paraId="69DAEE72" w14:textId="77777777" w:rsidR="00494065" w:rsidRPr="007A1008" w:rsidRDefault="00494065" w:rsidP="002D5EAA">
            <w:pPr>
              <w:spacing w:after="0" w:line="240" w:lineRule="auto"/>
              <w:rPr>
                <w:rFonts w:ascii="Calibri" w:eastAsia="Calibri" w:hAnsi="Calibri" w:cs="Arial"/>
              </w:rPr>
            </w:pPr>
          </w:p>
        </w:tc>
      </w:tr>
      <w:tr w:rsidR="00494065" w:rsidRPr="007A1008" w14:paraId="3F1FEFD9" w14:textId="77777777" w:rsidTr="00BD2614">
        <w:trPr>
          <w:trHeight w:val="806"/>
        </w:trPr>
        <w:tc>
          <w:tcPr>
            <w:tcW w:w="1908" w:type="dxa"/>
            <w:shd w:val="clear" w:color="auto" w:fill="auto"/>
          </w:tcPr>
          <w:p w14:paraId="38A64DCB" w14:textId="77777777" w:rsidR="00494065" w:rsidRPr="00A360AA" w:rsidRDefault="00494065" w:rsidP="002D5EAA">
            <w:pPr>
              <w:spacing w:after="0" w:line="240" w:lineRule="auto"/>
              <w:rPr>
                <w:rFonts w:ascii="Calibri" w:eastAsia="Calibri" w:hAnsi="Calibri" w:cs="Arial"/>
                <w:b/>
              </w:rPr>
            </w:pPr>
            <w:r>
              <w:rPr>
                <w:rFonts w:ascii="Calibri" w:eastAsia="Calibri" w:hAnsi="Calibri" w:cs="Arial"/>
                <w:b/>
              </w:rPr>
              <w:t xml:space="preserve">Breathlessness or Cough </w:t>
            </w:r>
            <w:r w:rsidRPr="007A1008">
              <w:rPr>
                <w:rFonts w:ascii="Calibri" w:eastAsia="Calibri" w:hAnsi="Calibri" w:cs="Arial"/>
                <w:i/>
              </w:rPr>
              <w:t>(Important outcome)</w:t>
            </w:r>
          </w:p>
        </w:tc>
        <w:tc>
          <w:tcPr>
            <w:tcW w:w="5652" w:type="dxa"/>
            <w:shd w:val="clear" w:color="auto" w:fill="auto"/>
          </w:tcPr>
          <w:p w14:paraId="45E1C57D" w14:textId="77777777" w:rsidR="00221FEF" w:rsidRDefault="00494065" w:rsidP="002D5EAA">
            <w:pPr>
              <w:spacing w:after="0" w:line="240" w:lineRule="auto"/>
            </w:pPr>
            <w:r w:rsidRPr="00D75A3D">
              <w:rPr>
                <w:u w:val="single"/>
              </w:rPr>
              <w:t xml:space="preserve">Compared to </w:t>
            </w:r>
            <w:r w:rsidR="00C454BF" w:rsidRPr="00D75A3D">
              <w:rPr>
                <w:u w:val="single"/>
              </w:rPr>
              <w:t>chest physiotherapy</w:t>
            </w:r>
            <w:r w:rsidRPr="00C454BF">
              <w:t xml:space="preserve">: </w:t>
            </w:r>
          </w:p>
          <w:p w14:paraId="5F033046" w14:textId="016222BB" w:rsidR="00494065" w:rsidRDefault="00221FEF" w:rsidP="002D5EAA">
            <w:pPr>
              <w:spacing w:after="0" w:line="240" w:lineRule="auto"/>
            </w:pPr>
            <w:r>
              <w:t>S</w:t>
            </w:r>
            <w:r w:rsidR="00494065" w:rsidRPr="00C454BF">
              <w:t xml:space="preserve">ignificant reduction in symptoms as measured by the 12-point Breathlessness Cough Sputum Score scale (mean difference, -5.8; 95% CI, -7.21 to -4.39; N = 20; </w:t>
            </w:r>
            <w:r w:rsidR="00DA4DCD" w:rsidRPr="00C454BF">
              <w:rPr>
                <w:i/>
              </w:rPr>
              <w:t>P </w:t>
            </w:r>
            <w:r w:rsidR="00494065" w:rsidRPr="00C454BF">
              <w:t>&lt;</w:t>
            </w:r>
            <w:r w:rsidR="00DA4DCD" w:rsidRPr="00C454BF">
              <w:t> </w:t>
            </w:r>
            <w:r w:rsidR="00494065" w:rsidRPr="00C454BF">
              <w:t>.05)</w:t>
            </w:r>
          </w:p>
          <w:p w14:paraId="185FCADE" w14:textId="405B4E7C" w:rsidR="00494065" w:rsidRPr="00D75A3D" w:rsidRDefault="00494065" w:rsidP="0029564F">
            <w:pPr>
              <w:spacing w:line="240" w:lineRule="auto"/>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 xml:space="preserve">very low </w:t>
            </w:r>
            <w:r w:rsidRPr="00D75A3D">
              <w:rPr>
                <w:rFonts w:ascii="Calibri" w:eastAsia="Calibri" w:hAnsi="Calibri" w:cs="Arial"/>
                <w:i/>
              </w:rPr>
              <w:t>confidence, based on 1 RCT, n</w:t>
            </w:r>
            <w:r w:rsidR="00DA4DCD" w:rsidRPr="00D75A3D">
              <w:rPr>
                <w:rFonts w:ascii="Calibri" w:eastAsia="Calibri" w:hAnsi="Calibri" w:cs="Arial"/>
                <w:i/>
              </w:rPr>
              <w:t> </w:t>
            </w:r>
            <w:r w:rsidRPr="00D75A3D">
              <w:rPr>
                <w:rFonts w:ascii="Calibri" w:eastAsia="Calibri" w:hAnsi="Calibri" w:cs="Arial"/>
                <w:i/>
              </w:rPr>
              <w:t>=</w:t>
            </w:r>
            <w:r w:rsidR="00DA4DCD" w:rsidRPr="00D75A3D">
              <w:rPr>
                <w:rFonts w:ascii="Calibri" w:eastAsia="Calibri" w:hAnsi="Calibri" w:cs="Arial"/>
                <w:i/>
              </w:rPr>
              <w:t> </w:t>
            </w:r>
            <w:r w:rsidRPr="00D75A3D">
              <w:rPr>
                <w:rFonts w:ascii="Calibri" w:eastAsia="Calibri" w:hAnsi="Calibri" w:cs="Arial"/>
                <w:i/>
              </w:rPr>
              <w:t>20)</w:t>
            </w:r>
          </w:p>
          <w:p w14:paraId="61D4CDCD" w14:textId="0B591DD2" w:rsidR="00494065" w:rsidRDefault="00374C29" w:rsidP="002D5EAA">
            <w:pPr>
              <w:spacing w:after="0" w:line="240" w:lineRule="auto"/>
            </w:pPr>
            <w:r w:rsidRPr="00D75A3D">
              <w:rPr>
                <w:u w:val="single"/>
              </w:rPr>
              <w:t>Respin11 HFCWO device compared to standard pharmacological therapy alone</w:t>
            </w:r>
            <w:r w:rsidR="00494065">
              <w:t xml:space="preserve">: </w:t>
            </w:r>
            <w:r w:rsidR="00A85632">
              <w:t>S</w:t>
            </w:r>
            <w:r w:rsidR="00494065">
              <w:t xml:space="preserve">ignificant reduction in symptoms as measured by the 12-point </w:t>
            </w:r>
            <w:r w:rsidR="00494065" w:rsidRPr="00CA51D5">
              <w:t>Breathlessness Cough Sputum Score</w:t>
            </w:r>
            <w:r w:rsidR="00494065">
              <w:t xml:space="preserve"> scale: </w:t>
            </w:r>
          </w:p>
          <w:p w14:paraId="3BE811AE" w14:textId="3FFE913B" w:rsidR="00494065" w:rsidRDefault="00494065" w:rsidP="0029564F">
            <w:pPr>
              <w:pStyle w:val="ListParagraph"/>
              <w:numPr>
                <w:ilvl w:val="0"/>
                <w:numId w:val="18"/>
              </w:numPr>
              <w:spacing w:after="0" w:line="240" w:lineRule="auto"/>
              <w:ind w:left="591"/>
            </w:pPr>
            <w:r>
              <w:t xml:space="preserve">Respin11 group (mean at 12 months post-baseline, 2.8; </w:t>
            </w:r>
            <w:r w:rsidR="007B2E94">
              <w:t>SD</w:t>
            </w:r>
            <w:r>
              <w:t>, not reported)</w:t>
            </w:r>
          </w:p>
          <w:p w14:paraId="50FB22BE" w14:textId="0AA6E409" w:rsidR="00494065" w:rsidRDefault="00494065" w:rsidP="0029564F">
            <w:pPr>
              <w:pStyle w:val="ListParagraph"/>
              <w:numPr>
                <w:ilvl w:val="0"/>
                <w:numId w:val="18"/>
              </w:numPr>
              <w:spacing w:after="0" w:line="240" w:lineRule="auto"/>
              <w:ind w:left="591"/>
            </w:pPr>
            <w:r>
              <w:t xml:space="preserve">Pharmacological therapy with other device-delivered interventions group (mean at 12 months post-baseline, 6.1; </w:t>
            </w:r>
            <w:r w:rsidR="007B2E94">
              <w:t>SD</w:t>
            </w:r>
            <w:r>
              <w:t>, not reported)</w:t>
            </w:r>
          </w:p>
          <w:p w14:paraId="4D70A764" w14:textId="334F1DBC" w:rsidR="00494065" w:rsidRPr="0022753A" w:rsidRDefault="00494065" w:rsidP="0029564F">
            <w:pPr>
              <w:pStyle w:val="ListParagraph"/>
              <w:numPr>
                <w:ilvl w:val="0"/>
                <w:numId w:val="18"/>
              </w:numPr>
              <w:spacing w:after="0" w:line="240" w:lineRule="auto"/>
              <w:ind w:left="590"/>
              <w:rPr>
                <w:rFonts w:ascii="Calibri" w:eastAsia="Calibri" w:hAnsi="Calibri" w:cs="Arial"/>
                <w:i/>
              </w:rPr>
            </w:pPr>
            <w:r w:rsidRPr="0022753A">
              <w:rPr>
                <w:iCs/>
              </w:rPr>
              <w:t>Between-group difference</w:t>
            </w:r>
            <w:r>
              <w:rPr>
                <w:iCs/>
              </w:rPr>
              <w:t>,</w:t>
            </w:r>
            <w:r w:rsidRPr="0022753A">
              <w:rPr>
                <w:i/>
              </w:rPr>
              <w:t xml:space="preserve"> </w:t>
            </w:r>
            <w:r w:rsidR="00DA4DCD">
              <w:rPr>
                <w:i/>
              </w:rPr>
              <w:t>P</w:t>
            </w:r>
            <w:r>
              <w:t xml:space="preserve"> &lt; .001</w:t>
            </w:r>
          </w:p>
          <w:p w14:paraId="2ABA3D60" w14:textId="43F86CBD" w:rsidR="00494065" w:rsidRPr="00D75A3D" w:rsidRDefault="00494065" w:rsidP="0029564F">
            <w:pPr>
              <w:spacing w:line="240" w:lineRule="auto"/>
              <w:rPr>
                <w:rFonts w:ascii="Calibri" w:eastAsia="Calibri" w:hAnsi="Calibri" w:cs="Arial"/>
                <w:i/>
              </w:rPr>
            </w:pPr>
            <w:r w:rsidRPr="0022753A">
              <w:rPr>
                <w:rFonts w:ascii="Calibri" w:hAnsi="Calibri"/>
              </w:rPr>
              <w:t>●◌◌◌</w:t>
            </w:r>
            <w:r w:rsidRPr="0022753A">
              <w:rPr>
                <w:rFonts w:ascii="Calibri" w:eastAsia="Calibri" w:hAnsi="Calibri" w:cs="Arial"/>
              </w:rPr>
              <w:t xml:space="preserve"> </w:t>
            </w:r>
            <w:r w:rsidRPr="0022753A">
              <w:rPr>
                <w:rFonts w:ascii="Calibri" w:eastAsia="Calibri" w:hAnsi="Calibri" w:cs="Arial"/>
                <w:i/>
              </w:rPr>
              <w:t xml:space="preserve">(very low confidence, </w:t>
            </w:r>
            <w:r w:rsidRPr="00D75A3D">
              <w:rPr>
                <w:rFonts w:ascii="Calibri" w:eastAsia="Calibri" w:hAnsi="Calibri" w:cs="Arial"/>
                <w:i/>
              </w:rPr>
              <w:t>based on 1 RCT, n</w:t>
            </w:r>
            <w:r w:rsidR="00DA4DCD" w:rsidRPr="00D75A3D">
              <w:rPr>
                <w:rFonts w:ascii="Calibri" w:eastAsia="Calibri" w:hAnsi="Calibri" w:cs="Arial"/>
                <w:i/>
              </w:rPr>
              <w:t> </w:t>
            </w:r>
            <w:r w:rsidRPr="00D75A3D">
              <w:rPr>
                <w:rFonts w:ascii="Calibri" w:eastAsia="Calibri" w:hAnsi="Calibri" w:cs="Arial"/>
                <w:i/>
              </w:rPr>
              <w:t>=</w:t>
            </w:r>
            <w:r w:rsidR="00DA4DCD" w:rsidRPr="00D75A3D">
              <w:rPr>
                <w:rFonts w:ascii="Calibri" w:eastAsia="Calibri" w:hAnsi="Calibri" w:cs="Arial"/>
                <w:i/>
              </w:rPr>
              <w:t> </w:t>
            </w:r>
            <w:r w:rsidRPr="00D75A3D">
              <w:rPr>
                <w:rFonts w:ascii="Calibri" w:eastAsia="Calibri" w:hAnsi="Calibri" w:cs="Arial"/>
                <w:i/>
              </w:rPr>
              <w:t>42)</w:t>
            </w:r>
          </w:p>
          <w:p w14:paraId="0795D24F" w14:textId="2EF17454" w:rsidR="00A85632" w:rsidRDefault="00374C29" w:rsidP="002D5EAA">
            <w:pPr>
              <w:spacing w:after="0" w:line="240" w:lineRule="auto"/>
            </w:pPr>
            <w:r w:rsidRPr="00D75A3D">
              <w:rPr>
                <w:u w:val="single"/>
              </w:rPr>
              <w:t>SmartVest HFCWO device compared to standard pharmacological therapy alone</w:t>
            </w:r>
            <w:r w:rsidR="00494065">
              <w:t xml:space="preserve">: </w:t>
            </w:r>
          </w:p>
          <w:p w14:paraId="0D20F031" w14:textId="53B5FC1D" w:rsidR="00494065" w:rsidRDefault="00494065" w:rsidP="002D5EAA">
            <w:pPr>
              <w:spacing w:after="0" w:line="240" w:lineRule="auto"/>
            </w:pPr>
            <w:r>
              <w:t xml:space="preserve">The treatment group that used the SmartVest </w:t>
            </w:r>
            <w:r w:rsidR="00C72743">
              <w:t>high-frequency chest wall oscillation</w:t>
            </w:r>
            <w:r>
              <w:t xml:space="preserve"> device did not demonstrate a significant reduction in symptoms as measured by the 12-point </w:t>
            </w:r>
            <w:r w:rsidRPr="00CA51D5">
              <w:t>Breathlessness Cough Sputum Score</w:t>
            </w:r>
            <w:r>
              <w:t xml:space="preserve"> scale: </w:t>
            </w:r>
          </w:p>
          <w:p w14:paraId="43AB356F" w14:textId="613713C1" w:rsidR="00494065" w:rsidRDefault="00494065" w:rsidP="0029564F">
            <w:pPr>
              <w:pStyle w:val="ListParagraph"/>
              <w:numPr>
                <w:ilvl w:val="0"/>
                <w:numId w:val="23"/>
              </w:numPr>
              <w:spacing w:after="0" w:line="240" w:lineRule="auto"/>
              <w:ind w:left="594"/>
            </w:pPr>
            <w:r>
              <w:t xml:space="preserve">SmartVest group (mean at 12 months post-baseline, 4.5; </w:t>
            </w:r>
            <w:r w:rsidR="007B2E94">
              <w:t>SD</w:t>
            </w:r>
            <w:r>
              <w:t>, not reported)</w:t>
            </w:r>
          </w:p>
          <w:p w14:paraId="1A2DAE8E" w14:textId="57201B77" w:rsidR="00494065" w:rsidRDefault="00494065" w:rsidP="0029564F">
            <w:pPr>
              <w:pStyle w:val="ListParagraph"/>
              <w:numPr>
                <w:ilvl w:val="0"/>
                <w:numId w:val="23"/>
              </w:numPr>
              <w:spacing w:after="0" w:line="240" w:lineRule="auto"/>
              <w:ind w:left="594"/>
            </w:pPr>
            <w:r w:rsidRPr="0022753A">
              <w:lastRenderedPageBreak/>
              <w:t>Pharmacological therapy with other device-delivered interventions group</w:t>
            </w:r>
            <w:r>
              <w:t xml:space="preserve"> (mean at 12 months post-baseline, 6.1; </w:t>
            </w:r>
            <w:r w:rsidR="007B2E94">
              <w:t>SD</w:t>
            </w:r>
            <w:r>
              <w:t>, not reported)</w:t>
            </w:r>
          </w:p>
          <w:p w14:paraId="658E3F25" w14:textId="22573005" w:rsidR="00494065" w:rsidRDefault="00494065" w:rsidP="0029564F">
            <w:pPr>
              <w:pStyle w:val="ListParagraph"/>
              <w:numPr>
                <w:ilvl w:val="0"/>
                <w:numId w:val="23"/>
              </w:numPr>
              <w:spacing w:after="0" w:line="240" w:lineRule="auto"/>
              <w:ind w:left="594"/>
            </w:pPr>
            <w:r w:rsidRPr="0022753A">
              <w:rPr>
                <w:iCs/>
              </w:rPr>
              <w:t>Between-group difference,</w:t>
            </w:r>
            <w:r>
              <w:rPr>
                <w:i/>
              </w:rPr>
              <w:t xml:space="preserve"> </w:t>
            </w:r>
            <w:r w:rsidR="00DA4DCD">
              <w:rPr>
                <w:i/>
              </w:rPr>
              <w:t>P</w:t>
            </w:r>
            <w:r>
              <w:t xml:space="preserve"> &gt; .05</w:t>
            </w:r>
          </w:p>
          <w:p w14:paraId="7357A5E1" w14:textId="4B1C960A" w:rsidR="00494065" w:rsidRPr="007A1008" w:rsidRDefault="00494065" w:rsidP="002D5EAA">
            <w:pPr>
              <w:spacing w:after="0" w:line="240" w:lineRule="auto"/>
              <w:rPr>
                <w:rFonts w:ascii="Calibri" w:eastAsia="Calibri" w:hAnsi="Calibri" w:cs="Arial"/>
              </w:rPr>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very low confidence, based on 1 RCT, n</w:t>
            </w:r>
            <w:r w:rsidR="00DA4DCD">
              <w:rPr>
                <w:rFonts w:ascii="Calibri" w:eastAsia="Calibri" w:hAnsi="Calibri" w:cs="Arial"/>
                <w:i/>
              </w:rPr>
              <w:t> </w:t>
            </w:r>
            <w:r w:rsidRPr="007A1008">
              <w:rPr>
                <w:rFonts w:ascii="Calibri" w:eastAsia="Calibri" w:hAnsi="Calibri" w:cs="Arial"/>
                <w:i/>
              </w:rPr>
              <w:t>=</w:t>
            </w:r>
            <w:r w:rsidR="00DA4DCD">
              <w:rPr>
                <w:rFonts w:ascii="Calibri" w:eastAsia="Calibri" w:hAnsi="Calibri" w:cs="Arial"/>
                <w:i/>
              </w:rPr>
              <w:t> </w:t>
            </w:r>
            <w:r w:rsidRPr="00590A37">
              <w:rPr>
                <w:rFonts w:ascii="Calibri" w:eastAsia="Calibri" w:hAnsi="Calibri" w:cs="Arial"/>
                <w:i/>
              </w:rPr>
              <w:t>4</w:t>
            </w:r>
            <w:r w:rsidR="00785BEC" w:rsidRPr="00590A37">
              <w:rPr>
                <w:rFonts w:ascii="Calibri" w:eastAsia="Calibri" w:hAnsi="Calibri" w:cs="Arial"/>
                <w:i/>
              </w:rPr>
              <w:t>2</w:t>
            </w:r>
            <w:r w:rsidRPr="007A1008">
              <w:rPr>
                <w:rFonts w:ascii="Calibri" w:eastAsia="Calibri" w:hAnsi="Calibri" w:cs="Arial"/>
                <w:i/>
              </w:rPr>
              <w:t>)</w:t>
            </w:r>
          </w:p>
        </w:tc>
        <w:tc>
          <w:tcPr>
            <w:tcW w:w="2070" w:type="dxa"/>
            <w:vMerge/>
            <w:shd w:val="clear" w:color="auto" w:fill="auto"/>
          </w:tcPr>
          <w:p w14:paraId="04839709" w14:textId="77777777" w:rsidR="00494065" w:rsidRPr="007A1008" w:rsidRDefault="00494065" w:rsidP="002D5EAA">
            <w:pPr>
              <w:spacing w:after="0" w:line="240" w:lineRule="auto"/>
              <w:rPr>
                <w:rFonts w:ascii="Calibri" w:eastAsia="Calibri" w:hAnsi="Calibri" w:cs="Arial"/>
              </w:rPr>
            </w:pPr>
          </w:p>
        </w:tc>
        <w:tc>
          <w:tcPr>
            <w:tcW w:w="1710" w:type="dxa"/>
            <w:vMerge/>
            <w:shd w:val="clear" w:color="auto" w:fill="auto"/>
          </w:tcPr>
          <w:p w14:paraId="4745F622" w14:textId="77777777" w:rsidR="00494065" w:rsidRPr="007A1008" w:rsidRDefault="00494065" w:rsidP="002D5EAA">
            <w:pPr>
              <w:spacing w:after="0" w:line="240" w:lineRule="auto"/>
              <w:rPr>
                <w:rFonts w:ascii="Calibri" w:eastAsia="Calibri" w:hAnsi="Calibri" w:cs="Arial"/>
              </w:rPr>
            </w:pPr>
          </w:p>
        </w:tc>
        <w:tc>
          <w:tcPr>
            <w:tcW w:w="1800" w:type="dxa"/>
            <w:vMerge/>
            <w:shd w:val="clear" w:color="auto" w:fill="auto"/>
          </w:tcPr>
          <w:p w14:paraId="6200433A" w14:textId="77777777" w:rsidR="00494065" w:rsidRPr="007A1008" w:rsidRDefault="00494065" w:rsidP="002D5EAA">
            <w:pPr>
              <w:spacing w:after="0" w:line="240" w:lineRule="auto"/>
              <w:rPr>
                <w:rFonts w:ascii="Calibri" w:eastAsia="Calibri" w:hAnsi="Calibri" w:cs="Arial"/>
              </w:rPr>
            </w:pPr>
          </w:p>
        </w:tc>
      </w:tr>
      <w:tr w:rsidR="00494065" w:rsidRPr="007A1008" w14:paraId="28A5E17B" w14:textId="77777777" w:rsidTr="0029564F">
        <w:trPr>
          <w:trHeight w:val="85"/>
        </w:trPr>
        <w:tc>
          <w:tcPr>
            <w:tcW w:w="13140" w:type="dxa"/>
            <w:gridSpan w:val="5"/>
            <w:tcBorders>
              <w:left w:val="nil"/>
              <w:right w:val="nil"/>
            </w:tcBorders>
            <w:shd w:val="clear" w:color="auto" w:fill="auto"/>
          </w:tcPr>
          <w:p w14:paraId="47412143" w14:textId="77777777" w:rsidR="00494065" w:rsidRPr="00106CA3" w:rsidRDefault="00494065" w:rsidP="002D5EAA">
            <w:pPr>
              <w:spacing w:after="0" w:line="240" w:lineRule="auto"/>
              <w:rPr>
                <w:rFonts w:ascii="Calibri" w:eastAsia="Calibri" w:hAnsi="Calibri" w:cs="Arial"/>
                <w:b/>
                <w:sz w:val="16"/>
                <w:szCs w:val="16"/>
              </w:rPr>
            </w:pPr>
          </w:p>
        </w:tc>
      </w:tr>
      <w:tr w:rsidR="00494065" w:rsidRPr="007A1008" w14:paraId="57BCF78D" w14:textId="77777777" w:rsidTr="0029564F">
        <w:trPr>
          <w:trHeight w:val="620"/>
        </w:trPr>
        <w:tc>
          <w:tcPr>
            <w:tcW w:w="13140" w:type="dxa"/>
            <w:gridSpan w:val="5"/>
            <w:shd w:val="clear" w:color="auto" w:fill="E7EFF9"/>
          </w:tcPr>
          <w:p w14:paraId="7EC7F2DD" w14:textId="2808E0A6" w:rsidR="00494065" w:rsidRPr="006A0199" w:rsidRDefault="00494065" w:rsidP="002D5EAA">
            <w:pPr>
              <w:spacing w:after="0" w:line="240" w:lineRule="auto"/>
              <w:rPr>
                <w:rFonts w:ascii="Calibri" w:eastAsia="Calibri" w:hAnsi="Calibri" w:cs="Arial"/>
                <w:b/>
              </w:rPr>
            </w:pPr>
            <w:r w:rsidRPr="007A1008">
              <w:rPr>
                <w:rFonts w:ascii="Calibri" w:eastAsia="Calibri" w:hAnsi="Calibri" w:cs="Arial"/>
                <w:b/>
              </w:rPr>
              <w:t>Balance of benefits and harms:</w:t>
            </w:r>
            <w:r w:rsidRPr="002D5EAA">
              <w:rPr>
                <w:rFonts w:ascii="Calibri" w:hAnsi="Calibri"/>
              </w:rPr>
              <w:t xml:space="preserve"> </w:t>
            </w:r>
            <w:r>
              <w:rPr>
                <w:rFonts w:ascii="Calibri" w:eastAsia="Calibri" w:hAnsi="Calibri" w:cs="Arial"/>
              </w:rPr>
              <w:t xml:space="preserve">There </w:t>
            </w:r>
            <w:r w:rsidRPr="0093221D">
              <w:rPr>
                <w:rFonts w:ascii="Calibri" w:eastAsia="Calibri" w:hAnsi="Calibri" w:cs="Arial"/>
              </w:rPr>
              <w:t xml:space="preserve">is very low confidence </w:t>
            </w:r>
            <w:r w:rsidRPr="0093221D">
              <w:rPr>
                <w:rFonts w:ascii="Calibri" w:hAnsi="Calibri"/>
              </w:rPr>
              <w:t>evidence</w:t>
            </w:r>
            <w:r w:rsidRPr="0093221D">
              <w:rPr>
                <w:rFonts w:ascii="Calibri" w:eastAsia="Calibri" w:hAnsi="Calibri" w:cs="Arial"/>
              </w:rPr>
              <w:t xml:space="preserve"> that hi</w:t>
            </w:r>
            <w:r w:rsidR="00354EEC" w:rsidRPr="0093221D">
              <w:rPr>
                <w:rFonts w:ascii="Calibri" w:eastAsia="Calibri" w:hAnsi="Calibri" w:cs="Arial"/>
              </w:rPr>
              <w:t>gh-frequency</w:t>
            </w:r>
            <w:r w:rsidRPr="0093221D">
              <w:rPr>
                <w:rFonts w:ascii="Calibri" w:eastAsia="Calibri" w:hAnsi="Calibri" w:cs="Arial"/>
              </w:rPr>
              <w:t xml:space="preserve"> chest wall oscillation devices </w:t>
            </w:r>
            <w:r w:rsidR="00223DF6" w:rsidRPr="0093221D">
              <w:rPr>
                <w:rFonts w:ascii="Calibri" w:eastAsia="Calibri" w:hAnsi="Calibri" w:cs="Arial"/>
              </w:rPr>
              <w:t>improve</w:t>
            </w:r>
            <w:r w:rsidRPr="0093221D">
              <w:rPr>
                <w:rFonts w:ascii="Calibri" w:eastAsia="Calibri" w:hAnsi="Calibri" w:cs="Arial"/>
              </w:rPr>
              <w:t xml:space="preserve"> key outcomes for patients with </w:t>
            </w:r>
            <w:r w:rsidR="00F072EF" w:rsidRPr="0093221D">
              <w:rPr>
                <w:rFonts w:ascii="Calibri" w:eastAsia="Calibri" w:hAnsi="Calibri" w:cs="Arial"/>
              </w:rPr>
              <w:t>non</w:t>
            </w:r>
            <w:r w:rsidR="00214F8D">
              <w:rPr>
                <w:rFonts w:ascii="Calibri" w:eastAsia="Calibri" w:hAnsi="Calibri" w:cs="Arial"/>
              </w:rPr>
              <w:t>-</w:t>
            </w:r>
            <w:r w:rsidR="00F072EF" w:rsidRPr="0093221D">
              <w:rPr>
                <w:rFonts w:ascii="Calibri" w:eastAsia="Calibri" w:hAnsi="Calibri" w:cs="Arial"/>
              </w:rPr>
              <w:t xml:space="preserve">cystic fibrosis </w:t>
            </w:r>
            <w:r w:rsidRPr="0093221D">
              <w:rPr>
                <w:rFonts w:ascii="Calibri" w:eastAsia="Calibri" w:hAnsi="Calibri" w:cs="Arial"/>
              </w:rPr>
              <w:t xml:space="preserve">bronchiectasis. </w:t>
            </w:r>
            <w:r w:rsidR="00D24E56" w:rsidRPr="0093221D">
              <w:rPr>
                <w:rFonts w:ascii="Calibri" w:eastAsia="Calibri" w:hAnsi="Calibri" w:cs="Arial"/>
              </w:rPr>
              <w:t>However, expert opinion supports use in this population based on data extrapolated from cystic fibrosis, which is a similar condition</w:t>
            </w:r>
            <w:r w:rsidR="000B0388" w:rsidRPr="0093221D">
              <w:rPr>
                <w:rFonts w:ascii="Calibri" w:eastAsia="Calibri" w:hAnsi="Calibri" w:cs="Arial"/>
              </w:rPr>
              <w:t>, but only when there is evidence of chronic airway infection</w:t>
            </w:r>
            <w:r w:rsidR="00742760" w:rsidRPr="0093221D">
              <w:rPr>
                <w:rFonts w:ascii="Calibri" w:eastAsia="Calibri" w:hAnsi="Calibri" w:cs="Arial"/>
              </w:rPr>
              <w:t xml:space="preserve"> </w:t>
            </w:r>
            <w:r w:rsidR="00211DBB" w:rsidRPr="0093221D">
              <w:rPr>
                <w:rFonts w:ascii="Calibri" w:eastAsia="Calibri" w:hAnsi="Calibri" w:cs="Arial"/>
              </w:rPr>
              <w:t xml:space="preserve">or </w:t>
            </w:r>
            <w:r w:rsidR="00742760" w:rsidRPr="0093221D">
              <w:rPr>
                <w:rFonts w:ascii="Calibri" w:eastAsia="Calibri" w:hAnsi="Calibri" w:cs="Arial"/>
              </w:rPr>
              <w:t>chronic daily cough.</w:t>
            </w:r>
            <w:r w:rsidR="00D24E56" w:rsidRPr="0093221D">
              <w:rPr>
                <w:rFonts w:ascii="Calibri" w:eastAsia="Calibri" w:hAnsi="Calibri" w:cs="Arial"/>
              </w:rPr>
              <w:t xml:space="preserve"> </w:t>
            </w:r>
            <w:r w:rsidRPr="0093221D">
              <w:rPr>
                <w:rFonts w:ascii="Calibri" w:eastAsia="Calibri" w:hAnsi="Calibri" w:cs="Arial"/>
              </w:rPr>
              <w:t xml:space="preserve">There are few </w:t>
            </w:r>
            <w:r w:rsidR="00536952">
              <w:rPr>
                <w:rFonts w:ascii="Calibri" w:eastAsia="Calibri" w:hAnsi="Calibri" w:cs="Arial"/>
              </w:rPr>
              <w:t>device-related</w:t>
            </w:r>
            <w:r w:rsidR="00536952" w:rsidRPr="0093221D">
              <w:rPr>
                <w:rFonts w:ascii="Calibri" w:eastAsia="Calibri" w:hAnsi="Calibri" w:cs="Arial"/>
              </w:rPr>
              <w:t xml:space="preserve"> </w:t>
            </w:r>
            <w:r w:rsidRPr="0093221D">
              <w:rPr>
                <w:rFonts w:ascii="Calibri" w:eastAsia="Calibri" w:hAnsi="Calibri" w:cs="Arial"/>
              </w:rPr>
              <w:t>harms to hi</w:t>
            </w:r>
            <w:r w:rsidR="00354EEC" w:rsidRPr="0093221D">
              <w:rPr>
                <w:rFonts w:ascii="Calibri" w:eastAsia="Calibri" w:hAnsi="Calibri" w:cs="Arial"/>
              </w:rPr>
              <w:t>gh-frequency</w:t>
            </w:r>
            <w:r w:rsidRPr="0093221D">
              <w:rPr>
                <w:rFonts w:ascii="Calibri" w:eastAsia="Calibri" w:hAnsi="Calibri" w:cs="Arial"/>
              </w:rPr>
              <w:t xml:space="preserve"> chest wall oscillation devices.</w:t>
            </w:r>
          </w:p>
        </w:tc>
      </w:tr>
      <w:tr w:rsidR="00494065" w:rsidRPr="007A1008" w14:paraId="34A0E49A" w14:textId="77777777" w:rsidTr="0029564F">
        <w:trPr>
          <w:trHeight w:val="431"/>
        </w:trPr>
        <w:tc>
          <w:tcPr>
            <w:tcW w:w="13140" w:type="dxa"/>
            <w:gridSpan w:val="5"/>
            <w:shd w:val="clear" w:color="auto" w:fill="E7EFF9"/>
          </w:tcPr>
          <w:p w14:paraId="0771D263" w14:textId="3C324BE8" w:rsidR="00494065" w:rsidRPr="0093221D" w:rsidRDefault="00494065" w:rsidP="002D5EAA">
            <w:pPr>
              <w:spacing w:after="0" w:line="240" w:lineRule="auto"/>
              <w:rPr>
                <w:rFonts w:ascii="Calibri" w:eastAsia="Calibri" w:hAnsi="Calibri" w:cs="Arial"/>
                <w:b/>
              </w:rPr>
            </w:pPr>
            <w:r w:rsidRPr="0093221D">
              <w:rPr>
                <w:rFonts w:ascii="Calibri" w:eastAsia="Calibri" w:hAnsi="Calibri" w:cs="Arial"/>
                <w:b/>
              </w:rPr>
              <w:t xml:space="preserve">Rationale: </w:t>
            </w:r>
            <w:r w:rsidR="00D24E56" w:rsidRPr="0093221D">
              <w:rPr>
                <w:rFonts w:ascii="Calibri" w:eastAsia="Calibri" w:hAnsi="Calibri" w:cs="Arial"/>
                <w:bCs/>
              </w:rPr>
              <w:t>The evidence is equivocal regarding whether high</w:t>
            </w:r>
            <w:r w:rsidR="00B05ADD" w:rsidRPr="0093221D">
              <w:rPr>
                <w:rFonts w:ascii="Calibri" w:eastAsia="Calibri" w:hAnsi="Calibri" w:cs="Arial"/>
                <w:bCs/>
              </w:rPr>
              <w:t>-</w:t>
            </w:r>
            <w:r w:rsidR="00D24E56" w:rsidRPr="0093221D">
              <w:rPr>
                <w:rFonts w:ascii="Calibri" w:eastAsia="Calibri" w:hAnsi="Calibri" w:cs="Arial"/>
                <w:bCs/>
              </w:rPr>
              <w:t>frequency chest wall oscillation</w:t>
            </w:r>
            <w:r w:rsidRPr="0093221D">
              <w:rPr>
                <w:rFonts w:ascii="Calibri" w:eastAsia="Calibri" w:hAnsi="Calibri" w:cs="Arial"/>
                <w:bCs/>
              </w:rPr>
              <w:t xml:space="preserve"> improve</w:t>
            </w:r>
            <w:r w:rsidR="00D24E56" w:rsidRPr="0093221D">
              <w:rPr>
                <w:rFonts w:ascii="Calibri" w:eastAsia="Calibri" w:hAnsi="Calibri" w:cs="Arial"/>
                <w:bCs/>
              </w:rPr>
              <w:t>s</w:t>
            </w:r>
            <w:r w:rsidRPr="0093221D">
              <w:rPr>
                <w:rFonts w:ascii="Calibri" w:eastAsia="Calibri" w:hAnsi="Calibri" w:cs="Arial"/>
                <w:bCs/>
              </w:rPr>
              <w:t xml:space="preserve"> outcomes for patients with </w:t>
            </w:r>
            <w:r w:rsidR="00742760" w:rsidRPr="0093221D">
              <w:rPr>
                <w:rFonts w:ascii="Calibri" w:eastAsia="Calibri" w:hAnsi="Calibri" w:cs="Arial"/>
                <w:bCs/>
              </w:rPr>
              <w:t>non</w:t>
            </w:r>
            <w:r w:rsidR="00214F8D">
              <w:rPr>
                <w:rFonts w:ascii="Calibri" w:eastAsia="Calibri" w:hAnsi="Calibri" w:cs="Arial"/>
                <w:bCs/>
              </w:rPr>
              <w:t>-</w:t>
            </w:r>
            <w:r w:rsidR="00742760" w:rsidRPr="0093221D">
              <w:rPr>
                <w:rFonts w:ascii="Calibri" w:eastAsia="Calibri" w:hAnsi="Calibri" w:cs="Arial"/>
                <w:bCs/>
              </w:rPr>
              <w:t xml:space="preserve">cystic fibrosis </w:t>
            </w:r>
            <w:r w:rsidRPr="0093221D">
              <w:rPr>
                <w:rFonts w:ascii="Calibri" w:eastAsia="Calibri" w:hAnsi="Calibri" w:cs="Arial"/>
                <w:bCs/>
              </w:rPr>
              <w:t>bronchiectasis</w:t>
            </w:r>
            <w:r w:rsidR="00636B79">
              <w:rPr>
                <w:rFonts w:ascii="Calibri" w:eastAsia="Calibri" w:hAnsi="Calibri" w:cs="Arial"/>
                <w:bCs/>
              </w:rPr>
              <w:t xml:space="preserve">, </w:t>
            </w:r>
            <w:r w:rsidR="00636B79" w:rsidRPr="00636B79">
              <w:rPr>
                <w:rFonts w:ascii="Calibri" w:eastAsia="Calibri" w:hAnsi="Calibri" w:cs="Arial"/>
              </w:rPr>
              <w:t>but we recommend coverage of these devices based on low risk of harms and the fact that they may result in cost offsets if they prevent hospitalizations. Expert testimony that pathophysiologic reasoning makes extrapolating evidence from the cystic fibrosis population reasonable.</w:t>
            </w:r>
            <w:r w:rsidR="008D04CF">
              <w:rPr>
                <w:rFonts w:ascii="Calibri" w:eastAsia="Calibri" w:hAnsi="Calibri" w:cs="Arial"/>
              </w:rPr>
              <w:t xml:space="preserve"> </w:t>
            </w:r>
            <w:r w:rsidR="008344E2" w:rsidRPr="0093221D">
              <w:rPr>
                <w:rFonts w:ascii="Calibri" w:eastAsia="Calibri" w:hAnsi="Calibri" w:cs="Arial"/>
              </w:rPr>
              <w:t xml:space="preserve">The recommendation is weak because of </w:t>
            </w:r>
            <w:r w:rsidR="00875C93" w:rsidRPr="0093221D">
              <w:rPr>
                <w:rFonts w:ascii="Calibri" w:eastAsia="Calibri" w:hAnsi="Calibri" w:cs="Arial"/>
              </w:rPr>
              <w:t>our</w:t>
            </w:r>
            <w:r w:rsidR="008344E2" w:rsidRPr="0093221D">
              <w:rPr>
                <w:rFonts w:ascii="Calibri" w:eastAsia="Calibri" w:hAnsi="Calibri" w:cs="Arial"/>
              </w:rPr>
              <w:t xml:space="preserve"> very low </w:t>
            </w:r>
            <w:r w:rsidR="00875C93" w:rsidRPr="0093221D">
              <w:rPr>
                <w:rFonts w:ascii="Calibri" w:eastAsia="Calibri" w:hAnsi="Calibri" w:cs="Arial"/>
              </w:rPr>
              <w:t>confidence in the</w:t>
            </w:r>
            <w:r w:rsidR="008344E2" w:rsidRPr="0093221D">
              <w:rPr>
                <w:rFonts w:ascii="Calibri" w:eastAsia="Calibri" w:hAnsi="Calibri" w:cs="Arial"/>
              </w:rPr>
              <w:t xml:space="preserve"> </w:t>
            </w:r>
            <w:r w:rsidR="00875C93" w:rsidRPr="0093221D">
              <w:rPr>
                <w:rFonts w:ascii="Calibri" w:eastAsia="Calibri" w:hAnsi="Calibri" w:cs="Arial"/>
              </w:rPr>
              <w:t xml:space="preserve">available </w:t>
            </w:r>
            <w:r w:rsidR="008344E2" w:rsidRPr="0093221D">
              <w:rPr>
                <w:rFonts w:ascii="Calibri" w:eastAsia="Calibri" w:hAnsi="Calibri" w:cs="Arial"/>
              </w:rPr>
              <w:t>evidence.</w:t>
            </w:r>
          </w:p>
        </w:tc>
      </w:tr>
      <w:tr w:rsidR="00494065" w:rsidRPr="007A1008" w14:paraId="7F80B68E" w14:textId="77777777" w:rsidTr="0029564F">
        <w:trPr>
          <w:trHeight w:val="350"/>
        </w:trPr>
        <w:tc>
          <w:tcPr>
            <w:tcW w:w="13140" w:type="dxa"/>
            <w:gridSpan w:val="5"/>
            <w:shd w:val="clear" w:color="auto" w:fill="E7EFF9"/>
          </w:tcPr>
          <w:p w14:paraId="01254848" w14:textId="125031FE" w:rsidR="00DA03D2" w:rsidRPr="00DA03D2" w:rsidRDefault="00494065" w:rsidP="00DA03D2">
            <w:pPr>
              <w:pStyle w:val="paragraph"/>
              <w:spacing w:before="0" w:beforeAutospacing="0" w:after="0" w:afterAutospacing="0"/>
              <w:textAlignment w:val="baseline"/>
              <w:rPr>
                <w:rFonts w:ascii="Segoe UI" w:hAnsi="Segoe UI" w:cs="Segoe UI"/>
                <w:sz w:val="18"/>
                <w:szCs w:val="18"/>
              </w:rPr>
            </w:pPr>
            <w:r w:rsidRPr="00DA03D2">
              <w:rPr>
                <w:b/>
              </w:rPr>
              <w:t>Recommendation:</w:t>
            </w:r>
            <w:r w:rsidRPr="00DA03D2">
              <w:t xml:space="preserve"> </w:t>
            </w:r>
            <w:r w:rsidR="00DA03D2" w:rsidRPr="00DA03D2">
              <w:t>High-frequency chest wall oscillation devices are</w:t>
            </w:r>
            <w:r w:rsidR="00DA03D2">
              <w:t xml:space="preserve"> </w:t>
            </w:r>
            <w:r w:rsidR="00DA03D2" w:rsidRPr="00DA03D2">
              <w:t xml:space="preserve">recommended for coverage for patients </w:t>
            </w:r>
            <w:r w:rsidR="00DA03D2" w:rsidRPr="00DA03D2">
              <w:rPr>
                <w:rStyle w:val="normaltextrun"/>
              </w:rPr>
              <w:t>with non–cystic fibrosis bronchiectasis (</w:t>
            </w:r>
            <w:r w:rsidR="00DA03D2" w:rsidRPr="00DA03D2">
              <w:rPr>
                <w:rStyle w:val="normaltextrun"/>
                <w:i/>
              </w:rPr>
              <w:t>weak recommendation</w:t>
            </w:r>
            <w:r w:rsidR="00DA03D2" w:rsidRPr="00DA03D2">
              <w:rPr>
                <w:rStyle w:val="normaltextrun"/>
              </w:rPr>
              <w:t>) when the 3 criteria below are met:</w:t>
            </w:r>
            <w:r w:rsidR="00DA03D2" w:rsidRPr="00DA03D2">
              <w:rPr>
                <w:rStyle w:val="eop"/>
              </w:rPr>
              <w:t> </w:t>
            </w:r>
          </w:p>
          <w:p w14:paraId="0E529886" w14:textId="539AC28D" w:rsidR="00DA03D2" w:rsidRPr="00DA03D2" w:rsidRDefault="00DA03D2" w:rsidP="00B505AE">
            <w:pPr>
              <w:pStyle w:val="paragraph"/>
              <w:numPr>
                <w:ilvl w:val="0"/>
                <w:numId w:val="43"/>
              </w:numPr>
              <w:spacing w:before="0" w:beforeAutospacing="0" w:after="0" w:afterAutospacing="0"/>
              <w:textAlignment w:val="baseline"/>
              <w:rPr>
                <w:rStyle w:val="eop"/>
              </w:rPr>
            </w:pPr>
            <w:r w:rsidRPr="00DA03D2">
              <w:rPr>
                <w:rStyle w:val="normaltextrun"/>
              </w:rPr>
              <w:t xml:space="preserve">The bronchiectasis is confirmed by computed tomography (CT) scan, </w:t>
            </w:r>
            <w:r w:rsidRPr="00DA03D2">
              <w:rPr>
                <w:rStyle w:val="normaltextrun"/>
                <w:i/>
              </w:rPr>
              <w:t>AND</w:t>
            </w:r>
            <w:r w:rsidRPr="00DA03D2">
              <w:rPr>
                <w:rStyle w:val="eop"/>
              </w:rPr>
              <w:t> </w:t>
            </w:r>
          </w:p>
          <w:p w14:paraId="11B20029" w14:textId="77777777" w:rsidR="00DA03D2" w:rsidRPr="00DA03D2" w:rsidRDefault="00DA03D2" w:rsidP="00B505AE">
            <w:pPr>
              <w:pStyle w:val="paragraph"/>
              <w:numPr>
                <w:ilvl w:val="0"/>
                <w:numId w:val="43"/>
              </w:numPr>
              <w:spacing w:before="0" w:beforeAutospacing="0" w:after="0" w:afterAutospacing="0"/>
              <w:textAlignment w:val="baseline"/>
              <w:rPr>
                <w:rStyle w:val="eop"/>
              </w:rPr>
            </w:pPr>
            <w:r w:rsidRPr="00DA03D2">
              <w:rPr>
                <w:rStyle w:val="normaltextrun"/>
              </w:rPr>
              <w:t>The patient has experienced either:</w:t>
            </w:r>
            <w:r w:rsidRPr="00DA03D2">
              <w:rPr>
                <w:rStyle w:val="eop"/>
              </w:rPr>
              <w:t> </w:t>
            </w:r>
          </w:p>
          <w:p w14:paraId="74BCDBB4" w14:textId="52E4C407" w:rsidR="00DA03D2" w:rsidRPr="00DA03D2" w:rsidRDefault="00DA03D2" w:rsidP="001B0B80">
            <w:pPr>
              <w:pStyle w:val="paragraph"/>
              <w:numPr>
                <w:ilvl w:val="1"/>
                <w:numId w:val="43"/>
              </w:numPr>
              <w:spacing w:before="0" w:beforeAutospacing="0" w:after="0" w:afterAutospacing="0"/>
              <w:textAlignment w:val="baseline"/>
              <w:rPr>
                <w:rStyle w:val="eop"/>
              </w:rPr>
            </w:pPr>
            <w:r w:rsidRPr="00DA03D2">
              <w:rPr>
                <w:rStyle w:val="eop"/>
              </w:rPr>
              <w:t xml:space="preserve">Daily </w:t>
            </w:r>
            <w:r w:rsidRPr="00DA03D2">
              <w:rPr>
                <w:rStyle w:val="normaltextrun"/>
              </w:rPr>
              <w:t xml:space="preserve">productive cough for at least 6 continuous months, </w:t>
            </w:r>
            <w:r w:rsidRPr="00DA03D2">
              <w:rPr>
                <w:rStyle w:val="normaltextrun"/>
                <w:i/>
              </w:rPr>
              <w:t>OR</w:t>
            </w:r>
            <w:r w:rsidRPr="00DA03D2">
              <w:rPr>
                <w:rStyle w:val="normaltextrun"/>
              </w:rPr>
              <w:t> </w:t>
            </w:r>
            <w:r w:rsidRPr="00DA03D2">
              <w:rPr>
                <w:rStyle w:val="eop"/>
              </w:rPr>
              <w:t> </w:t>
            </w:r>
          </w:p>
          <w:p w14:paraId="0C45706F" w14:textId="77777777" w:rsidR="00DA03D2" w:rsidRPr="00DA03D2" w:rsidRDefault="00DA03D2" w:rsidP="00B505AE">
            <w:pPr>
              <w:pStyle w:val="paragraph"/>
              <w:numPr>
                <w:ilvl w:val="1"/>
                <w:numId w:val="43"/>
              </w:numPr>
              <w:spacing w:before="0" w:beforeAutospacing="0" w:after="0" w:afterAutospacing="0"/>
              <w:textAlignment w:val="baseline"/>
              <w:rPr>
                <w:rStyle w:val="eop"/>
              </w:rPr>
            </w:pPr>
            <w:r w:rsidRPr="00DA03D2">
              <w:rPr>
                <w:rStyle w:val="eop"/>
              </w:rPr>
              <w:t xml:space="preserve">Frequent </w:t>
            </w:r>
            <w:r w:rsidRPr="00DA03D2">
              <w:rPr>
                <w:rStyle w:val="normaltextrun"/>
              </w:rPr>
              <w:t xml:space="preserve">(&gt; 2 times a year) exacerbations requiring antibiotic therapy, </w:t>
            </w:r>
            <w:r w:rsidRPr="00DA03D2">
              <w:rPr>
                <w:rStyle w:val="normaltextrun"/>
                <w:i/>
              </w:rPr>
              <w:t>AND</w:t>
            </w:r>
            <w:r w:rsidRPr="00DA03D2">
              <w:rPr>
                <w:rStyle w:val="eop"/>
              </w:rPr>
              <w:t> </w:t>
            </w:r>
          </w:p>
          <w:p w14:paraId="1B6EAA1C" w14:textId="40DF48FD" w:rsidR="00494065" w:rsidRPr="00DA03D2" w:rsidRDefault="00DA03D2" w:rsidP="00B505AE">
            <w:pPr>
              <w:pStyle w:val="paragraph"/>
              <w:numPr>
                <w:ilvl w:val="0"/>
                <w:numId w:val="43"/>
              </w:numPr>
              <w:spacing w:before="0" w:beforeAutospacing="0" w:after="0" w:afterAutospacing="0"/>
              <w:textAlignment w:val="baseline"/>
              <w:rPr>
                <w:color w:val="2E74B5" w:themeColor="accent1" w:themeShade="BF"/>
                <w:u w:val="single"/>
              </w:rPr>
            </w:pPr>
            <w:r w:rsidRPr="00DA03D2">
              <w:rPr>
                <w:rStyle w:val="normaltextrun"/>
              </w:rPr>
              <w:t>The patient has received mucolytics and less costly airway clearance treatments (</w:t>
            </w:r>
            <w:r w:rsidR="00B1588F">
              <w:rPr>
                <w:rStyle w:val="normaltextrun"/>
              </w:rPr>
              <w:t>for example</w:t>
            </w:r>
            <w:r w:rsidRPr="00DA03D2">
              <w:rPr>
                <w:rStyle w:val="normaltextrun"/>
              </w:rPr>
              <w:t>, chest physiotherapy, positive expiratory pressure therapy, self-management techniques) OR such therapies are not tolerated, contraindicated, not effective, or not available (</w:t>
            </w:r>
            <w:r w:rsidR="00B1588F">
              <w:rPr>
                <w:rStyle w:val="normaltextrun"/>
              </w:rPr>
              <w:t>for example</w:t>
            </w:r>
            <w:r w:rsidRPr="00DA03D2">
              <w:rPr>
                <w:rStyle w:val="normaltextrun"/>
              </w:rPr>
              <w:t>, inability of a caregiver to perform chest physiotherapy).</w:t>
            </w:r>
            <w:r w:rsidRPr="00DA03D2">
              <w:rPr>
                <w:rStyle w:val="eop"/>
              </w:rPr>
              <w:t> </w:t>
            </w:r>
          </w:p>
        </w:tc>
      </w:tr>
    </w:tbl>
    <w:p w14:paraId="07E8633F" w14:textId="4573A6CD" w:rsidR="00494065" w:rsidRDefault="00FC3B64" w:rsidP="0029564F">
      <w:pPr>
        <w:spacing w:before="40" w:after="240" w:line="240" w:lineRule="auto"/>
      </w:pPr>
      <w:r w:rsidRPr="007E2C5F">
        <w:rPr>
          <w:sz w:val="20"/>
        </w:rPr>
        <w:t>Note</w:t>
      </w:r>
      <w:r>
        <w:rPr>
          <w:sz w:val="20"/>
        </w:rPr>
        <w:t>.</w:t>
      </w:r>
      <w:r w:rsidRPr="007E2C5F">
        <w:rPr>
          <w:sz w:val="20"/>
        </w:rPr>
        <w:t xml:space="preserve"> GRADE table elements are described in Appendix A. A GRADE Evidence Profile is in Appendix B.</w:t>
      </w:r>
      <w:r w:rsidRPr="007E2C5F">
        <w:rPr>
          <w:sz w:val="20"/>
        </w:rPr>
        <w:br/>
        <w:t xml:space="preserve">Abbreviations. </w:t>
      </w:r>
      <w:r w:rsidRPr="00CB30F9">
        <w:rPr>
          <w:sz w:val="20"/>
          <w:szCs w:val="20"/>
        </w:rPr>
        <w:t xml:space="preserve">CI: confidence interval; GRADE: Grading of Recommendations, Assessment, Development, and Evaluation methodology; </w:t>
      </w:r>
      <w:r w:rsidR="00C72743" w:rsidRPr="00CB30F9">
        <w:rPr>
          <w:sz w:val="20"/>
          <w:szCs w:val="20"/>
        </w:rPr>
        <w:t xml:space="preserve">RCT: randomized controlled trial; </w:t>
      </w:r>
      <w:r w:rsidR="009149EB" w:rsidRPr="00CB30F9">
        <w:rPr>
          <w:sz w:val="20"/>
          <w:szCs w:val="20"/>
        </w:rPr>
        <w:t>SD: standard deviation</w:t>
      </w:r>
      <w:r w:rsidR="00C72743" w:rsidRPr="00CB30F9">
        <w:rPr>
          <w:sz w:val="20"/>
          <w:szCs w:val="20"/>
        </w:rPr>
        <w:t>.</w:t>
      </w:r>
      <w:r w:rsidR="00494065">
        <w:rPr>
          <w:b/>
        </w:rPr>
        <w:br w:type="page"/>
      </w:r>
    </w:p>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4770"/>
        <w:gridCol w:w="2340"/>
        <w:gridCol w:w="2070"/>
        <w:gridCol w:w="2052"/>
      </w:tblGrid>
      <w:tr w:rsidR="00494065" w:rsidRPr="007A1008" w14:paraId="5CD16A10" w14:textId="77777777" w:rsidTr="0029564F">
        <w:trPr>
          <w:trHeight w:val="547"/>
          <w:tblHeader/>
        </w:trPr>
        <w:tc>
          <w:tcPr>
            <w:tcW w:w="13140" w:type="dxa"/>
            <w:gridSpan w:val="5"/>
            <w:tcBorders>
              <w:top w:val="nil"/>
              <w:left w:val="nil"/>
              <w:right w:val="nil"/>
            </w:tcBorders>
            <w:shd w:val="clear" w:color="auto" w:fill="auto"/>
            <w:vAlign w:val="center"/>
          </w:tcPr>
          <w:p w14:paraId="79340C86" w14:textId="0F0C3A47" w:rsidR="00494065" w:rsidRPr="003D7F2A" w:rsidRDefault="00494065" w:rsidP="002D5EAA">
            <w:pPr>
              <w:pStyle w:val="Heading2"/>
            </w:pPr>
            <w:bookmarkStart w:id="18" w:name="_Toc72335264"/>
            <w:bookmarkStart w:id="19" w:name="_Toc87358434"/>
            <w:r w:rsidRPr="00535FC0">
              <w:lastRenderedPageBreak/>
              <w:t xml:space="preserve">Should </w:t>
            </w:r>
            <w:r>
              <w:t>high</w:t>
            </w:r>
            <w:r w:rsidR="00354EEC">
              <w:t>-</w:t>
            </w:r>
            <w:r>
              <w:t>frequency chest wall oscillation devices</w:t>
            </w:r>
            <w:r w:rsidRPr="00535FC0">
              <w:t xml:space="preserve"> be</w:t>
            </w:r>
            <w:r>
              <w:t xml:space="preserve"> recommended for coverage for children and adults with </w:t>
            </w:r>
            <w:r w:rsidRPr="00230D48">
              <w:t xml:space="preserve">chronic obstructive pulmonary </w:t>
            </w:r>
            <w:r>
              <w:t>disease</w:t>
            </w:r>
            <w:r w:rsidRPr="00535FC0">
              <w:t>?</w:t>
            </w:r>
            <w:bookmarkEnd w:id="18"/>
            <w:bookmarkEnd w:id="19"/>
          </w:p>
        </w:tc>
      </w:tr>
      <w:tr w:rsidR="00494065" w:rsidRPr="007A1008" w14:paraId="0D61B619" w14:textId="77777777" w:rsidTr="0029564F">
        <w:trPr>
          <w:trHeight w:val="547"/>
          <w:tblHeader/>
        </w:trPr>
        <w:tc>
          <w:tcPr>
            <w:tcW w:w="1908" w:type="dxa"/>
            <w:shd w:val="clear" w:color="auto" w:fill="C6D9F1"/>
            <w:vAlign w:val="center"/>
          </w:tcPr>
          <w:p w14:paraId="68DECB8A"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Outcomes</w:t>
            </w:r>
          </w:p>
        </w:tc>
        <w:tc>
          <w:tcPr>
            <w:tcW w:w="4770" w:type="dxa"/>
            <w:shd w:val="clear" w:color="auto" w:fill="C6D9F1"/>
            <w:vAlign w:val="center"/>
          </w:tcPr>
          <w:p w14:paraId="46336445"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Estimate of Effect for Outcome/</w:t>
            </w:r>
          </w:p>
          <w:p w14:paraId="3C9A7D90" w14:textId="77777777" w:rsidR="00494065" w:rsidRPr="007A1008" w:rsidRDefault="00494065" w:rsidP="002D5EAA">
            <w:pPr>
              <w:spacing w:after="0" w:line="240" w:lineRule="auto"/>
              <w:rPr>
                <w:rFonts w:ascii="Calibri" w:eastAsia="Calibri" w:hAnsi="Calibri" w:cs="Arial"/>
                <w:b/>
                <w:i/>
              </w:rPr>
            </w:pPr>
            <w:r w:rsidRPr="007A1008">
              <w:rPr>
                <w:rFonts w:ascii="Calibri" w:eastAsia="Calibri" w:hAnsi="Calibri" w:cs="Arial"/>
                <w:b/>
                <w:i/>
              </w:rPr>
              <w:t>Confidence in Estimate</w:t>
            </w:r>
          </w:p>
        </w:tc>
        <w:tc>
          <w:tcPr>
            <w:tcW w:w="2340" w:type="dxa"/>
            <w:shd w:val="clear" w:color="auto" w:fill="C6D9F1"/>
            <w:vAlign w:val="center"/>
          </w:tcPr>
          <w:p w14:paraId="0DCFD6A1"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Resource Allocation</w:t>
            </w:r>
          </w:p>
        </w:tc>
        <w:tc>
          <w:tcPr>
            <w:tcW w:w="2070" w:type="dxa"/>
            <w:shd w:val="clear" w:color="auto" w:fill="C6D9F1"/>
            <w:vAlign w:val="center"/>
          </w:tcPr>
          <w:p w14:paraId="7969A5BE"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Values and Preferences</w:t>
            </w:r>
          </w:p>
        </w:tc>
        <w:tc>
          <w:tcPr>
            <w:tcW w:w="2052" w:type="dxa"/>
            <w:shd w:val="clear" w:color="auto" w:fill="C6D9F1"/>
            <w:vAlign w:val="center"/>
          </w:tcPr>
          <w:p w14:paraId="65086042"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Other Considerations</w:t>
            </w:r>
          </w:p>
        </w:tc>
      </w:tr>
      <w:tr w:rsidR="00875C93" w:rsidRPr="007A1008" w14:paraId="1A62A4F6" w14:textId="77777777" w:rsidTr="0029564F">
        <w:trPr>
          <w:trHeight w:val="576"/>
        </w:trPr>
        <w:tc>
          <w:tcPr>
            <w:tcW w:w="1908" w:type="dxa"/>
            <w:shd w:val="clear" w:color="auto" w:fill="auto"/>
          </w:tcPr>
          <w:p w14:paraId="789382B1" w14:textId="77777777" w:rsidR="00875C93" w:rsidRPr="007A1008" w:rsidRDefault="00875C93" w:rsidP="00875C93">
            <w:pPr>
              <w:spacing w:after="0" w:line="240" w:lineRule="auto"/>
              <w:rPr>
                <w:rFonts w:ascii="Calibri" w:eastAsia="Calibri" w:hAnsi="Calibri" w:cs="Arial"/>
                <w:i/>
              </w:rPr>
            </w:pPr>
            <w:r>
              <w:rPr>
                <w:rFonts w:ascii="Calibri" w:eastAsia="Calibri" w:hAnsi="Calibri" w:cs="Arial"/>
                <w:b/>
              </w:rPr>
              <w:t>Hospitalizations</w:t>
            </w:r>
            <w:r w:rsidRPr="007A1008">
              <w:rPr>
                <w:rFonts w:ascii="Calibri" w:eastAsia="Calibri" w:hAnsi="Calibri" w:cs="Arial"/>
              </w:rPr>
              <w:t xml:space="preserve"> </w:t>
            </w:r>
            <w:r w:rsidRPr="007A1008">
              <w:rPr>
                <w:rFonts w:ascii="Calibri" w:eastAsia="Calibri" w:hAnsi="Calibri" w:cs="Arial"/>
                <w:i/>
              </w:rPr>
              <w:t>(Critical outcome)</w:t>
            </w:r>
          </w:p>
        </w:tc>
        <w:tc>
          <w:tcPr>
            <w:tcW w:w="4770" w:type="dxa"/>
            <w:shd w:val="clear" w:color="auto" w:fill="auto"/>
          </w:tcPr>
          <w:p w14:paraId="4E09C78C" w14:textId="77777777" w:rsidR="00875C93" w:rsidRPr="007A1008" w:rsidRDefault="00875C93" w:rsidP="00875C93">
            <w:pPr>
              <w:spacing w:after="0" w:line="240" w:lineRule="auto"/>
              <w:rPr>
                <w:rFonts w:ascii="Calibri" w:eastAsia="Calibri" w:hAnsi="Calibri" w:cs="Arial"/>
                <w:i/>
              </w:rPr>
            </w:pPr>
            <w:r>
              <w:rPr>
                <w:rFonts w:ascii="Calibri" w:eastAsia="Calibri" w:hAnsi="Calibri" w:cs="Arial"/>
              </w:rPr>
              <w:t>No evidence</w:t>
            </w:r>
          </w:p>
        </w:tc>
        <w:tc>
          <w:tcPr>
            <w:tcW w:w="2340" w:type="dxa"/>
            <w:vMerge w:val="restart"/>
            <w:shd w:val="clear" w:color="auto" w:fill="auto"/>
          </w:tcPr>
          <w:p w14:paraId="71B8B0C0" w14:textId="1EBB1530" w:rsidR="00875C93" w:rsidRPr="00BC492B" w:rsidRDefault="00875C93" w:rsidP="0029564F">
            <w:pPr>
              <w:spacing w:after="0" w:line="240" w:lineRule="auto"/>
              <w:rPr>
                <w:rFonts w:ascii="Calibri" w:eastAsia="Calibri" w:hAnsi="Calibri" w:cs="Arial"/>
                <w:iCs/>
              </w:rPr>
            </w:pPr>
            <w:r w:rsidRPr="0029564F">
              <w:rPr>
                <w:rFonts w:ascii="Calibri" w:eastAsia="Calibri" w:hAnsi="Calibri" w:cs="Arial"/>
              </w:rPr>
              <w:t>Coverage of high</w:t>
            </w:r>
            <w:r w:rsidR="00354EEC" w:rsidRPr="0029564F">
              <w:rPr>
                <w:rFonts w:ascii="Calibri" w:eastAsia="Calibri" w:hAnsi="Calibri" w:cs="Arial"/>
              </w:rPr>
              <w:t>-</w:t>
            </w:r>
            <w:r w:rsidRPr="0029564F">
              <w:rPr>
                <w:rFonts w:ascii="Calibri" w:eastAsia="Calibri" w:hAnsi="Calibri" w:cs="Arial"/>
              </w:rPr>
              <w:t xml:space="preserve">frequency chest wall oscillation would add significant cost compared to chest physiotherapy or positive expiratory pressure devices. However, in situations in which chest physiotherapy is not consistently available or tolerated and positive expiratory pressure devices are not effective or tolerated, the additional cost of the </w:t>
            </w:r>
            <w:r w:rsidR="00670D46" w:rsidRPr="007E2C5F">
              <w:rPr>
                <w:rFonts w:ascii="Calibri" w:eastAsia="Calibri" w:hAnsi="Calibri" w:cs="Arial"/>
              </w:rPr>
              <w:t>high-frequency chest wall oscillation</w:t>
            </w:r>
            <w:r w:rsidRPr="0029564F">
              <w:rPr>
                <w:rFonts w:ascii="Calibri" w:eastAsia="Calibri" w:hAnsi="Calibri" w:cs="Arial"/>
              </w:rPr>
              <w:t xml:space="preserve"> device would be offset to the extent that it reduces hospitalizations and exacerbations.</w:t>
            </w:r>
          </w:p>
        </w:tc>
        <w:tc>
          <w:tcPr>
            <w:tcW w:w="2070" w:type="dxa"/>
            <w:vMerge w:val="restart"/>
            <w:shd w:val="clear" w:color="auto" w:fill="auto"/>
          </w:tcPr>
          <w:p w14:paraId="0C4272CA" w14:textId="6A116841" w:rsidR="00875C93" w:rsidRPr="0093221D" w:rsidRDefault="00875C93" w:rsidP="0029564F">
            <w:pPr>
              <w:spacing w:after="0" w:line="240" w:lineRule="auto"/>
              <w:rPr>
                <w:rFonts w:ascii="Calibri" w:eastAsia="Calibri" w:hAnsi="Calibri" w:cs="Arial"/>
              </w:rPr>
            </w:pPr>
            <w:r w:rsidRPr="0093221D">
              <w:rPr>
                <w:rFonts w:ascii="Calibri" w:eastAsia="Calibri" w:hAnsi="Calibri" w:cs="Arial"/>
              </w:rPr>
              <w:t>Patients may prefer treatment options that can be self-administered, confer greater independence, and ensure reliable and consistent treatment.</w:t>
            </w:r>
          </w:p>
        </w:tc>
        <w:tc>
          <w:tcPr>
            <w:tcW w:w="2052" w:type="dxa"/>
            <w:vMerge w:val="restart"/>
            <w:shd w:val="clear" w:color="auto" w:fill="auto"/>
          </w:tcPr>
          <w:p w14:paraId="3962B265" w14:textId="1D7FFC08" w:rsidR="00535374" w:rsidRPr="0093221D" w:rsidRDefault="00742760" w:rsidP="0029564F">
            <w:pPr>
              <w:spacing w:after="0" w:line="240" w:lineRule="auto"/>
              <w:rPr>
                <w:rFonts w:ascii="Calibri" w:eastAsia="Calibri" w:hAnsi="Calibri" w:cs="Arial"/>
              </w:rPr>
            </w:pPr>
            <w:r w:rsidRPr="0093221D">
              <w:rPr>
                <w:rFonts w:ascii="Calibri" w:eastAsia="Calibri" w:hAnsi="Calibri" w:cs="Arial"/>
              </w:rPr>
              <w:t>Appointed e</w:t>
            </w:r>
            <w:r w:rsidR="00D24E56" w:rsidRPr="0093221D">
              <w:rPr>
                <w:rFonts w:ascii="Calibri" w:eastAsia="Calibri" w:hAnsi="Calibri" w:cs="Arial"/>
              </w:rPr>
              <w:t xml:space="preserve">xpert did not recommend </w:t>
            </w:r>
            <w:r w:rsidR="00BA21E0" w:rsidRPr="0093221D">
              <w:rPr>
                <w:rFonts w:ascii="Calibri" w:eastAsia="Calibri" w:hAnsi="Calibri" w:cs="Arial"/>
              </w:rPr>
              <w:t>high-frequency chest wall oscillation devices</w:t>
            </w:r>
            <w:r w:rsidR="00D24E56" w:rsidRPr="0093221D">
              <w:rPr>
                <w:rFonts w:ascii="Calibri" w:eastAsia="Calibri" w:hAnsi="Calibri" w:cs="Arial"/>
              </w:rPr>
              <w:t xml:space="preserve"> </w:t>
            </w:r>
            <w:r w:rsidR="005F1C15" w:rsidRPr="0093221D">
              <w:rPr>
                <w:rFonts w:ascii="Calibri" w:eastAsia="Calibri" w:hAnsi="Calibri" w:cs="Arial"/>
              </w:rPr>
              <w:t xml:space="preserve">for </w:t>
            </w:r>
            <w:r w:rsidR="00D24E56" w:rsidRPr="0093221D">
              <w:rPr>
                <w:rFonts w:ascii="Calibri" w:eastAsia="Calibri" w:hAnsi="Calibri" w:cs="Arial"/>
              </w:rPr>
              <w:t>this population.</w:t>
            </w:r>
          </w:p>
        </w:tc>
      </w:tr>
      <w:tr w:rsidR="00875C93" w:rsidRPr="007A1008" w14:paraId="32B80849" w14:textId="77777777" w:rsidTr="0029564F">
        <w:trPr>
          <w:trHeight w:val="576"/>
        </w:trPr>
        <w:tc>
          <w:tcPr>
            <w:tcW w:w="1908" w:type="dxa"/>
            <w:shd w:val="clear" w:color="auto" w:fill="auto"/>
          </w:tcPr>
          <w:p w14:paraId="555F23CB" w14:textId="77777777" w:rsidR="00875C93" w:rsidRPr="007A1008" w:rsidRDefault="00875C93" w:rsidP="00875C93">
            <w:pPr>
              <w:spacing w:after="0" w:line="240" w:lineRule="auto"/>
              <w:rPr>
                <w:rFonts w:ascii="Calibri" w:eastAsia="Calibri" w:hAnsi="Calibri" w:cs="Arial"/>
                <w:i/>
              </w:rPr>
            </w:pPr>
            <w:r>
              <w:rPr>
                <w:rFonts w:ascii="Calibri" w:eastAsia="Calibri" w:hAnsi="Calibri" w:cs="Arial"/>
                <w:b/>
              </w:rPr>
              <w:t>Mortality</w:t>
            </w:r>
            <w:r w:rsidRPr="007A1008">
              <w:rPr>
                <w:rFonts w:ascii="Calibri" w:eastAsia="Calibri" w:hAnsi="Calibri" w:cs="Arial"/>
              </w:rPr>
              <w:t xml:space="preserve"> </w:t>
            </w:r>
            <w:r w:rsidRPr="007A1008">
              <w:rPr>
                <w:rFonts w:ascii="Calibri" w:eastAsia="Calibri" w:hAnsi="Calibri" w:cs="Arial"/>
                <w:i/>
              </w:rPr>
              <w:t>(Critical outcome)</w:t>
            </w:r>
          </w:p>
        </w:tc>
        <w:tc>
          <w:tcPr>
            <w:tcW w:w="4770" w:type="dxa"/>
            <w:shd w:val="clear" w:color="auto" w:fill="auto"/>
          </w:tcPr>
          <w:p w14:paraId="3DED05F4" w14:textId="77777777" w:rsidR="00875C93" w:rsidRPr="007A1008" w:rsidRDefault="00875C93" w:rsidP="00875C93">
            <w:pPr>
              <w:spacing w:after="0" w:line="240" w:lineRule="auto"/>
              <w:rPr>
                <w:rFonts w:ascii="Calibri" w:eastAsia="Calibri" w:hAnsi="Calibri" w:cs="Arial"/>
                <w:i/>
              </w:rPr>
            </w:pPr>
            <w:r>
              <w:rPr>
                <w:rFonts w:ascii="Calibri" w:eastAsia="Calibri" w:hAnsi="Calibri" w:cs="Arial"/>
              </w:rPr>
              <w:t>No evidence</w:t>
            </w:r>
          </w:p>
        </w:tc>
        <w:tc>
          <w:tcPr>
            <w:tcW w:w="2340" w:type="dxa"/>
            <w:vMerge/>
            <w:shd w:val="clear" w:color="auto" w:fill="auto"/>
          </w:tcPr>
          <w:p w14:paraId="490A2800" w14:textId="77777777" w:rsidR="00875C93" w:rsidRPr="007A1008" w:rsidRDefault="00875C93" w:rsidP="00875C93">
            <w:pPr>
              <w:spacing w:after="0" w:line="240" w:lineRule="auto"/>
              <w:rPr>
                <w:rFonts w:ascii="Calibri" w:eastAsia="Calibri" w:hAnsi="Calibri" w:cs="Arial"/>
              </w:rPr>
            </w:pPr>
          </w:p>
        </w:tc>
        <w:tc>
          <w:tcPr>
            <w:tcW w:w="2070" w:type="dxa"/>
            <w:vMerge/>
            <w:shd w:val="clear" w:color="auto" w:fill="auto"/>
          </w:tcPr>
          <w:p w14:paraId="25AD50FB" w14:textId="77777777" w:rsidR="00875C93" w:rsidRPr="007A1008" w:rsidRDefault="00875C93" w:rsidP="00875C93">
            <w:pPr>
              <w:spacing w:after="0" w:line="240" w:lineRule="auto"/>
              <w:rPr>
                <w:rFonts w:ascii="Calibri" w:eastAsia="Calibri" w:hAnsi="Calibri" w:cs="Arial"/>
              </w:rPr>
            </w:pPr>
          </w:p>
        </w:tc>
        <w:tc>
          <w:tcPr>
            <w:tcW w:w="2052" w:type="dxa"/>
            <w:vMerge/>
            <w:shd w:val="clear" w:color="auto" w:fill="auto"/>
          </w:tcPr>
          <w:p w14:paraId="050883E1" w14:textId="77777777" w:rsidR="00875C93" w:rsidRPr="007A1008" w:rsidRDefault="00875C93" w:rsidP="00875C93">
            <w:pPr>
              <w:spacing w:after="0" w:line="240" w:lineRule="auto"/>
              <w:rPr>
                <w:rFonts w:ascii="Calibri" w:eastAsia="Calibri" w:hAnsi="Calibri" w:cs="Arial"/>
              </w:rPr>
            </w:pPr>
          </w:p>
        </w:tc>
      </w:tr>
      <w:tr w:rsidR="00875C93" w:rsidRPr="007A1008" w14:paraId="0DBBBC22" w14:textId="77777777" w:rsidTr="0029564F">
        <w:trPr>
          <w:trHeight w:val="1728"/>
        </w:trPr>
        <w:tc>
          <w:tcPr>
            <w:tcW w:w="1908" w:type="dxa"/>
            <w:shd w:val="clear" w:color="auto" w:fill="auto"/>
          </w:tcPr>
          <w:p w14:paraId="59229F2D" w14:textId="77777777" w:rsidR="00875C93" w:rsidRPr="007A1008" w:rsidRDefault="00875C93" w:rsidP="00875C93">
            <w:pPr>
              <w:spacing w:after="0" w:line="240" w:lineRule="auto"/>
              <w:rPr>
                <w:rFonts w:ascii="Calibri" w:eastAsia="Calibri" w:hAnsi="Calibri" w:cs="Arial"/>
                <w:i/>
              </w:rPr>
            </w:pPr>
            <w:r>
              <w:rPr>
                <w:rFonts w:ascii="Calibri" w:eastAsia="Calibri" w:hAnsi="Calibri" w:cs="Arial"/>
                <w:b/>
              </w:rPr>
              <w:t>Pulmonary Exacerbations Requiring A</w:t>
            </w:r>
            <w:r w:rsidRPr="0082212A">
              <w:rPr>
                <w:rFonts w:ascii="Calibri" w:eastAsia="Calibri" w:hAnsi="Calibri" w:cs="Arial"/>
                <w:b/>
              </w:rPr>
              <w:t>ntibiotics</w:t>
            </w:r>
            <w:r w:rsidRPr="007A1008">
              <w:rPr>
                <w:rFonts w:ascii="Calibri" w:eastAsia="Calibri" w:hAnsi="Calibri" w:cs="Arial"/>
              </w:rPr>
              <w:t xml:space="preserve"> </w:t>
            </w:r>
            <w:r w:rsidRPr="007A1008">
              <w:rPr>
                <w:rFonts w:ascii="Calibri" w:eastAsia="Calibri" w:hAnsi="Calibri" w:cs="Arial"/>
                <w:i/>
              </w:rPr>
              <w:t>(Important outcome)</w:t>
            </w:r>
          </w:p>
        </w:tc>
        <w:tc>
          <w:tcPr>
            <w:tcW w:w="4770" w:type="dxa"/>
            <w:shd w:val="clear" w:color="auto" w:fill="auto"/>
          </w:tcPr>
          <w:p w14:paraId="20416634" w14:textId="77777777" w:rsidR="00875C93" w:rsidRPr="007A1008" w:rsidRDefault="00875C93" w:rsidP="00875C93">
            <w:pPr>
              <w:spacing w:after="0" w:line="240" w:lineRule="auto"/>
              <w:rPr>
                <w:rFonts w:ascii="Calibri" w:eastAsia="Calibri" w:hAnsi="Calibri" w:cs="Arial"/>
              </w:rPr>
            </w:pPr>
            <w:r>
              <w:rPr>
                <w:rFonts w:ascii="Calibri" w:eastAsia="Calibri" w:hAnsi="Calibri" w:cs="Arial"/>
              </w:rPr>
              <w:t>No evidence</w:t>
            </w:r>
          </w:p>
        </w:tc>
        <w:tc>
          <w:tcPr>
            <w:tcW w:w="2340" w:type="dxa"/>
            <w:vMerge/>
            <w:shd w:val="clear" w:color="auto" w:fill="auto"/>
          </w:tcPr>
          <w:p w14:paraId="07FA9F1A" w14:textId="77777777" w:rsidR="00875C93" w:rsidRPr="007A1008" w:rsidRDefault="00875C93" w:rsidP="00875C93">
            <w:pPr>
              <w:spacing w:after="0" w:line="240" w:lineRule="auto"/>
              <w:rPr>
                <w:rFonts w:ascii="Calibri" w:eastAsia="Calibri" w:hAnsi="Calibri" w:cs="Arial"/>
              </w:rPr>
            </w:pPr>
          </w:p>
        </w:tc>
        <w:tc>
          <w:tcPr>
            <w:tcW w:w="2070" w:type="dxa"/>
            <w:vMerge/>
            <w:shd w:val="clear" w:color="auto" w:fill="auto"/>
          </w:tcPr>
          <w:p w14:paraId="34B6637D" w14:textId="77777777" w:rsidR="00875C93" w:rsidRPr="007A1008" w:rsidRDefault="00875C93" w:rsidP="00875C93">
            <w:pPr>
              <w:spacing w:after="0" w:line="240" w:lineRule="auto"/>
              <w:rPr>
                <w:rFonts w:ascii="Calibri" w:eastAsia="Calibri" w:hAnsi="Calibri" w:cs="Arial"/>
              </w:rPr>
            </w:pPr>
          </w:p>
        </w:tc>
        <w:tc>
          <w:tcPr>
            <w:tcW w:w="2052" w:type="dxa"/>
            <w:vMerge/>
            <w:shd w:val="clear" w:color="auto" w:fill="auto"/>
          </w:tcPr>
          <w:p w14:paraId="54139158" w14:textId="77777777" w:rsidR="00875C93" w:rsidRPr="007A1008" w:rsidRDefault="00875C93" w:rsidP="00875C93">
            <w:pPr>
              <w:spacing w:after="0" w:line="240" w:lineRule="auto"/>
              <w:rPr>
                <w:rFonts w:ascii="Calibri" w:eastAsia="Calibri" w:hAnsi="Calibri" w:cs="Arial"/>
              </w:rPr>
            </w:pPr>
          </w:p>
        </w:tc>
      </w:tr>
      <w:tr w:rsidR="00875C93" w:rsidRPr="007A1008" w14:paraId="479902ED" w14:textId="77777777" w:rsidTr="0029564F">
        <w:trPr>
          <w:trHeight w:val="864"/>
        </w:trPr>
        <w:tc>
          <w:tcPr>
            <w:tcW w:w="1908" w:type="dxa"/>
            <w:shd w:val="clear" w:color="auto" w:fill="auto"/>
          </w:tcPr>
          <w:p w14:paraId="762D0BB0" w14:textId="77777777" w:rsidR="00875C93" w:rsidRPr="007A1008" w:rsidRDefault="00875C93" w:rsidP="00875C93">
            <w:pPr>
              <w:spacing w:after="0" w:line="240" w:lineRule="auto"/>
              <w:rPr>
                <w:rFonts w:ascii="Calibri" w:eastAsia="Calibri" w:hAnsi="Calibri" w:cs="Arial"/>
              </w:rPr>
            </w:pPr>
            <w:r>
              <w:rPr>
                <w:rFonts w:ascii="Calibri" w:eastAsia="Calibri" w:hAnsi="Calibri" w:cs="Arial"/>
                <w:b/>
              </w:rPr>
              <w:t xml:space="preserve">Exercise Capacity </w:t>
            </w:r>
            <w:r w:rsidRPr="007A1008">
              <w:rPr>
                <w:rFonts w:ascii="Calibri" w:eastAsia="Calibri" w:hAnsi="Calibri" w:cs="Arial"/>
                <w:i/>
              </w:rPr>
              <w:t>(Important outcome)</w:t>
            </w:r>
          </w:p>
        </w:tc>
        <w:tc>
          <w:tcPr>
            <w:tcW w:w="4770" w:type="dxa"/>
            <w:shd w:val="clear" w:color="auto" w:fill="auto"/>
          </w:tcPr>
          <w:p w14:paraId="392646A4" w14:textId="77777777" w:rsidR="00875C93" w:rsidRPr="007A1008" w:rsidRDefault="00875C93" w:rsidP="00875C93">
            <w:pPr>
              <w:spacing w:after="0" w:line="240" w:lineRule="auto"/>
              <w:rPr>
                <w:rFonts w:ascii="Calibri" w:eastAsia="Calibri" w:hAnsi="Calibri" w:cs="Arial"/>
              </w:rPr>
            </w:pPr>
            <w:r>
              <w:rPr>
                <w:rFonts w:ascii="Calibri" w:eastAsia="Calibri" w:hAnsi="Calibri" w:cs="Arial"/>
              </w:rPr>
              <w:t>No evidence</w:t>
            </w:r>
          </w:p>
          <w:p w14:paraId="0C70C40B" w14:textId="77777777" w:rsidR="00875C93" w:rsidRPr="007A1008" w:rsidRDefault="00875C93" w:rsidP="00875C93">
            <w:pPr>
              <w:spacing w:after="0" w:line="240" w:lineRule="auto"/>
              <w:rPr>
                <w:rFonts w:ascii="Calibri" w:eastAsia="Calibri" w:hAnsi="Calibri" w:cs="Arial"/>
              </w:rPr>
            </w:pPr>
          </w:p>
        </w:tc>
        <w:tc>
          <w:tcPr>
            <w:tcW w:w="2340" w:type="dxa"/>
            <w:vMerge/>
            <w:shd w:val="clear" w:color="auto" w:fill="auto"/>
          </w:tcPr>
          <w:p w14:paraId="5D1D91E4" w14:textId="77777777" w:rsidR="00875C93" w:rsidRPr="007A1008" w:rsidRDefault="00875C93" w:rsidP="00875C93">
            <w:pPr>
              <w:spacing w:after="0" w:line="240" w:lineRule="auto"/>
              <w:rPr>
                <w:rFonts w:ascii="Calibri" w:eastAsia="Calibri" w:hAnsi="Calibri" w:cs="Arial"/>
              </w:rPr>
            </w:pPr>
          </w:p>
        </w:tc>
        <w:tc>
          <w:tcPr>
            <w:tcW w:w="2070" w:type="dxa"/>
            <w:vMerge/>
            <w:shd w:val="clear" w:color="auto" w:fill="auto"/>
          </w:tcPr>
          <w:p w14:paraId="5272C4FF" w14:textId="77777777" w:rsidR="00875C93" w:rsidRPr="007A1008" w:rsidRDefault="00875C93" w:rsidP="00875C93">
            <w:pPr>
              <w:spacing w:after="0" w:line="240" w:lineRule="auto"/>
              <w:rPr>
                <w:rFonts w:ascii="Calibri" w:eastAsia="Calibri" w:hAnsi="Calibri" w:cs="Arial"/>
              </w:rPr>
            </w:pPr>
          </w:p>
        </w:tc>
        <w:tc>
          <w:tcPr>
            <w:tcW w:w="2052" w:type="dxa"/>
            <w:vMerge/>
            <w:shd w:val="clear" w:color="auto" w:fill="auto"/>
          </w:tcPr>
          <w:p w14:paraId="17FC5D6E" w14:textId="77777777" w:rsidR="00875C93" w:rsidRPr="007A1008" w:rsidRDefault="00875C93" w:rsidP="00875C93">
            <w:pPr>
              <w:spacing w:after="0" w:line="240" w:lineRule="auto"/>
              <w:rPr>
                <w:rFonts w:ascii="Calibri" w:eastAsia="Calibri" w:hAnsi="Calibri" w:cs="Arial"/>
              </w:rPr>
            </w:pPr>
          </w:p>
        </w:tc>
      </w:tr>
      <w:tr w:rsidR="00875C93" w:rsidRPr="007A1008" w14:paraId="33E1680D" w14:textId="77777777" w:rsidTr="0029564F">
        <w:trPr>
          <w:trHeight w:val="806"/>
        </w:trPr>
        <w:tc>
          <w:tcPr>
            <w:tcW w:w="1908" w:type="dxa"/>
            <w:shd w:val="clear" w:color="auto" w:fill="auto"/>
          </w:tcPr>
          <w:p w14:paraId="54122041" w14:textId="77777777" w:rsidR="00875C93" w:rsidRPr="00A360AA" w:rsidRDefault="00875C93" w:rsidP="00875C93">
            <w:pPr>
              <w:spacing w:after="0" w:line="240" w:lineRule="auto"/>
              <w:rPr>
                <w:rFonts w:ascii="Calibri" w:eastAsia="Calibri" w:hAnsi="Calibri" w:cs="Arial"/>
                <w:b/>
              </w:rPr>
            </w:pPr>
            <w:r>
              <w:rPr>
                <w:rFonts w:ascii="Calibri" w:eastAsia="Calibri" w:hAnsi="Calibri" w:cs="Arial"/>
                <w:b/>
              </w:rPr>
              <w:t xml:space="preserve">Breathlessness or Cough </w:t>
            </w:r>
            <w:r w:rsidRPr="007A1008">
              <w:rPr>
                <w:rFonts w:ascii="Calibri" w:eastAsia="Calibri" w:hAnsi="Calibri" w:cs="Arial"/>
                <w:i/>
              </w:rPr>
              <w:t>(Important outcome)</w:t>
            </w:r>
          </w:p>
        </w:tc>
        <w:tc>
          <w:tcPr>
            <w:tcW w:w="4770" w:type="dxa"/>
            <w:shd w:val="clear" w:color="auto" w:fill="auto"/>
          </w:tcPr>
          <w:p w14:paraId="6788660E" w14:textId="77777777" w:rsidR="0012311A" w:rsidRDefault="00875C93" w:rsidP="00875C93">
            <w:pPr>
              <w:spacing w:after="0" w:line="240" w:lineRule="auto"/>
              <w:rPr>
                <w:rFonts w:ascii="Calibri" w:hAnsi="Calibri"/>
              </w:rPr>
            </w:pPr>
            <w:r w:rsidRPr="00CE0AE9">
              <w:rPr>
                <w:rFonts w:ascii="Calibri" w:hAnsi="Calibri"/>
                <w:u w:val="single"/>
              </w:rPr>
              <w:t xml:space="preserve">Compared to standard </w:t>
            </w:r>
            <w:r>
              <w:rPr>
                <w:rFonts w:ascii="Calibri" w:hAnsi="Calibri"/>
                <w:u w:val="single"/>
              </w:rPr>
              <w:t>pharmacological therapy</w:t>
            </w:r>
            <w:r>
              <w:rPr>
                <w:rFonts w:ascii="Calibri" w:hAnsi="Calibri"/>
              </w:rPr>
              <w:t xml:space="preserve"> </w:t>
            </w:r>
            <w:r w:rsidRPr="00CE0AE9">
              <w:rPr>
                <w:rFonts w:ascii="Calibri" w:hAnsi="Calibri"/>
                <w:u w:val="single"/>
              </w:rPr>
              <w:t>without oscillatory devices</w:t>
            </w:r>
            <w:r>
              <w:rPr>
                <w:rFonts w:ascii="Calibri" w:hAnsi="Calibri"/>
              </w:rPr>
              <w:t xml:space="preserve">: </w:t>
            </w:r>
          </w:p>
          <w:p w14:paraId="566C3581" w14:textId="753403F3" w:rsidR="00875C93" w:rsidRDefault="0012311A" w:rsidP="00875C93">
            <w:pPr>
              <w:spacing w:after="0" w:line="240" w:lineRule="auto"/>
              <w:rPr>
                <w:rFonts w:ascii="Calibri" w:hAnsi="Calibri"/>
              </w:rPr>
            </w:pPr>
            <w:r>
              <w:rPr>
                <w:rFonts w:ascii="Calibri" w:hAnsi="Calibri"/>
              </w:rPr>
              <w:t>S</w:t>
            </w:r>
            <w:r w:rsidR="00875C93">
              <w:rPr>
                <w:rFonts w:ascii="Calibri" w:hAnsi="Calibri"/>
              </w:rPr>
              <w:t xml:space="preserve">ignificantly greater improvement on the 12-point </w:t>
            </w:r>
            <w:r w:rsidR="00875C93" w:rsidRPr="00CA51D5">
              <w:t>Breathlessness Cough Sputum Score</w:t>
            </w:r>
            <w:r w:rsidR="00875C93">
              <w:t xml:space="preserve"> scale over 4 weeks:</w:t>
            </w:r>
          </w:p>
          <w:p w14:paraId="104D722E" w14:textId="06C890E1" w:rsidR="00875C93" w:rsidRDefault="00875C93" w:rsidP="00875C93">
            <w:pPr>
              <w:pStyle w:val="ListParagraph"/>
              <w:numPr>
                <w:ilvl w:val="0"/>
                <w:numId w:val="17"/>
              </w:numPr>
              <w:spacing w:after="0" w:line="240" w:lineRule="auto"/>
              <w:rPr>
                <w:rFonts w:ascii="Calibri" w:hAnsi="Calibri"/>
              </w:rPr>
            </w:pPr>
            <w:r>
              <w:t>T</w:t>
            </w:r>
            <w:r w:rsidRPr="00843D3A">
              <w:t>he Vest Airway Clearance System Model 205</w:t>
            </w:r>
            <w:r>
              <w:t xml:space="preserve"> group</w:t>
            </w:r>
            <w:r w:rsidRPr="00843D3A">
              <w:t xml:space="preserve"> </w:t>
            </w:r>
            <w:r>
              <w:t xml:space="preserve">(baseline mean, 6.6; </w:t>
            </w:r>
            <w:r w:rsidR="009149EB">
              <w:t>SD</w:t>
            </w:r>
            <w:r>
              <w:t xml:space="preserve">, 2.8; post-treatment mean, 5.2; </w:t>
            </w:r>
            <w:r w:rsidR="009149EB">
              <w:t>SD</w:t>
            </w:r>
            <w:r>
              <w:t>, 2.2)</w:t>
            </w:r>
          </w:p>
          <w:p w14:paraId="0621F9CC" w14:textId="663CC1F7" w:rsidR="00875C93" w:rsidRPr="00843D3A" w:rsidRDefault="00875C93" w:rsidP="00875C93">
            <w:pPr>
              <w:pStyle w:val="ListParagraph"/>
              <w:numPr>
                <w:ilvl w:val="0"/>
                <w:numId w:val="17"/>
              </w:numPr>
              <w:spacing w:after="0" w:line="240" w:lineRule="auto"/>
              <w:rPr>
                <w:rFonts w:ascii="Calibri" w:hAnsi="Calibri"/>
              </w:rPr>
            </w:pPr>
            <w:r>
              <w:rPr>
                <w:rFonts w:ascii="Calibri" w:hAnsi="Calibri"/>
              </w:rPr>
              <w:t>Standard pharmacological therapy</w:t>
            </w:r>
            <w:r w:rsidRPr="00843D3A">
              <w:rPr>
                <w:rFonts w:ascii="Calibri" w:hAnsi="Calibri"/>
              </w:rPr>
              <w:t xml:space="preserve"> group </w:t>
            </w:r>
            <w:r>
              <w:t xml:space="preserve">(baseline mean, 4.6; </w:t>
            </w:r>
            <w:r w:rsidR="009149EB">
              <w:t>SD</w:t>
            </w:r>
            <w:r>
              <w:t xml:space="preserve">, 1.7; post-treatment mean, 5.5; </w:t>
            </w:r>
            <w:r w:rsidR="009149EB">
              <w:t>SD</w:t>
            </w:r>
            <w:r>
              <w:t>, 2.1)</w:t>
            </w:r>
          </w:p>
          <w:p w14:paraId="6078CB98" w14:textId="50990200" w:rsidR="00875C93" w:rsidRPr="00843D3A" w:rsidRDefault="00875C93" w:rsidP="00875C93">
            <w:pPr>
              <w:pStyle w:val="ListParagraph"/>
              <w:numPr>
                <w:ilvl w:val="0"/>
                <w:numId w:val="17"/>
              </w:numPr>
              <w:spacing w:after="0" w:line="240" w:lineRule="auto"/>
              <w:rPr>
                <w:rFonts w:ascii="Calibri" w:hAnsi="Calibri"/>
              </w:rPr>
            </w:pPr>
            <w:r>
              <w:rPr>
                <w:rFonts w:ascii="Calibri" w:hAnsi="Calibri"/>
              </w:rPr>
              <w:t>Between-group difference,</w:t>
            </w:r>
            <w:r>
              <w:t xml:space="preserve"> </w:t>
            </w:r>
            <w:r w:rsidR="00DA4DCD">
              <w:rPr>
                <w:i/>
              </w:rPr>
              <w:t>P</w:t>
            </w:r>
            <w:r>
              <w:t xml:space="preserve"> = .007</w:t>
            </w:r>
          </w:p>
          <w:p w14:paraId="152760CF" w14:textId="127F7E3B" w:rsidR="00875C93" w:rsidRDefault="00875C93" w:rsidP="0029564F">
            <w:pPr>
              <w:spacing w:line="240" w:lineRule="auto"/>
              <w:rPr>
                <w:rFonts w:ascii="Calibri" w:eastAsia="Calibri" w:hAnsi="Calibri" w:cs="Arial"/>
                <w:i/>
              </w:rPr>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very low confidence, based on 1 RCT, n</w:t>
            </w:r>
            <w:r w:rsidR="00DA4DCD">
              <w:rPr>
                <w:rFonts w:ascii="Calibri" w:eastAsia="Calibri" w:hAnsi="Calibri" w:cs="Arial"/>
                <w:i/>
              </w:rPr>
              <w:t> </w:t>
            </w:r>
            <w:r w:rsidRPr="007A1008">
              <w:rPr>
                <w:rFonts w:ascii="Calibri" w:eastAsia="Calibri" w:hAnsi="Calibri" w:cs="Arial"/>
                <w:i/>
              </w:rPr>
              <w:t>=</w:t>
            </w:r>
            <w:r w:rsidR="00DA4DCD">
              <w:rPr>
                <w:rFonts w:ascii="Calibri" w:eastAsia="Calibri" w:hAnsi="Calibri" w:cs="Arial"/>
                <w:i/>
              </w:rPr>
              <w:t> </w:t>
            </w:r>
            <w:r>
              <w:rPr>
                <w:rFonts w:ascii="Calibri" w:eastAsia="Calibri" w:hAnsi="Calibri" w:cs="Arial"/>
                <w:i/>
              </w:rPr>
              <w:t>40</w:t>
            </w:r>
            <w:r w:rsidRPr="007A1008">
              <w:rPr>
                <w:rFonts w:ascii="Calibri" w:eastAsia="Calibri" w:hAnsi="Calibri" w:cs="Arial"/>
                <w:i/>
              </w:rPr>
              <w:t>)</w:t>
            </w:r>
          </w:p>
          <w:p w14:paraId="470675AB" w14:textId="77777777" w:rsidR="00601695" w:rsidRDefault="00875C93" w:rsidP="00875C93">
            <w:pPr>
              <w:spacing w:after="0" w:line="240" w:lineRule="auto"/>
              <w:rPr>
                <w:rFonts w:ascii="Calibri" w:eastAsia="Calibri" w:hAnsi="Calibri" w:cs="Arial"/>
              </w:rPr>
            </w:pPr>
            <w:r w:rsidRPr="007771D0">
              <w:rPr>
                <w:rFonts w:ascii="Calibri" w:eastAsia="Calibri" w:hAnsi="Calibri" w:cs="Arial"/>
                <w:u w:val="single"/>
              </w:rPr>
              <w:lastRenderedPageBreak/>
              <w:t>Compared to intrapulmonary percussive ventilation</w:t>
            </w:r>
            <w:r>
              <w:rPr>
                <w:rFonts w:ascii="Calibri" w:eastAsia="Calibri" w:hAnsi="Calibri" w:cs="Arial"/>
              </w:rPr>
              <w:t xml:space="preserve">: </w:t>
            </w:r>
          </w:p>
          <w:p w14:paraId="489B2E8F" w14:textId="155A5F4B" w:rsidR="00875C93" w:rsidRDefault="001D4CFB" w:rsidP="00875C93">
            <w:pPr>
              <w:spacing w:after="0" w:line="240" w:lineRule="auto"/>
              <w:rPr>
                <w:rFonts w:ascii="Calibri" w:hAnsi="Calibri"/>
              </w:rPr>
            </w:pPr>
            <w:r>
              <w:rPr>
                <w:rFonts w:ascii="Calibri" w:hAnsi="Calibri" w:cs="Arial"/>
              </w:rPr>
              <w:t>S</w:t>
            </w:r>
            <w:r w:rsidR="00875C93">
              <w:rPr>
                <w:rFonts w:ascii="Calibri" w:hAnsi="Calibri"/>
              </w:rPr>
              <w:t xml:space="preserve">ignificantly less improvement on the 12-point </w:t>
            </w:r>
            <w:r w:rsidR="00875C93" w:rsidRPr="00CA51D5">
              <w:t>Breathlessness Cough Sputum Score</w:t>
            </w:r>
            <w:r w:rsidR="00875C93">
              <w:t xml:space="preserve"> scale over 4 weeks:</w:t>
            </w:r>
          </w:p>
          <w:p w14:paraId="0455F5ED" w14:textId="1583182E" w:rsidR="00875C93" w:rsidRDefault="00875C93" w:rsidP="00875C93">
            <w:pPr>
              <w:pStyle w:val="ListParagraph"/>
              <w:numPr>
                <w:ilvl w:val="0"/>
                <w:numId w:val="19"/>
              </w:numPr>
              <w:spacing w:after="0" w:line="240" w:lineRule="auto"/>
            </w:pPr>
            <w:r>
              <w:t>T</w:t>
            </w:r>
            <w:r w:rsidRPr="00843D3A">
              <w:t>he Vest Airway Clearance System Model 205</w:t>
            </w:r>
            <w:r>
              <w:t xml:space="preserve"> group</w:t>
            </w:r>
            <w:r w:rsidRPr="00843D3A">
              <w:t xml:space="preserve"> </w:t>
            </w:r>
            <w:r>
              <w:t xml:space="preserve">(baseline mean, 6.6; </w:t>
            </w:r>
            <w:r w:rsidR="009149EB">
              <w:t>SD</w:t>
            </w:r>
            <w:r>
              <w:t xml:space="preserve">, 2.8; post-treatment mean, 5.2; </w:t>
            </w:r>
            <w:r w:rsidR="009149EB">
              <w:t>SD</w:t>
            </w:r>
            <w:r>
              <w:t>, 2.2)</w:t>
            </w:r>
          </w:p>
          <w:p w14:paraId="70C82DA2" w14:textId="0B961B38" w:rsidR="00875C93" w:rsidRDefault="00875C93" w:rsidP="00875C93">
            <w:pPr>
              <w:pStyle w:val="ListParagraph"/>
              <w:numPr>
                <w:ilvl w:val="0"/>
                <w:numId w:val="19"/>
              </w:numPr>
              <w:spacing w:after="0" w:line="240" w:lineRule="auto"/>
            </w:pPr>
            <w:r>
              <w:t xml:space="preserve">Intrapulmonary percussive ventilation group (baseline mean, 6.3; </w:t>
            </w:r>
            <w:r w:rsidR="009149EB">
              <w:t>SD</w:t>
            </w:r>
            <w:r>
              <w:t xml:space="preserve">, 1.4; post-treatment mean, 3.1; </w:t>
            </w:r>
            <w:r w:rsidR="009149EB">
              <w:t>SD</w:t>
            </w:r>
            <w:r>
              <w:t>, 1.7)</w:t>
            </w:r>
          </w:p>
          <w:p w14:paraId="4A8B83F5" w14:textId="2692FBB1" w:rsidR="00875C93" w:rsidRDefault="00875C93" w:rsidP="00875C93">
            <w:pPr>
              <w:pStyle w:val="ListParagraph"/>
              <w:numPr>
                <w:ilvl w:val="0"/>
                <w:numId w:val="19"/>
              </w:numPr>
              <w:spacing w:after="0" w:line="240" w:lineRule="auto"/>
            </w:pPr>
            <w:r>
              <w:t xml:space="preserve">Between-group difference, </w:t>
            </w:r>
            <w:r w:rsidR="00DA4DCD">
              <w:rPr>
                <w:i/>
              </w:rPr>
              <w:t>P</w:t>
            </w:r>
            <w:r>
              <w:t xml:space="preserve"> &lt; .01</w:t>
            </w:r>
          </w:p>
          <w:p w14:paraId="65521B41" w14:textId="5D2345A0" w:rsidR="00875C93" w:rsidRPr="007771D0" w:rsidRDefault="00875C93" w:rsidP="00875C93">
            <w:pPr>
              <w:spacing w:after="0" w:line="240" w:lineRule="auto"/>
              <w:rPr>
                <w:rFonts w:ascii="Calibri" w:eastAsia="Calibri" w:hAnsi="Calibri" w:cs="Arial"/>
                <w:i/>
              </w:rPr>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very low confidence, based on 1 RCT, n</w:t>
            </w:r>
            <w:r w:rsidR="00DA4DCD">
              <w:rPr>
                <w:rFonts w:ascii="Calibri" w:eastAsia="Calibri" w:hAnsi="Calibri" w:cs="Arial"/>
                <w:i/>
              </w:rPr>
              <w:t> </w:t>
            </w:r>
            <w:r w:rsidRPr="007A1008">
              <w:rPr>
                <w:rFonts w:ascii="Calibri" w:eastAsia="Calibri" w:hAnsi="Calibri" w:cs="Arial"/>
                <w:i/>
              </w:rPr>
              <w:t>=</w:t>
            </w:r>
            <w:r w:rsidR="00DA4DCD">
              <w:rPr>
                <w:rFonts w:ascii="Calibri" w:eastAsia="Calibri" w:hAnsi="Calibri" w:cs="Arial"/>
                <w:i/>
              </w:rPr>
              <w:t> </w:t>
            </w:r>
            <w:r>
              <w:rPr>
                <w:rFonts w:ascii="Calibri" w:eastAsia="Calibri" w:hAnsi="Calibri" w:cs="Arial"/>
                <w:i/>
              </w:rPr>
              <w:t>40</w:t>
            </w:r>
            <w:r w:rsidRPr="007A1008">
              <w:rPr>
                <w:rFonts w:ascii="Calibri" w:eastAsia="Calibri" w:hAnsi="Calibri" w:cs="Arial"/>
                <w:i/>
              </w:rPr>
              <w:t>)</w:t>
            </w:r>
          </w:p>
        </w:tc>
        <w:tc>
          <w:tcPr>
            <w:tcW w:w="2340" w:type="dxa"/>
            <w:vMerge/>
            <w:shd w:val="clear" w:color="auto" w:fill="auto"/>
          </w:tcPr>
          <w:p w14:paraId="19EC70DF" w14:textId="77777777" w:rsidR="00875C93" w:rsidRPr="007A1008" w:rsidRDefault="00875C93" w:rsidP="00875C93">
            <w:pPr>
              <w:spacing w:after="0" w:line="240" w:lineRule="auto"/>
              <w:rPr>
                <w:rFonts w:ascii="Calibri" w:eastAsia="Calibri" w:hAnsi="Calibri" w:cs="Arial"/>
              </w:rPr>
            </w:pPr>
          </w:p>
        </w:tc>
        <w:tc>
          <w:tcPr>
            <w:tcW w:w="2070" w:type="dxa"/>
            <w:vMerge/>
            <w:shd w:val="clear" w:color="auto" w:fill="auto"/>
          </w:tcPr>
          <w:p w14:paraId="1EB2CFD7" w14:textId="77777777" w:rsidR="00875C93" w:rsidRPr="007A1008" w:rsidRDefault="00875C93" w:rsidP="00875C93">
            <w:pPr>
              <w:spacing w:after="0" w:line="240" w:lineRule="auto"/>
              <w:rPr>
                <w:rFonts w:ascii="Calibri" w:eastAsia="Calibri" w:hAnsi="Calibri" w:cs="Arial"/>
              </w:rPr>
            </w:pPr>
          </w:p>
        </w:tc>
        <w:tc>
          <w:tcPr>
            <w:tcW w:w="2052" w:type="dxa"/>
            <w:vMerge/>
            <w:shd w:val="clear" w:color="auto" w:fill="auto"/>
          </w:tcPr>
          <w:p w14:paraId="4CDC20C1" w14:textId="77777777" w:rsidR="00875C93" w:rsidRPr="007A1008" w:rsidRDefault="00875C93" w:rsidP="00875C93">
            <w:pPr>
              <w:spacing w:after="0" w:line="240" w:lineRule="auto"/>
              <w:rPr>
                <w:rFonts w:ascii="Calibri" w:eastAsia="Calibri" w:hAnsi="Calibri" w:cs="Arial"/>
              </w:rPr>
            </w:pPr>
          </w:p>
        </w:tc>
      </w:tr>
      <w:tr w:rsidR="00875C93" w:rsidRPr="007A1008" w14:paraId="5ED25264" w14:textId="77777777" w:rsidTr="0029564F">
        <w:trPr>
          <w:trHeight w:val="85"/>
        </w:trPr>
        <w:tc>
          <w:tcPr>
            <w:tcW w:w="13140" w:type="dxa"/>
            <w:gridSpan w:val="5"/>
            <w:tcBorders>
              <w:left w:val="nil"/>
              <w:right w:val="nil"/>
            </w:tcBorders>
            <w:shd w:val="clear" w:color="auto" w:fill="auto"/>
          </w:tcPr>
          <w:p w14:paraId="69618FB0" w14:textId="77777777" w:rsidR="00875C93" w:rsidRPr="00106CA3" w:rsidRDefault="00875C93" w:rsidP="00875C93">
            <w:pPr>
              <w:spacing w:after="0" w:line="240" w:lineRule="auto"/>
              <w:rPr>
                <w:rFonts w:ascii="Calibri" w:eastAsia="Calibri" w:hAnsi="Calibri" w:cs="Arial"/>
                <w:b/>
                <w:sz w:val="16"/>
                <w:szCs w:val="16"/>
              </w:rPr>
            </w:pPr>
          </w:p>
        </w:tc>
      </w:tr>
      <w:tr w:rsidR="00875C93" w:rsidRPr="007A1008" w14:paraId="7D75453B" w14:textId="77777777" w:rsidTr="0029564F">
        <w:trPr>
          <w:trHeight w:val="638"/>
        </w:trPr>
        <w:tc>
          <w:tcPr>
            <w:tcW w:w="13140" w:type="dxa"/>
            <w:gridSpan w:val="5"/>
            <w:shd w:val="clear" w:color="auto" w:fill="E7EFF9"/>
          </w:tcPr>
          <w:p w14:paraId="45AF9F0B" w14:textId="1568BC95" w:rsidR="00875C93" w:rsidRPr="006A0199" w:rsidRDefault="00875C93" w:rsidP="00875C93">
            <w:pPr>
              <w:spacing w:after="0" w:line="240" w:lineRule="auto"/>
              <w:rPr>
                <w:rFonts w:ascii="Calibri" w:eastAsia="Calibri" w:hAnsi="Calibri" w:cs="Arial"/>
                <w:b/>
              </w:rPr>
            </w:pPr>
            <w:r w:rsidRPr="007A1008">
              <w:rPr>
                <w:rFonts w:ascii="Calibri" w:eastAsia="Calibri" w:hAnsi="Calibri" w:cs="Arial"/>
                <w:b/>
              </w:rPr>
              <w:t xml:space="preserve">Balance of benefits and harms: </w:t>
            </w:r>
            <w:r>
              <w:rPr>
                <w:rFonts w:ascii="Calibri" w:eastAsia="Calibri" w:hAnsi="Calibri" w:cs="Arial"/>
              </w:rPr>
              <w:t xml:space="preserve">There is </w:t>
            </w:r>
            <w:r w:rsidR="003C3E01">
              <w:rPr>
                <w:rFonts w:ascii="Calibri" w:eastAsia="Calibri" w:hAnsi="Calibri" w:cs="Arial"/>
              </w:rPr>
              <w:t>insufficient</w:t>
            </w:r>
            <w:r>
              <w:rPr>
                <w:rFonts w:ascii="Calibri" w:eastAsia="Calibri" w:hAnsi="Calibri" w:cs="Arial"/>
              </w:rPr>
              <w:t xml:space="preserve"> evidence that hi</w:t>
            </w:r>
            <w:r w:rsidR="00354EEC">
              <w:rPr>
                <w:rFonts w:ascii="Calibri" w:eastAsia="Calibri" w:hAnsi="Calibri" w:cs="Arial"/>
              </w:rPr>
              <w:t>gh-frequency</w:t>
            </w:r>
            <w:r>
              <w:rPr>
                <w:rFonts w:ascii="Calibri" w:eastAsia="Calibri" w:hAnsi="Calibri" w:cs="Arial"/>
              </w:rPr>
              <w:t xml:space="preserve"> chest wall oscillation devices improve key outcomes for patients with chronic obstructive pulmonary disease</w:t>
            </w:r>
            <w:r w:rsidR="003C3E01">
              <w:rPr>
                <w:rFonts w:ascii="Calibri" w:eastAsia="Calibri" w:hAnsi="Calibri" w:cs="Arial"/>
              </w:rPr>
              <w:t xml:space="preserve"> compared to </w:t>
            </w:r>
            <w:r w:rsidR="003C3E01" w:rsidRPr="0093221D">
              <w:rPr>
                <w:rFonts w:ascii="Calibri" w:eastAsia="Calibri" w:hAnsi="Calibri" w:cs="Arial"/>
              </w:rPr>
              <w:t>alternatives</w:t>
            </w:r>
            <w:r w:rsidRPr="0093221D">
              <w:rPr>
                <w:rFonts w:ascii="Calibri" w:eastAsia="Calibri" w:hAnsi="Calibri" w:cs="Arial"/>
              </w:rPr>
              <w:t xml:space="preserve">. </w:t>
            </w:r>
            <w:r w:rsidR="00D24E56" w:rsidRPr="0093221D">
              <w:rPr>
                <w:rFonts w:ascii="Calibri" w:eastAsia="Calibri" w:hAnsi="Calibri" w:cs="Arial"/>
              </w:rPr>
              <w:t>Expert</w:t>
            </w:r>
            <w:r w:rsidR="00D17F63" w:rsidRPr="0093221D">
              <w:rPr>
                <w:rFonts w:ascii="Calibri" w:eastAsia="Calibri" w:hAnsi="Calibri" w:cs="Arial"/>
              </w:rPr>
              <w:t xml:space="preserve"> opinion</w:t>
            </w:r>
            <w:r w:rsidR="00D24E56" w:rsidRPr="0093221D">
              <w:rPr>
                <w:rFonts w:ascii="Calibri" w:eastAsia="Calibri" w:hAnsi="Calibri" w:cs="Arial"/>
              </w:rPr>
              <w:t xml:space="preserve"> d</w:t>
            </w:r>
            <w:r w:rsidR="00D17F63" w:rsidRPr="0093221D">
              <w:rPr>
                <w:rFonts w:ascii="Calibri" w:eastAsia="Calibri" w:hAnsi="Calibri" w:cs="Arial"/>
              </w:rPr>
              <w:t>oes</w:t>
            </w:r>
            <w:r w:rsidR="00D24E56" w:rsidRPr="0093221D">
              <w:rPr>
                <w:rFonts w:ascii="Calibri" w:eastAsia="Calibri" w:hAnsi="Calibri" w:cs="Arial"/>
              </w:rPr>
              <w:t xml:space="preserve"> not recommend use in this population. </w:t>
            </w:r>
            <w:r w:rsidRPr="0093221D">
              <w:rPr>
                <w:rFonts w:ascii="Calibri" w:eastAsia="Calibri" w:hAnsi="Calibri" w:cs="Arial"/>
              </w:rPr>
              <w:t xml:space="preserve">There are few </w:t>
            </w:r>
            <w:r w:rsidR="00536952">
              <w:rPr>
                <w:rFonts w:ascii="Calibri" w:eastAsia="Calibri" w:hAnsi="Calibri" w:cs="Arial"/>
              </w:rPr>
              <w:t>device-related</w:t>
            </w:r>
            <w:r w:rsidR="00536952" w:rsidRPr="0093221D">
              <w:rPr>
                <w:rFonts w:ascii="Calibri" w:eastAsia="Calibri" w:hAnsi="Calibri" w:cs="Arial"/>
              </w:rPr>
              <w:t xml:space="preserve"> </w:t>
            </w:r>
            <w:r w:rsidRPr="0093221D">
              <w:rPr>
                <w:rFonts w:ascii="Calibri" w:eastAsia="Calibri" w:hAnsi="Calibri" w:cs="Arial"/>
              </w:rPr>
              <w:t>harms to hi</w:t>
            </w:r>
            <w:r w:rsidR="00354EEC" w:rsidRPr="0093221D">
              <w:rPr>
                <w:rFonts w:ascii="Calibri" w:eastAsia="Calibri" w:hAnsi="Calibri" w:cs="Arial"/>
              </w:rPr>
              <w:t>gh-frequency</w:t>
            </w:r>
            <w:r w:rsidRPr="0093221D">
              <w:rPr>
                <w:rFonts w:ascii="Calibri" w:eastAsia="Calibri" w:hAnsi="Calibri" w:cs="Arial"/>
              </w:rPr>
              <w:t xml:space="preserve"> chest wall oscillation devices.</w:t>
            </w:r>
          </w:p>
        </w:tc>
      </w:tr>
      <w:tr w:rsidR="00875C93" w:rsidRPr="007A1008" w14:paraId="3DB5418C" w14:textId="77777777" w:rsidTr="0029564F">
        <w:trPr>
          <w:trHeight w:val="449"/>
        </w:trPr>
        <w:tc>
          <w:tcPr>
            <w:tcW w:w="13140" w:type="dxa"/>
            <w:gridSpan w:val="5"/>
            <w:shd w:val="clear" w:color="auto" w:fill="E7EFF9"/>
          </w:tcPr>
          <w:p w14:paraId="16EDD947" w14:textId="1CA910A6" w:rsidR="00875C93" w:rsidRPr="007A1008" w:rsidRDefault="00875C93" w:rsidP="00875C93">
            <w:pPr>
              <w:spacing w:after="0" w:line="240" w:lineRule="auto"/>
              <w:rPr>
                <w:rFonts w:ascii="Calibri" w:eastAsia="Calibri" w:hAnsi="Calibri" w:cs="Arial"/>
                <w:b/>
              </w:rPr>
            </w:pPr>
            <w:r w:rsidRPr="007A1008">
              <w:rPr>
                <w:rFonts w:ascii="Calibri" w:eastAsia="Calibri" w:hAnsi="Calibri" w:cs="Arial"/>
                <w:b/>
              </w:rPr>
              <w:t>Rationale</w:t>
            </w:r>
            <w:r>
              <w:rPr>
                <w:rFonts w:ascii="Calibri" w:eastAsia="Calibri" w:hAnsi="Calibri" w:cs="Arial"/>
                <w:b/>
              </w:rPr>
              <w:t xml:space="preserve">: </w:t>
            </w:r>
            <w:r>
              <w:rPr>
                <w:rFonts w:ascii="Calibri" w:eastAsia="Calibri" w:hAnsi="Calibri" w:cs="Arial"/>
              </w:rPr>
              <w:t>There is insufficient comparative evidence of benefit for this indication.</w:t>
            </w:r>
            <w:r w:rsidR="003C3E01">
              <w:rPr>
                <w:rFonts w:ascii="Calibri" w:eastAsia="Calibri" w:hAnsi="Calibri" w:cs="Arial"/>
              </w:rPr>
              <w:t xml:space="preserve"> It is a weak recommendation because of our very low confidence in the evidence.</w:t>
            </w:r>
          </w:p>
        </w:tc>
      </w:tr>
      <w:tr w:rsidR="00875C93" w:rsidRPr="007A1008" w14:paraId="415BB900" w14:textId="77777777" w:rsidTr="0029564F">
        <w:trPr>
          <w:trHeight w:val="350"/>
        </w:trPr>
        <w:tc>
          <w:tcPr>
            <w:tcW w:w="13140" w:type="dxa"/>
            <w:gridSpan w:val="5"/>
            <w:shd w:val="clear" w:color="auto" w:fill="E7EFF9"/>
          </w:tcPr>
          <w:p w14:paraId="6DA08002" w14:textId="554EF225" w:rsidR="00875C93" w:rsidRPr="007A1008" w:rsidRDefault="00875C93" w:rsidP="00875C93">
            <w:pPr>
              <w:spacing w:after="0" w:line="240" w:lineRule="auto"/>
              <w:rPr>
                <w:rFonts w:ascii="Calibri" w:eastAsia="Calibri" w:hAnsi="Calibri" w:cs="Arial"/>
              </w:rPr>
            </w:pPr>
            <w:r w:rsidRPr="007A1008">
              <w:rPr>
                <w:rFonts w:ascii="Calibri" w:eastAsia="Calibri" w:hAnsi="Calibri" w:cs="Arial"/>
                <w:b/>
              </w:rPr>
              <w:t>Recommendation:</w:t>
            </w:r>
            <w:r>
              <w:rPr>
                <w:rFonts w:ascii="Calibri" w:eastAsia="Calibri" w:hAnsi="Calibri" w:cs="Arial"/>
              </w:rPr>
              <w:t xml:space="preserve"> Hi</w:t>
            </w:r>
            <w:r w:rsidR="00354EEC">
              <w:rPr>
                <w:rFonts w:ascii="Calibri" w:eastAsia="Calibri" w:hAnsi="Calibri" w:cs="Arial"/>
              </w:rPr>
              <w:t>gh-frequency</w:t>
            </w:r>
            <w:r>
              <w:rPr>
                <w:rFonts w:ascii="Calibri" w:eastAsia="Calibri" w:hAnsi="Calibri" w:cs="Arial"/>
              </w:rPr>
              <w:t xml:space="preserve"> chest wall oscillation devices are not recommended for coverage for children and adults with chronic obstructive pulmonary disease </w:t>
            </w:r>
            <w:r w:rsidRPr="00164D9A">
              <w:rPr>
                <w:rFonts w:ascii="Calibri" w:eastAsia="Calibri" w:hAnsi="Calibri" w:cs="Arial"/>
                <w:i/>
                <w:iCs/>
              </w:rPr>
              <w:t>(weak recommendation).</w:t>
            </w:r>
          </w:p>
        </w:tc>
      </w:tr>
    </w:tbl>
    <w:p w14:paraId="639F02B2" w14:textId="4B6F8D22" w:rsidR="00494065" w:rsidRDefault="00670D46" w:rsidP="0029564F">
      <w:pPr>
        <w:spacing w:before="40" w:after="240" w:line="240" w:lineRule="auto"/>
      </w:pPr>
      <w:r w:rsidRPr="007E2C5F">
        <w:rPr>
          <w:sz w:val="20"/>
        </w:rPr>
        <w:t>Note</w:t>
      </w:r>
      <w:r>
        <w:rPr>
          <w:sz w:val="20"/>
        </w:rPr>
        <w:t>.</w:t>
      </w:r>
      <w:r w:rsidRPr="007E2C5F">
        <w:rPr>
          <w:sz w:val="20"/>
        </w:rPr>
        <w:t xml:space="preserve"> GRADE table elements are described in Appendix A. A GRADE Evidence Profile is in Appendix B.</w:t>
      </w:r>
      <w:r w:rsidRPr="007E2C5F">
        <w:rPr>
          <w:sz w:val="20"/>
        </w:rPr>
        <w:br/>
        <w:t>Abbreviations. GRADE: Grading of Recommendations, Assessment, Development, and Evaluation methodology</w:t>
      </w:r>
      <w:r w:rsidRPr="00CB30F9">
        <w:rPr>
          <w:sz w:val="20"/>
          <w:szCs w:val="20"/>
        </w:rPr>
        <w:t>; RCT: randomized controlled trial; SD: standard deviation.</w:t>
      </w:r>
      <w:r w:rsidR="00494065">
        <w:rPr>
          <w:b/>
        </w:rPr>
        <w:br w:type="page"/>
      </w:r>
    </w:p>
    <w:tbl>
      <w:tblPr>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4277"/>
        <w:gridCol w:w="2033"/>
        <w:gridCol w:w="1837"/>
        <w:gridCol w:w="2070"/>
      </w:tblGrid>
      <w:tr w:rsidR="00494065" w:rsidRPr="007A1008" w14:paraId="70A6E70D" w14:textId="77777777" w:rsidTr="002D5EAA">
        <w:trPr>
          <w:cantSplit/>
          <w:trHeight w:val="547"/>
          <w:tblHeader/>
        </w:trPr>
        <w:tc>
          <w:tcPr>
            <w:tcW w:w="13140" w:type="dxa"/>
            <w:gridSpan w:val="5"/>
            <w:tcBorders>
              <w:top w:val="nil"/>
              <w:left w:val="nil"/>
              <w:right w:val="nil"/>
            </w:tcBorders>
            <w:shd w:val="clear" w:color="auto" w:fill="auto"/>
            <w:vAlign w:val="center"/>
          </w:tcPr>
          <w:p w14:paraId="66374034" w14:textId="34CDF0BA" w:rsidR="00494065" w:rsidRPr="003D7F2A" w:rsidRDefault="00494065" w:rsidP="002D5EAA">
            <w:pPr>
              <w:pStyle w:val="Heading2"/>
            </w:pPr>
            <w:bookmarkStart w:id="20" w:name="_Toc72335265"/>
            <w:bookmarkStart w:id="21" w:name="_Toc87358435"/>
            <w:r w:rsidRPr="00535FC0">
              <w:lastRenderedPageBreak/>
              <w:t xml:space="preserve">Should </w:t>
            </w:r>
            <w:r>
              <w:t>high</w:t>
            </w:r>
            <w:r w:rsidR="00354EEC">
              <w:t>-</w:t>
            </w:r>
            <w:r>
              <w:t>frequency chest wall oscillation devices</w:t>
            </w:r>
            <w:r w:rsidRPr="00535FC0">
              <w:t xml:space="preserve"> be</w:t>
            </w:r>
            <w:r>
              <w:t xml:space="preserve"> recommended for coverage for children and adults with </w:t>
            </w:r>
            <w:r w:rsidRPr="003D7F2A">
              <w:t>pulmonary complications from neuromuscular disease resulting in chronic lung disease</w:t>
            </w:r>
            <w:r w:rsidRPr="00535FC0">
              <w:t>?</w:t>
            </w:r>
            <w:bookmarkEnd w:id="20"/>
            <w:bookmarkEnd w:id="21"/>
          </w:p>
        </w:tc>
      </w:tr>
      <w:tr w:rsidR="00494065" w:rsidRPr="007A1008" w14:paraId="48089916" w14:textId="77777777" w:rsidTr="00BD2614">
        <w:trPr>
          <w:cantSplit/>
          <w:trHeight w:val="547"/>
          <w:tblHeader/>
        </w:trPr>
        <w:tc>
          <w:tcPr>
            <w:tcW w:w="2923" w:type="dxa"/>
            <w:shd w:val="clear" w:color="auto" w:fill="C6D9F1"/>
            <w:vAlign w:val="center"/>
          </w:tcPr>
          <w:p w14:paraId="4DFAC799"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Outcomes</w:t>
            </w:r>
          </w:p>
        </w:tc>
        <w:tc>
          <w:tcPr>
            <w:tcW w:w="4277" w:type="dxa"/>
            <w:shd w:val="clear" w:color="auto" w:fill="C6D9F1"/>
            <w:vAlign w:val="center"/>
          </w:tcPr>
          <w:p w14:paraId="28C80563"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Estimate of Effect for Outcome/</w:t>
            </w:r>
          </w:p>
          <w:p w14:paraId="1C836169" w14:textId="77777777" w:rsidR="00494065" w:rsidRPr="007A1008" w:rsidRDefault="00494065" w:rsidP="002D5EAA">
            <w:pPr>
              <w:spacing w:after="0" w:line="240" w:lineRule="auto"/>
              <w:rPr>
                <w:rFonts w:ascii="Calibri" w:eastAsia="Calibri" w:hAnsi="Calibri" w:cs="Arial"/>
                <w:b/>
                <w:i/>
              </w:rPr>
            </w:pPr>
            <w:r w:rsidRPr="007A1008">
              <w:rPr>
                <w:rFonts w:ascii="Calibri" w:eastAsia="Calibri" w:hAnsi="Calibri" w:cs="Arial"/>
                <w:b/>
                <w:i/>
              </w:rPr>
              <w:t>Confidence in Estimate</w:t>
            </w:r>
          </w:p>
        </w:tc>
        <w:tc>
          <w:tcPr>
            <w:tcW w:w="2033" w:type="dxa"/>
            <w:shd w:val="clear" w:color="auto" w:fill="C6D9F1"/>
            <w:vAlign w:val="center"/>
          </w:tcPr>
          <w:p w14:paraId="773CC6B1"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Resource Allocation</w:t>
            </w:r>
          </w:p>
        </w:tc>
        <w:tc>
          <w:tcPr>
            <w:tcW w:w="1837" w:type="dxa"/>
            <w:shd w:val="clear" w:color="auto" w:fill="C6D9F1"/>
            <w:vAlign w:val="center"/>
          </w:tcPr>
          <w:p w14:paraId="719F746D"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Values and Preferences</w:t>
            </w:r>
          </w:p>
        </w:tc>
        <w:tc>
          <w:tcPr>
            <w:tcW w:w="2070" w:type="dxa"/>
            <w:shd w:val="clear" w:color="auto" w:fill="C6D9F1"/>
            <w:vAlign w:val="center"/>
          </w:tcPr>
          <w:p w14:paraId="0D426AD1" w14:textId="77777777"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Other Considerations</w:t>
            </w:r>
          </w:p>
        </w:tc>
      </w:tr>
      <w:tr w:rsidR="003C3E01" w:rsidRPr="007A1008" w14:paraId="615119AF" w14:textId="77777777" w:rsidTr="00BD2614">
        <w:trPr>
          <w:cantSplit/>
          <w:trHeight w:val="576"/>
        </w:trPr>
        <w:tc>
          <w:tcPr>
            <w:tcW w:w="2923" w:type="dxa"/>
            <w:shd w:val="clear" w:color="auto" w:fill="auto"/>
          </w:tcPr>
          <w:p w14:paraId="0CE5AD93" w14:textId="7802DB4D" w:rsidR="003C3E01" w:rsidRPr="007A1008" w:rsidRDefault="003C3E01" w:rsidP="003C3E01">
            <w:pPr>
              <w:spacing w:after="0" w:line="240" w:lineRule="auto"/>
              <w:rPr>
                <w:rFonts w:ascii="Calibri" w:eastAsia="Calibri" w:hAnsi="Calibri" w:cs="Arial"/>
                <w:i/>
              </w:rPr>
            </w:pPr>
            <w:r>
              <w:rPr>
                <w:rFonts w:ascii="Calibri" w:eastAsia="Calibri" w:hAnsi="Calibri" w:cs="Arial"/>
                <w:b/>
              </w:rPr>
              <w:t>Hospitalizations</w:t>
            </w:r>
            <w:r w:rsidRPr="007A1008">
              <w:rPr>
                <w:rFonts w:ascii="Calibri" w:eastAsia="Calibri" w:hAnsi="Calibri" w:cs="Arial"/>
              </w:rPr>
              <w:t xml:space="preserve"> </w:t>
            </w:r>
            <w:r w:rsidR="0023382E">
              <w:rPr>
                <w:rFonts w:ascii="Calibri" w:eastAsia="Calibri" w:hAnsi="Calibri" w:cs="Arial"/>
              </w:rPr>
              <w:br/>
            </w:r>
            <w:r w:rsidRPr="007A1008">
              <w:rPr>
                <w:rFonts w:ascii="Calibri" w:eastAsia="Calibri" w:hAnsi="Calibri" w:cs="Arial"/>
                <w:i/>
              </w:rPr>
              <w:t>(Critical outcome)</w:t>
            </w:r>
          </w:p>
        </w:tc>
        <w:tc>
          <w:tcPr>
            <w:tcW w:w="4277" w:type="dxa"/>
            <w:shd w:val="clear" w:color="auto" w:fill="auto"/>
          </w:tcPr>
          <w:p w14:paraId="0D1E1755" w14:textId="77777777" w:rsidR="00601695" w:rsidRDefault="00F61733" w:rsidP="003C3E01">
            <w:pPr>
              <w:spacing w:after="0" w:line="240" w:lineRule="auto"/>
            </w:pPr>
            <w:r w:rsidRPr="00452866">
              <w:rPr>
                <w:u w:val="single"/>
              </w:rPr>
              <w:t>Compared to standard chest physiotherapy</w:t>
            </w:r>
            <w:r>
              <w:rPr>
                <w:u w:val="single"/>
              </w:rPr>
              <w:t xml:space="preserve"> (pediatric patients with neuromuscular disease)</w:t>
            </w:r>
            <w:r w:rsidRPr="00452866">
              <w:rPr>
                <w:u w:val="single"/>
              </w:rPr>
              <w:t>:</w:t>
            </w:r>
            <w:r>
              <w:t xml:space="preserve"> </w:t>
            </w:r>
          </w:p>
          <w:p w14:paraId="1BFDC55F" w14:textId="26F12B7D" w:rsidR="003C3E01" w:rsidRDefault="00601695" w:rsidP="003C3E01">
            <w:pPr>
              <w:spacing w:after="0" w:line="240" w:lineRule="auto"/>
              <w:rPr>
                <w:rFonts w:ascii="Calibri" w:eastAsia="Calibri" w:hAnsi="Calibri" w:cs="Arial"/>
              </w:rPr>
            </w:pPr>
            <w:r>
              <w:t>T</w:t>
            </w:r>
            <w:r w:rsidR="00F61733">
              <w:t xml:space="preserve">here was a nonsignificant difference in the number of control group participants requiring hospitalizations (2/7) compared to the HFCWO device group (0/7; </w:t>
            </w:r>
            <w:r w:rsidR="00F61733" w:rsidRPr="00252990">
              <w:rPr>
                <w:i/>
                <w:iCs/>
              </w:rPr>
              <w:t xml:space="preserve">P </w:t>
            </w:r>
            <w:r w:rsidR="00F61733">
              <w:t xml:space="preserve">&gt; .05) </w:t>
            </w:r>
          </w:p>
          <w:p w14:paraId="45DAFC6A" w14:textId="77777777" w:rsidR="00F61733" w:rsidRDefault="00F61733" w:rsidP="003C3E01">
            <w:pPr>
              <w:spacing w:after="0" w:line="240" w:lineRule="auto"/>
              <w:rPr>
                <w:rFonts w:ascii="Calibri" w:eastAsia="Calibri" w:hAnsi="Calibri" w:cs="Arial"/>
              </w:rPr>
            </w:pPr>
          </w:p>
          <w:p w14:paraId="624085F1" w14:textId="5C35C153" w:rsidR="00F61733" w:rsidRPr="007A1008" w:rsidRDefault="00F61733" w:rsidP="003C3E01">
            <w:pPr>
              <w:spacing w:after="0" w:line="240" w:lineRule="auto"/>
              <w:rPr>
                <w:rFonts w:ascii="Calibri" w:eastAsia="Calibri" w:hAnsi="Calibri" w:cs="Arial"/>
                <w:i/>
              </w:rPr>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 xml:space="preserve">very low confidence, based on 1 RCT, n </w:t>
            </w:r>
            <w:r w:rsidRPr="007A1008">
              <w:rPr>
                <w:rFonts w:ascii="Calibri" w:eastAsia="Calibri" w:hAnsi="Calibri" w:cs="Arial"/>
                <w:i/>
              </w:rPr>
              <w:t>=</w:t>
            </w:r>
            <w:r>
              <w:rPr>
                <w:rFonts w:ascii="Calibri" w:eastAsia="Calibri" w:hAnsi="Calibri" w:cs="Arial"/>
                <w:i/>
              </w:rPr>
              <w:t xml:space="preserve"> 14</w:t>
            </w:r>
            <w:r w:rsidRPr="007A1008">
              <w:rPr>
                <w:rFonts w:ascii="Calibri" w:eastAsia="Calibri" w:hAnsi="Calibri" w:cs="Arial"/>
                <w:i/>
              </w:rPr>
              <w:t>)</w:t>
            </w:r>
          </w:p>
        </w:tc>
        <w:tc>
          <w:tcPr>
            <w:tcW w:w="2033" w:type="dxa"/>
            <w:vMerge w:val="restart"/>
            <w:shd w:val="clear" w:color="auto" w:fill="auto"/>
          </w:tcPr>
          <w:p w14:paraId="065015C3" w14:textId="3B3B7FF2" w:rsidR="003C3E01" w:rsidRPr="007D5532" w:rsidRDefault="003C3E01" w:rsidP="003C3E01">
            <w:pPr>
              <w:spacing w:after="0" w:line="240" w:lineRule="auto"/>
              <w:rPr>
                <w:rFonts w:ascii="Calibri" w:eastAsia="Calibri" w:hAnsi="Calibri" w:cs="Arial"/>
                <w:iCs/>
              </w:rPr>
            </w:pPr>
            <w:r w:rsidRPr="0029564F">
              <w:rPr>
                <w:rFonts w:ascii="Calibri" w:eastAsia="Calibri" w:hAnsi="Calibri" w:cs="Arial"/>
              </w:rPr>
              <w:t>Coverage of high</w:t>
            </w:r>
            <w:r w:rsidR="00354EEC" w:rsidRPr="0029564F">
              <w:rPr>
                <w:rFonts w:ascii="Calibri" w:eastAsia="Calibri" w:hAnsi="Calibri" w:cs="Arial"/>
              </w:rPr>
              <w:t>-</w:t>
            </w:r>
            <w:r w:rsidRPr="0029564F">
              <w:rPr>
                <w:rFonts w:ascii="Calibri" w:eastAsia="Calibri" w:hAnsi="Calibri" w:cs="Arial"/>
              </w:rPr>
              <w:t xml:space="preserve">frequency chest wall oscillation would add significant cost compared to chest physiotherapy or positive expiratory pressure devices. However, in situations in which chest physiotherapy is not consistently available or tolerated and positive expiratory pressure devices are not effective or tolerated, the additional cost of the </w:t>
            </w:r>
            <w:r w:rsidR="0023382E" w:rsidRPr="007E2C5F">
              <w:rPr>
                <w:rFonts w:ascii="Calibri" w:eastAsia="Calibri" w:hAnsi="Calibri" w:cs="Arial"/>
              </w:rPr>
              <w:t>high-frequency chest wall oscillation</w:t>
            </w:r>
            <w:r w:rsidRPr="007E2C5F">
              <w:rPr>
                <w:rFonts w:ascii="Calibri" w:eastAsia="Calibri" w:hAnsi="Calibri" w:cs="Arial"/>
              </w:rPr>
              <w:t xml:space="preserve"> </w:t>
            </w:r>
            <w:r w:rsidRPr="0029564F">
              <w:rPr>
                <w:rFonts w:ascii="Calibri" w:eastAsia="Calibri" w:hAnsi="Calibri" w:cs="Arial"/>
              </w:rPr>
              <w:t xml:space="preserve">device would be offset to </w:t>
            </w:r>
            <w:r w:rsidRPr="0029564F">
              <w:rPr>
                <w:rFonts w:ascii="Calibri" w:eastAsia="Calibri" w:hAnsi="Calibri" w:cs="Arial"/>
              </w:rPr>
              <w:lastRenderedPageBreak/>
              <w:t>the extent that it reduces hospitalizations and exacerbations.</w:t>
            </w:r>
          </w:p>
        </w:tc>
        <w:tc>
          <w:tcPr>
            <w:tcW w:w="1837" w:type="dxa"/>
            <w:vMerge w:val="restart"/>
            <w:shd w:val="clear" w:color="auto" w:fill="auto"/>
          </w:tcPr>
          <w:p w14:paraId="7B309863" w14:textId="77777777" w:rsidR="003C3E01" w:rsidRPr="0029564F" w:rsidRDefault="003C3E01" w:rsidP="0029564F">
            <w:pPr>
              <w:spacing w:line="240" w:lineRule="auto"/>
              <w:rPr>
                <w:rFonts w:ascii="Calibri" w:eastAsia="Calibri" w:hAnsi="Calibri" w:cs="Arial"/>
              </w:rPr>
            </w:pPr>
            <w:r w:rsidRPr="0029564F">
              <w:rPr>
                <w:rFonts w:ascii="Calibri" w:eastAsia="Calibri" w:hAnsi="Calibri" w:cs="Arial"/>
              </w:rPr>
              <w:lastRenderedPageBreak/>
              <w:t>Patients may prefer treatment options that can be self-administered, confer greater independence, and ensure reliable and consistent treatment.</w:t>
            </w:r>
          </w:p>
          <w:p w14:paraId="7B54ADC2" w14:textId="118915DC" w:rsidR="00962B08" w:rsidRPr="007A1008" w:rsidRDefault="00962B08" w:rsidP="0029564F">
            <w:pPr>
              <w:spacing w:after="0" w:line="240" w:lineRule="auto"/>
              <w:rPr>
                <w:rFonts w:ascii="Calibri" w:eastAsia="Calibri" w:hAnsi="Calibri" w:cs="Arial"/>
              </w:rPr>
            </w:pPr>
            <w:r w:rsidRPr="0029564F">
              <w:rPr>
                <w:rFonts w:ascii="Calibri" w:eastAsia="Calibri" w:hAnsi="Calibri" w:cs="Arial"/>
              </w:rPr>
              <w:t>This group of conditions varies widely in severity and patients may have different preferences based on their condition.</w:t>
            </w:r>
          </w:p>
        </w:tc>
        <w:tc>
          <w:tcPr>
            <w:tcW w:w="2070" w:type="dxa"/>
            <w:vMerge w:val="restart"/>
            <w:shd w:val="clear" w:color="auto" w:fill="auto"/>
          </w:tcPr>
          <w:p w14:paraId="0B9C0A7E" w14:textId="693C43C8" w:rsidR="000D1D17" w:rsidRPr="0093221D" w:rsidRDefault="00D24E56" w:rsidP="00D24E56">
            <w:pPr>
              <w:spacing w:after="0" w:line="240" w:lineRule="auto"/>
              <w:rPr>
                <w:rFonts w:ascii="Calibri" w:eastAsia="Calibri" w:hAnsi="Calibri" w:cs="Arial"/>
              </w:rPr>
            </w:pPr>
            <w:r w:rsidRPr="0093221D">
              <w:rPr>
                <w:rFonts w:ascii="Calibri" w:eastAsia="Calibri" w:hAnsi="Calibri" w:cs="Arial"/>
              </w:rPr>
              <w:t xml:space="preserve">Neuromuscular diseases are a broad range of conditions with very different pulmonary involvement. </w:t>
            </w:r>
            <w:r w:rsidR="000D1D17" w:rsidRPr="0093221D">
              <w:rPr>
                <w:rFonts w:ascii="Calibri" w:eastAsia="Calibri" w:hAnsi="Calibri" w:cs="Arial"/>
              </w:rPr>
              <w:t xml:space="preserve">Many of these conditions have populations that are too small to meaningfully study. </w:t>
            </w:r>
          </w:p>
          <w:p w14:paraId="74112BB9" w14:textId="77777777" w:rsidR="000B0388" w:rsidRPr="0093221D" w:rsidRDefault="000B0388" w:rsidP="00DB5829">
            <w:pPr>
              <w:spacing w:after="0" w:line="240" w:lineRule="auto"/>
              <w:rPr>
                <w:rFonts w:ascii="Calibri" w:eastAsia="Calibri" w:hAnsi="Calibri" w:cs="Arial"/>
              </w:rPr>
            </w:pPr>
          </w:p>
          <w:p w14:paraId="560D8FC3" w14:textId="21EB855A" w:rsidR="00D17F63" w:rsidRPr="009E6925" w:rsidRDefault="00727D06" w:rsidP="00DB5829">
            <w:pPr>
              <w:spacing w:after="0" w:line="240" w:lineRule="auto"/>
              <w:rPr>
                <w:rFonts w:ascii="Calibri" w:eastAsia="Calibri" w:hAnsi="Calibri" w:cs="Arial"/>
                <w:color w:val="0070C0"/>
                <w:u w:val="single"/>
              </w:rPr>
            </w:pPr>
            <w:r w:rsidRPr="0093221D">
              <w:rPr>
                <w:rFonts w:ascii="Calibri" w:eastAsia="Calibri" w:hAnsi="Calibri" w:cs="Arial"/>
              </w:rPr>
              <w:t>Appointed e</w:t>
            </w:r>
            <w:r w:rsidR="000D1D17" w:rsidRPr="0093221D">
              <w:rPr>
                <w:rFonts w:ascii="Calibri" w:eastAsia="Calibri" w:hAnsi="Calibri" w:cs="Arial"/>
              </w:rPr>
              <w:t xml:space="preserve">xpert recommendation was for use in patients with neuromuscular disease who have evidence of chronic airway infection (defined as persistent culture positivity of organisms known to </w:t>
            </w:r>
            <w:r w:rsidR="000D1D17" w:rsidRPr="0093221D">
              <w:rPr>
                <w:rFonts w:ascii="Calibri" w:eastAsia="Calibri" w:hAnsi="Calibri" w:cs="Arial"/>
              </w:rPr>
              <w:lastRenderedPageBreak/>
              <w:t>cause respiratory infection).</w:t>
            </w:r>
          </w:p>
        </w:tc>
      </w:tr>
      <w:tr w:rsidR="003C3E01" w:rsidRPr="007A1008" w14:paraId="7B645F8D" w14:textId="77777777" w:rsidTr="00BD2614">
        <w:trPr>
          <w:cantSplit/>
          <w:trHeight w:val="576"/>
        </w:trPr>
        <w:tc>
          <w:tcPr>
            <w:tcW w:w="2923" w:type="dxa"/>
            <w:shd w:val="clear" w:color="auto" w:fill="auto"/>
          </w:tcPr>
          <w:p w14:paraId="7F533359" w14:textId="20A40B04" w:rsidR="003C3E01" w:rsidRPr="007A1008" w:rsidRDefault="003C3E01" w:rsidP="002D5EAA">
            <w:pPr>
              <w:spacing w:after="0" w:line="240" w:lineRule="auto"/>
              <w:rPr>
                <w:rFonts w:ascii="Calibri" w:eastAsia="Calibri" w:hAnsi="Calibri" w:cs="Arial"/>
                <w:i/>
              </w:rPr>
            </w:pPr>
            <w:r>
              <w:rPr>
                <w:rFonts w:ascii="Calibri" w:eastAsia="Calibri" w:hAnsi="Calibri" w:cs="Arial"/>
                <w:b/>
              </w:rPr>
              <w:t>Mortality</w:t>
            </w:r>
            <w:r w:rsidRPr="007A1008">
              <w:rPr>
                <w:rFonts w:ascii="Calibri" w:eastAsia="Calibri" w:hAnsi="Calibri" w:cs="Arial"/>
              </w:rPr>
              <w:t xml:space="preserve"> </w:t>
            </w:r>
            <w:r w:rsidR="0023382E">
              <w:rPr>
                <w:rFonts w:ascii="Calibri" w:eastAsia="Calibri" w:hAnsi="Calibri" w:cs="Arial"/>
              </w:rPr>
              <w:br/>
            </w:r>
            <w:r w:rsidRPr="007A1008">
              <w:rPr>
                <w:rFonts w:ascii="Calibri" w:eastAsia="Calibri" w:hAnsi="Calibri" w:cs="Arial"/>
                <w:i/>
              </w:rPr>
              <w:t>(Critical outcome)</w:t>
            </w:r>
          </w:p>
        </w:tc>
        <w:tc>
          <w:tcPr>
            <w:tcW w:w="4277" w:type="dxa"/>
            <w:shd w:val="clear" w:color="auto" w:fill="auto"/>
          </w:tcPr>
          <w:p w14:paraId="35E5E94D" w14:textId="77777777" w:rsidR="003C3E01" w:rsidRPr="007A1008" w:rsidRDefault="003C3E01" w:rsidP="002D5EAA">
            <w:pPr>
              <w:spacing w:after="0" w:line="240" w:lineRule="auto"/>
              <w:rPr>
                <w:rFonts w:ascii="Calibri" w:eastAsia="Calibri" w:hAnsi="Calibri" w:cs="Arial"/>
                <w:i/>
              </w:rPr>
            </w:pPr>
            <w:r>
              <w:rPr>
                <w:rFonts w:ascii="Calibri" w:eastAsia="Calibri" w:hAnsi="Calibri" w:cs="Arial"/>
              </w:rPr>
              <w:t>No evidence</w:t>
            </w:r>
          </w:p>
        </w:tc>
        <w:tc>
          <w:tcPr>
            <w:tcW w:w="2033" w:type="dxa"/>
            <w:vMerge/>
            <w:shd w:val="clear" w:color="auto" w:fill="auto"/>
          </w:tcPr>
          <w:p w14:paraId="5033EE23" w14:textId="77777777" w:rsidR="003C3E01" w:rsidRPr="007A1008" w:rsidRDefault="003C3E01" w:rsidP="002D5EAA">
            <w:pPr>
              <w:spacing w:after="0" w:line="240" w:lineRule="auto"/>
              <w:rPr>
                <w:rFonts w:ascii="Calibri" w:eastAsia="Calibri" w:hAnsi="Calibri" w:cs="Arial"/>
              </w:rPr>
            </w:pPr>
          </w:p>
        </w:tc>
        <w:tc>
          <w:tcPr>
            <w:tcW w:w="1837" w:type="dxa"/>
            <w:vMerge/>
            <w:shd w:val="clear" w:color="auto" w:fill="auto"/>
          </w:tcPr>
          <w:p w14:paraId="73439346" w14:textId="77777777" w:rsidR="003C3E01" w:rsidRPr="007A1008" w:rsidRDefault="003C3E01" w:rsidP="002D5EAA">
            <w:pPr>
              <w:spacing w:after="0" w:line="240" w:lineRule="auto"/>
              <w:rPr>
                <w:rFonts w:ascii="Calibri" w:eastAsia="Calibri" w:hAnsi="Calibri" w:cs="Arial"/>
              </w:rPr>
            </w:pPr>
          </w:p>
        </w:tc>
        <w:tc>
          <w:tcPr>
            <w:tcW w:w="2070" w:type="dxa"/>
            <w:vMerge/>
            <w:shd w:val="clear" w:color="auto" w:fill="auto"/>
          </w:tcPr>
          <w:p w14:paraId="0275C71D" w14:textId="77777777" w:rsidR="003C3E01" w:rsidRPr="007A1008" w:rsidRDefault="003C3E01" w:rsidP="002D5EAA">
            <w:pPr>
              <w:spacing w:after="0" w:line="240" w:lineRule="auto"/>
              <w:rPr>
                <w:rFonts w:ascii="Calibri" w:eastAsia="Calibri" w:hAnsi="Calibri" w:cs="Arial"/>
              </w:rPr>
            </w:pPr>
          </w:p>
        </w:tc>
      </w:tr>
      <w:tr w:rsidR="003C3E01" w:rsidRPr="007A1008" w14:paraId="20A486AC" w14:textId="77777777" w:rsidTr="00BD2614">
        <w:trPr>
          <w:cantSplit/>
          <w:trHeight w:val="864"/>
        </w:trPr>
        <w:tc>
          <w:tcPr>
            <w:tcW w:w="2923" w:type="dxa"/>
            <w:shd w:val="clear" w:color="auto" w:fill="auto"/>
          </w:tcPr>
          <w:p w14:paraId="54B29105" w14:textId="77777777" w:rsidR="003C3E01" w:rsidRPr="007A1008" w:rsidRDefault="003C3E01" w:rsidP="002D5EAA">
            <w:pPr>
              <w:spacing w:after="0" w:line="240" w:lineRule="auto"/>
              <w:rPr>
                <w:rFonts w:ascii="Calibri" w:eastAsia="Calibri" w:hAnsi="Calibri" w:cs="Arial"/>
                <w:i/>
              </w:rPr>
            </w:pPr>
            <w:r>
              <w:rPr>
                <w:rFonts w:ascii="Calibri" w:eastAsia="Calibri" w:hAnsi="Calibri" w:cs="Arial"/>
                <w:b/>
              </w:rPr>
              <w:t>Pulmonary Exacerbations Requiring A</w:t>
            </w:r>
            <w:r w:rsidRPr="0082212A">
              <w:rPr>
                <w:rFonts w:ascii="Calibri" w:eastAsia="Calibri" w:hAnsi="Calibri" w:cs="Arial"/>
                <w:b/>
              </w:rPr>
              <w:t>ntibiotics</w:t>
            </w:r>
            <w:r w:rsidRPr="007A1008">
              <w:rPr>
                <w:rFonts w:ascii="Calibri" w:eastAsia="Calibri" w:hAnsi="Calibri" w:cs="Arial"/>
              </w:rPr>
              <w:t xml:space="preserve"> </w:t>
            </w:r>
            <w:r w:rsidRPr="007A1008">
              <w:rPr>
                <w:rFonts w:ascii="Calibri" w:eastAsia="Calibri" w:hAnsi="Calibri" w:cs="Arial"/>
                <w:i/>
              </w:rPr>
              <w:t>(Important outcome)</w:t>
            </w:r>
          </w:p>
        </w:tc>
        <w:tc>
          <w:tcPr>
            <w:tcW w:w="4277" w:type="dxa"/>
            <w:shd w:val="clear" w:color="auto" w:fill="auto"/>
          </w:tcPr>
          <w:p w14:paraId="64B32953" w14:textId="77777777" w:rsidR="00601695" w:rsidRDefault="00F61733" w:rsidP="002D5EAA">
            <w:pPr>
              <w:spacing w:after="0" w:line="240" w:lineRule="auto"/>
            </w:pPr>
            <w:r w:rsidRPr="00252990">
              <w:rPr>
                <w:u w:val="single"/>
              </w:rPr>
              <w:t>Compared to standard chest physiotherapy</w:t>
            </w:r>
            <w:r>
              <w:rPr>
                <w:u w:val="single"/>
              </w:rPr>
              <w:t xml:space="preserve"> (pediatric patients with neuromuscular disease)</w:t>
            </w:r>
            <w:r w:rsidRPr="00252990">
              <w:rPr>
                <w:u w:val="single"/>
              </w:rPr>
              <w:t>:</w:t>
            </w:r>
            <w:r>
              <w:t xml:space="preserve"> </w:t>
            </w:r>
          </w:p>
          <w:p w14:paraId="73827F3F" w14:textId="5671BED7" w:rsidR="003C3E01" w:rsidRDefault="00F61733" w:rsidP="002D5EAA">
            <w:pPr>
              <w:spacing w:after="0" w:line="240" w:lineRule="auto"/>
              <w:rPr>
                <w:rFonts w:ascii="Calibri" w:eastAsia="Calibri" w:hAnsi="Calibri" w:cs="Arial"/>
              </w:rPr>
            </w:pPr>
            <w:r>
              <w:t xml:space="preserve">There was nonsignificant difference between control group participants requiring antibiotics (3/7) compared to the HFCWO device group (2/7; </w:t>
            </w:r>
            <w:r w:rsidRPr="00252990">
              <w:rPr>
                <w:i/>
                <w:iCs/>
              </w:rPr>
              <w:t xml:space="preserve">P </w:t>
            </w:r>
            <w:r>
              <w:t xml:space="preserve">&gt; .05) </w:t>
            </w:r>
          </w:p>
          <w:p w14:paraId="59D7D3EF" w14:textId="77777777" w:rsidR="00F61733" w:rsidRDefault="00F61733" w:rsidP="002D5EAA">
            <w:pPr>
              <w:spacing w:after="0" w:line="240" w:lineRule="auto"/>
              <w:rPr>
                <w:rFonts w:ascii="Calibri" w:eastAsia="Calibri" w:hAnsi="Calibri" w:cs="Arial"/>
              </w:rPr>
            </w:pPr>
          </w:p>
          <w:p w14:paraId="617253D7" w14:textId="125AAE74" w:rsidR="00F61733" w:rsidRPr="007A1008" w:rsidRDefault="00F61733" w:rsidP="002D5EAA">
            <w:pPr>
              <w:spacing w:after="0" w:line="240" w:lineRule="auto"/>
              <w:rPr>
                <w:rFonts w:ascii="Calibri" w:eastAsia="Calibri" w:hAnsi="Calibri" w:cs="Arial"/>
              </w:rPr>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 xml:space="preserve">very low confidence, based on 1 RCT, n </w:t>
            </w:r>
            <w:r w:rsidRPr="007A1008">
              <w:rPr>
                <w:rFonts w:ascii="Calibri" w:eastAsia="Calibri" w:hAnsi="Calibri" w:cs="Arial"/>
                <w:i/>
              </w:rPr>
              <w:t>=</w:t>
            </w:r>
            <w:r>
              <w:rPr>
                <w:rFonts w:ascii="Calibri" w:eastAsia="Calibri" w:hAnsi="Calibri" w:cs="Arial"/>
                <w:i/>
              </w:rPr>
              <w:t xml:space="preserve"> 14</w:t>
            </w:r>
            <w:r w:rsidRPr="007A1008">
              <w:rPr>
                <w:rFonts w:ascii="Calibri" w:eastAsia="Calibri" w:hAnsi="Calibri" w:cs="Arial"/>
                <w:i/>
              </w:rPr>
              <w:t>)</w:t>
            </w:r>
          </w:p>
        </w:tc>
        <w:tc>
          <w:tcPr>
            <w:tcW w:w="2033" w:type="dxa"/>
            <w:vMerge/>
            <w:shd w:val="clear" w:color="auto" w:fill="auto"/>
          </w:tcPr>
          <w:p w14:paraId="7A0755F0" w14:textId="77777777" w:rsidR="003C3E01" w:rsidRPr="007A1008" w:rsidRDefault="003C3E01" w:rsidP="002D5EAA">
            <w:pPr>
              <w:spacing w:after="0" w:line="240" w:lineRule="auto"/>
              <w:rPr>
                <w:rFonts w:ascii="Calibri" w:eastAsia="Calibri" w:hAnsi="Calibri" w:cs="Arial"/>
              </w:rPr>
            </w:pPr>
          </w:p>
        </w:tc>
        <w:tc>
          <w:tcPr>
            <w:tcW w:w="1837" w:type="dxa"/>
            <w:vMerge/>
            <w:shd w:val="clear" w:color="auto" w:fill="auto"/>
          </w:tcPr>
          <w:p w14:paraId="0678DB8A" w14:textId="77777777" w:rsidR="003C3E01" w:rsidRPr="007A1008" w:rsidRDefault="003C3E01" w:rsidP="002D5EAA">
            <w:pPr>
              <w:spacing w:after="0" w:line="240" w:lineRule="auto"/>
              <w:rPr>
                <w:rFonts w:ascii="Calibri" w:eastAsia="Calibri" w:hAnsi="Calibri" w:cs="Arial"/>
              </w:rPr>
            </w:pPr>
          </w:p>
        </w:tc>
        <w:tc>
          <w:tcPr>
            <w:tcW w:w="2070" w:type="dxa"/>
            <w:vMerge/>
            <w:shd w:val="clear" w:color="auto" w:fill="auto"/>
          </w:tcPr>
          <w:p w14:paraId="658B00A4" w14:textId="77777777" w:rsidR="003C3E01" w:rsidRPr="007A1008" w:rsidRDefault="003C3E01" w:rsidP="002D5EAA">
            <w:pPr>
              <w:spacing w:after="0" w:line="240" w:lineRule="auto"/>
              <w:rPr>
                <w:rFonts w:ascii="Calibri" w:eastAsia="Calibri" w:hAnsi="Calibri" w:cs="Arial"/>
              </w:rPr>
            </w:pPr>
          </w:p>
        </w:tc>
      </w:tr>
      <w:tr w:rsidR="003C3E01" w:rsidRPr="007A1008" w14:paraId="6D53CF44" w14:textId="77777777" w:rsidTr="00BD2614">
        <w:trPr>
          <w:cantSplit/>
          <w:trHeight w:val="611"/>
        </w:trPr>
        <w:tc>
          <w:tcPr>
            <w:tcW w:w="2923" w:type="dxa"/>
            <w:shd w:val="clear" w:color="auto" w:fill="auto"/>
          </w:tcPr>
          <w:p w14:paraId="62CF27F5" w14:textId="77777777" w:rsidR="003C3E01" w:rsidRPr="007A1008" w:rsidRDefault="003C3E01" w:rsidP="002D5EAA">
            <w:pPr>
              <w:spacing w:after="0" w:line="240" w:lineRule="auto"/>
              <w:rPr>
                <w:rFonts w:ascii="Calibri" w:eastAsia="Calibri" w:hAnsi="Calibri" w:cs="Arial"/>
              </w:rPr>
            </w:pPr>
            <w:r>
              <w:rPr>
                <w:rFonts w:ascii="Calibri" w:eastAsia="Calibri" w:hAnsi="Calibri" w:cs="Arial"/>
                <w:b/>
              </w:rPr>
              <w:t xml:space="preserve">Exercise Capacity </w:t>
            </w:r>
            <w:r w:rsidRPr="007A1008">
              <w:rPr>
                <w:rFonts w:ascii="Calibri" w:eastAsia="Calibri" w:hAnsi="Calibri" w:cs="Arial"/>
                <w:i/>
              </w:rPr>
              <w:t>(Important outcome)</w:t>
            </w:r>
          </w:p>
        </w:tc>
        <w:tc>
          <w:tcPr>
            <w:tcW w:w="4277" w:type="dxa"/>
            <w:shd w:val="clear" w:color="auto" w:fill="auto"/>
          </w:tcPr>
          <w:p w14:paraId="403CDA0A" w14:textId="77777777" w:rsidR="003C3E01" w:rsidRPr="007A1008" w:rsidRDefault="003C3E01" w:rsidP="002D5EAA">
            <w:pPr>
              <w:spacing w:after="0" w:line="240" w:lineRule="auto"/>
              <w:rPr>
                <w:rFonts w:ascii="Calibri" w:eastAsia="Calibri" w:hAnsi="Calibri" w:cs="Arial"/>
              </w:rPr>
            </w:pPr>
            <w:r>
              <w:rPr>
                <w:rFonts w:ascii="Calibri" w:eastAsia="Calibri" w:hAnsi="Calibri" w:cs="Arial"/>
              </w:rPr>
              <w:t>No evidence</w:t>
            </w:r>
          </w:p>
          <w:p w14:paraId="79858B05" w14:textId="77777777" w:rsidR="003C3E01" w:rsidRPr="007A1008" w:rsidRDefault="003C3E01" w:rsidP="002D5EAA">
            <w:pPr>
              <w:spacing w:after="0" w:line="240" w:lineRule="auto"/>
              <w:rPr>
                <w:rFonts w:ascii="Calibri" w:eastAsia="Calibri" w:hAnsi="Calibri" w:cs="Arial"/>
              </w:rPr>
            </w:pPr>
          </w:p>
        </w:tc>
        <w:tc>
          <w:tcPr>
            <w:tcW w:w="2033" w:type="dxa"/>
            <w:vMerge/>
            <w:shd w:val="clear" w:color="auto" w:fill="auto"/>
          </w:tcPr>
          <w:p w14:paraId="13333368" w14:textId="77777777" w:rsidR="003C3E01" w:rsidRPr="007A1008" w:rsidRDefault="003C3E01" w:rsidP="002D5EAA">
            <w:pPr>
              <w:spacing w:after="0" w:line="240" w:lineRule="auto"/>
              <w:rPr>
                <w:rFonts w:ascii="Calibri" w:eastAsia="Calibri" w:hAnsi="Calibri" w:cs="Arial"/>
              </w:rPr>
            </w:pPr>
          </w:p>
        </w:tc>
        <w:tc>
          <w:tcPr>
            <w:tcW w:w="1837" w:type="dxa"/>
            <w:vMerge/>
            <w:shd w:val="clear" w:color="auto" w:fill="auto"/>
          </w:tcPr>
          <w:p w14:paraId="2E47E889" w14:textId="77777777" w:rsidR="003C3E01" w:rsidRPr="007A1008" w:rsidRDefault="003C3E01" w:rsidP="002D5EAA">
            <w:pPr>
              <w:spacing w:after="0" w:line="240" w:lineRule="auto"/>
              <w:rPr>
                <w:rFonts w:ascii="Calibri" w:eastAsia="Calibri" w:hAnsi="Calibri" w:cs="Arial"/>
              </w:rPr>
            </w:pPr>
          </w:p>
        </w:tc>
        <w:tc>
          <w:tcPr>
            <w:tcW w:w="2070" w:type="dxa"/>
            <w:vMerge/>
            <w:shd w:val="clear" w:color="auto" w:fill="auto"/>
          </w:tcPr>
          <w:p w14:paraId="17B09BC0" w14:textId="77777777" w:rsidR="003C3E01" w:rsidRPr="007A1008" w:rsidRDefault="003C3E01" w:rsidP="002D5EAA">
            <w:pPr>
              <w:spacing w:after="0" w:line="240" w:lineRule="auto"/>
              <w:rPr>
                <w:rFonts w:ascii="Calibri" w:eastAsia="Calibri" w:hAnsi="Calibri" w:cs="Arial"/>
              </w:rPr>
            </w:pPr>
          </w:p>
        </w:tc>
      </w:tr>
      <w:tr w:rsidR="003C3E01" w:rsidRPr="007A1008" w14:paraId="2D0F15FC" w14:textId="77777777" w:rsidTr="00BD2614">
        <w:trPr>
          <w:cantSplit/>
          <w:trHeight w:val="806"/>
        </w:trPr>
        <w:tc>
          <w:tcPr>
            <w:tcW w:w="2923" w:type="dxa"/>
            <w:shd w:val="clear" w:color="auto" w:fill="auto"/>
          </w:tcPr>
          <w:p w14:paraId="43435E96" w14:textId="77777777" w:rsidR="003C3E01" w:rsidRPr="00A360AA" w:rsidRDefault="003C3E01" w:rsidP="002D5EAA">
            <w:pPr>
              <w:spacing w:after="0" w:line="240" w:lineRule="auto"/>
              <w:rPr>
                <w:rFonts w:ascii="Calibri" w:eastAsia="Calibri" w:hAnsi="Calibri" w:cs="Arial"/>
                <w:b/>
              </w:rPr>
            </w:pPr>
            <w:r>
              <w:rPr>
                <w:rFonts w:ascii="Calibri" w:eastAsia="Calibri" w:hAnsi="Calibri" w:cs="Arial"/>
                <w:b/>
              </w:rPr>
              <w:lastRenderedPageBreak/>
              <w:t xml:space="preserve">Breathlessness or Cough </w:t>
            </w:r>
            <w:r w:rsidRPr="007A1008">
              <w:rPr>
                <w:rFonts w:ascii="Calibri" w:eastAsia="Calibri" w:hAnsi="Calibri" w:cs="Arial"/>
                <w:i/>
              </w:rPr>
              <w:t>(Important outcome)</w:t>
            </w:r>
          </w:p>
        </w:tc>
        <w:tc>
          <w:tcPr>
            <w:tcW w:w="4277" w:type="dxa"/>
            <w:shd w:val="clear" w:color="auto" w:fill="auto"/>
          </w:tcPr>
          <w:p w14:paraId="0E3066E1" w14:textId="77777777" w:rsidR="00601695" w:rsidRDefault="003C3E01" w:rsidP="002D5EAA">
            <w:pPr>
              <w:spacing w:after="0" w:line="240" w:lineRule="auto"/>
              <w:rPr>
                <w:rFonts w:ascii="Calibri" w:hAnsi="Calibri"/>
              </w:rPr>
            </w:pPr>
            <w:r w:rsidRPr="006477DB">
              <w:rPr>
                <w:rFonts w:ascii="Calibri" w:hAnsi="Calibri"/>
                <w:u w:val="single"/>
              </w:rPr>
              <w:t>Compared to no treatment</w:t>
            </w:r>
            <w:r>
              <w:rPr>
                <w:rFonts w:ascii="Calibri" w:hAnsi="Calibri"/>
                <w:u w:val="single"/>
              </w:rPr>
              <w:t xml:space="preserve"> (</w:t>
            </w:r>
            <w:r w:rsidR="00CE2A70">
              <w:rPr>
                <w:rFonts w:ascii="Calibri" w:hAnsi="Calibri"/>
                <w:u w:val="single"/>
              </w:rPr>
              <w:t xml:space="preserve">adult </w:t>
            </w:r>
            <w:r>
              <w:rPr>
                <w:rFonts w:ascii="Calibri" w:hAnsi="Calibri"/>
                <w:u w:val="single"/>
              </w:rPr>
              <w:t>patients with ALS)</w:t>
            </w:r>
            <w:r>
              <w:rPr>
                <w:rFonts w:ascii="Calibri" w:hAnsi="Calibri"/>
              </w:rPr>
              <w:t xml:space="preserve">: </w:t>
            </w:r>
          </w:p>
          <w:p w14:paraId="0A907624" w14:textId="4A00725E" w:rsidR="003C3E01" w:rsidRDefault="00601695" w:rsidP="002D5EAA">
            <w:pPr>
              <w:spacing w:after="0" w:line="240" w:lineRule="auto"/>
            </w:pPr>
            <w:r>
              <w:rPr>
                <w:rFonts w:ascii="Calibri" w:hAnsi="Calibri"/>
              </w:rPr>
              <w:t>S</w:t>
            </w:r>
            <w:r w:rsidR="003C3E01">
              <w:rPr>
                <w:rFonts w:ascii="Calibri" w:hAnsi="Calibri"/>
              </w:rPr>
              <w:t xml:space="preserve">ignificantly greater improvement in breathlessness </w:t>
            </w:r>
            <w:r w:rsidR="003C3E01">
              <w:t>(</w:t>
            </w:r>
            <w:r w:rsidR="0023382E" w:rsidRPr="007E2C5F">
              <w:rPr>
                <w:rFonts w:ascii="Calibri" w:eastAsia="Calibri" w:hAnsi="Calibri" w:cs="Arial"/>
              </w:rPr>
              <w:t>high-frequency chest wall oscillation</w:t>
            </w:r>
            <w:r w:rsidR="003C3E01">
              <w:t xml:space="preserve"> group mean difference, -1.28; untreated group mean difference, 0.84; </w:t>
            </w:r>
            <w:r w:rsidR="00DA4DCD">
              <w:rPr>
                <w:i/>
              </w:rPr>
              <w:t>P</w:t>
            </w:r>
            <w:r w:rsidR="0023382E">
              <w:t> </w:t>
            </w:r>
            <w:r w:rsidR="003C3E01">
              <w:t>&lt;</w:t>
            </w:r>
            <w:r w:rsidR="0023382E">
              <w:t> </w:t>
            </w:r>
            <w:r w:rsidR="003C3E01">
              <w:t>.05)</w:t>
            </w:r>
          </w:p>
          <w:p w14:paraId="6310E7CB" w14:textId="77777777" w:rsidR="003C3E01" w:rsidRDefault="003C3E01" w:rsidP="002D5EAA">
            <w:pPr>
              <w:spacing w:after="0" w:line="240" w:lineRule="auto"/>
              <w:rPr>
                <w:rFonts w:ascii="Calibri" w:hAnsi="Calibri"/>
              </w:rPr>
            </w:pPr>
          </w:p>
          <w:p w14:paraId="14362497" w14:textId="77777777" w:rsidR="00601695" w:rsidRDefault="003C3E01" w:rsidP="002D5EAA">
            <w:pPr>
              <w:spacing w:after="0" w:line="240" w:lineRule="auto"/>
              <w:rPr>
                <w:rFonts w:ascii="Calibri" w:hAnsi="Calibri"/>
              </w:rPr>
            </w:pPr>
            <w:r w:rsidRPr="006477DB">
              <w:rPr>
                <w:rFonts w:ascii="Calibri" w:hAnsi="Calibri"/>
                <w:u w:val="single"/>
              </w:rPr>
              <w:t>Compared to no treatment</w:t>
            </w:r>
            <w:r w:rsidR="00CE2A70">
              <w:rPr>
                <w:rFonts w:ascii="Calibri" w:hAnsi="Calibri"/>
                <w:u w:val="single"/>
              </w:rPr>
              <w:t xml:space="preserve"> (adult patients with ALS)</w:t>
            </w:r>
            <w:r>
              <w:rPr>
                <w:rFonts w:ascii="Calibri" w:hAnsi="Calibri"/>
              </w:rPr>
              <w:t xml:space="preserve">: </w:t>
            </w:r>
          </w:p>
          <w:p w14:paraId="1A9930BD" w14:textId="2239887F" w:rsidR="003C3E01" w:rsidRDefault="00601695" w:rsidP="002D5EAA">
            <w:pPr>
              <w:spacing w:after="0" w:line="240" w:lineRule="auto"/>
              <w:rPr>
                <w:rFonts w:ascii="Calibri" w:hAnsi="Calibri"/>
              </w:rPr>
            </w:pPr>
            <w:r>
              <w:rPr>
                <w:rFonts w:ascii="Calibri" w:hAnsi="Calibri"/>
              </w:rPr>
              <w:t>N</w:t>
            </w:r>
            <w:r w:rsidR="003C3E01">
              <w:t>o statistically significant differences in day or night cough or dyspnea</w:t>
            </w:r>
          </w:p>
          <w:p w14:paraId="01EF7BE9" w14:textId="77777777" w:rsidR="003C3E01" w:rsidRPr="007A1008" w:rsidRDefault="003C3E01" w:rsidP="002D5EAA">
            <w:pPr>
              <w:spacing w:after="0" w:line="240" w:lineRule="auto"/>
              <w:rPr>
                <w:rFonts w:ascii="Calibri" w:eastAsia="Calibri" w:hAnsi="Calibri" w:cs="Arial"/>
              </w:rPr>
            </w:pPr>
            <w:r w:rsidRPr="009D1392">
              <w:rPr>
                <w:rFonts w:ascii="Calibri" w:hAnsi="Calibri"/>
              </w:rPr>
              <w:t>●◌◌◌</w:t>
            </w:r>
            <w:r w:rsidRPr="007A1008">
              <w:rPr>
                <w:rFonts w:ascii="Calibri" w:eastAsia="Calibri" w:hAnsi="Calibri" w:cs="Arial"/>
              </w:rPr>
              <w:t xml:space="preserve"> </w:t>
            </w:r>
            <w:r w:rsidRPr="007A1008">
              <w:rPr>
                <w:rFonts w:ascii="Calibri" w:eastAsia="Calibri" w:hAnsi="Calibri" w:cs="Arial"/>
                <w:i/>
              </w:rPr>
              <w:t>(</w:t>
            </w:r>
            <w:r>
              <w:rPr>
                <w:rFonts w:ascii="Calibri" w:eastAsia="Calibri" w:hAnsi="Calibri" w:cs="Arial"/>
                <w:i/>
              </w:rPr>
              <w:t xml:space="preserve">very low confidence, based on 1 RCT, n </w:t>
            </w:r>
            <w:r w:rsidRPr="007A1008">
              <w:rPr>
                <w:rFonts w:ascii="Calibri" w:eastAsia="Calibri" w:hAnsi="Calibri" w:cs="Arial"/>
                <w:i/>
              </w:rPr>
              <w:t>=</w:t>
            </w:r>
            <w:r>
              <w:rPr>
                <w:rFonts w:ascii="Calibri" w:eastAsia="Calibri" w:hAnsi="Calibri" w:cs="Arial"/>
                <w:i/>
              </w:rPr>
              <w:t xml:space="preserve"> 35</w:t>
            </w:r>
            <w:r w:rsidRPr="007A1008">
              <w:rPr>
                <w:rFonts w:ascii="Calibri" w:eastAsia="Calibri" w:hAnsi="Calibri" w:cs="Arial"/>
                <w:i/>
              </w:rPr>
              <w:t>)</w:t>
            </w:r>
          </w:p>
        </w:tc>
        <w:tc>
          <w:tcPr>
            <w:tcW w:w="2033" w:type="dxa"/>
            <w:vMerge/>
            <w:shd w:val="clear" w:color="auto" w:fill="auto"/>
          </w:tcPr>
          <w:p w14:paraId="5B71446D" w14:textId="77777777" w:rsidR="003C3E01" w:rsidRPr="007A1008" w:rsidRDefault="003C3E01" w:rsidP="002D5EAA">
            <w:pPr>
              <w:spacing w:after="0" w:line="240" w:lineRule="auto"/>
              <w:rPr>
                <w:rFonts w:ascii="Calibri" w:eastAsia="Calibri" w:hAnsi="Calibri" w:cs="Arial"/>
              </w:rPr>
            </w:pPr>
          </w:p>
        </w:tc>
        <w:tc>
          <w:tcPr>
            <w:tcW w:w="1837" w:type="dxa"/>
            <w:vMerge/>
            <w:shd w:val="clear" w:color="auto" w:fill="auto"/>
          </w:tcPr>
          <w:p w14:paraId="235AFEF1" w14:textId="77777777" w:rsidR="003C3E01" w:rsidRPr="007A1008" w:rsidRDefault="003C3E01" w:rsidP="002D5EAA">
            <w:pPr>
              <w:spacing w:after="0" w:line="240" w:lineRule="auto"/>
              <w:rPr>
                <w:rFonts w:ascii="Calibri" w:eastAsia="Calibri" w:hAnsi="Calibri" w:cs="Arial"/>
              </w:rPr>
            </w:pPr>
          </w:p>
        </w:tc>
        <w:tc>
          <w:tcPr>
            <w:tcW w:w="2070" w:type="dxa"/>
            <w:vMerge/>
            <w:shd w:val="clear" w:color="auto" w:fill="auto"/>
          </w:tcPr>
          <w:p w14:paraId="74F318E6" w14:textId="77777777" w:rsidR="003C3E01" w:rsidRPr="007A1008" w:rsidRDefault="003C3E01" w:rsidP="002D5EAA">
            <w:pPr>
              <w:spacing w:after="0" w:line="240" w:lineRule="auto"/>
              <w:rPr>
                <w:rFonts w:ascii="Calibri" w:eastAsia="Calibri" w:hAnsi="Calibri" w:cs="Arial"/>
              </w:rPr>
            </w:pPr>
          </w:p>
        </w:tc>
      </w:tr>
      <w:tr w:rsidR="00494065" w:rsidRPr="007A1008" w14:paraId="2A25DBAE" w14:textId="77777777" w:rsidTr="002D5EAA">
        <w:trPr>
          <w:cantSplit/>
          <w:trHeight w:val="85"/>
        </w:trPr>
        <w:tc>
          <w:tcPr>
            <w:tcW w:w="13140" w:type="dxa"/>
            <w:gridSpan w:val="5"/>
            <w:tcBorders>
              <w:left w:val="nil"/>
              <w:right w:val="nil"/>
            </w:tcBorders>
            <w:shd w:val="clear" w:color="auto" w:fill="auto"/>
          </w:tcPr>
          <w:p w14:paraId="36CB23B6" w14:textId="77777777" w:rsidR="00494065" w:rsidRPr="00106CA3" w:rsidRDefault="00494065" w:rsidP="002D5EAA">
            <w:pPr>
              <w:spacing w:after="0" w:line="240" w:lineRule="auto"/>
              <w:rPr>
                <w:rFonts w:ascii="Calibri" w:eastAsia="Calibri" w:hAnsi="Calibri" w:cs="Arial"/>
                <w:b/>
                <w:sz w:val="16"/>
                <w:szCs w:val="16"/>
              </w:rPr>
            </w:pPr>
          </w:p>
        </w:tc>
      </w:tr>
      <w:tr w:rsidR="00494065" w:rsidRPr="007A1008" w14:paraId="2A5C435A" w14:textId="77777777" w:rsidTr="00962B08">
        <w:trPr>
          <w:cantSplit/>
          <w:trHeight w:val="809"/>
        </w:trPr>
        <w:tc>
          <w:tcPr>
            <w:tcW w:w="13140" w:type="dxa"/>
            <w:gridSpan w:val="5"/>
            <w:shd w:val="clear" w:color="auto" w:fill="E7EFF9"/>
          </w:tcPr>
          <w:p w14:paraId="09695E88" w14:textId="0CB73536" w:rsidR="00494065" w:rsidRPr="006A0199" w:rsidRDefault="00494065" w:rsidP="002D5EAA">
            <w:pPr>
              <w:spacing w:after="0" w:line="240" w:lineRule="auto"/>
              <w:rPr>
                <w:rFonts w:ascii="Calibri" w:eastAsia="Calibri" w:hAnsi="Calibri" w:cs="Arial"/>
                <w:b/>
              </w:rPr>
            </w:pPr>
            <w:r w:rsidRPr="007A1008">
              <w:rPr>
                <w:rFonts w:ascii="Calibri" w:eastAsia="Calibri" w:hAnsi="Calibri" w:cs="Arial"/>
                <w:b/>
              </w:rPr>
              <w:t xml:space="preserve">Balance of benefits and harms: </w:t>
            </w:r>
            <w:r>
              <w:rPr>
                <w:rFonts w:ascii="Calibri" w:eastAsia="Calibri" w:hAnsi="Calibri" w:cs="Arial"/>
              </w:rPr>
              <w:t>There is no evidence that hi</w:t>
            </w:r>
            <w:r w:rsidR="00354EEC">
              <w:rPr>
                <w:rFonts w:ascii="Calibri" w:eastAsia="Calibri" w:hAnsi="Calibri" w:cs="Arial"/>
              </w:rPr>
              <w:t>gh-frequency</w:t>
            </w:r>
            <w:r>
              <w:rPr>
                <w:rFonts w:ascii="Calibri" w:eastAsia="Calibri" w:hAnsi="Calibri" w:cs="Arial"/>
              </w:rPr>
              <w:t xml:space="preserve"> chest wall oscillation devices improve key outcomes </w:t>
            </w:r>
            <w:r w:rsidR="00962B08">
              <w:rPr>
                <w:rFonts w:ascii="Calibri" w:eastAsia="Calibri" w:hAnsi="Calibri" w:cs="Arial"/>
              </w:rPr>
              <w:t>compared to standard treatments for patients</w:t>
            </w:r>
            <w:r>
              <w:rPr>
                <w:rFonts w:ascii="Calibri" w:eastAsia="Calibri" w:hAnsi="Calibri" w:cs="Arial"/>
              </w:rPr>
              <w:t xml:space="preserve"> </w:t>
            </w:r>
            <w:r w:rsidR="00962B08">
              <w:rPr>
                <w:rFonts w:ascii="Calibri" w:eastAsia="Calibri" w:hAnsi="Calibri" w:cs="Arial"/>
              </w:rPr>
              <w:t xml:space="preserve">with </w:t>
            </w:r>
            <w:r>
              <w:rPr>
                <w:rFonts w:ascii="Calibri" w:eastAsia="Calibri" w:hAnsi="Calibri" w:cs="Arial"/>
              </w:rPr>
              <w:t xml:space="preserve">neuromuscular disease resulting in chronic lung disease. </w:t>
            </w:r>
            <w:r w:rsidR="009E6925">
              <w:rPr>
                <w:rFonts w:ascii="Calibri" w:eastAsia="Calibri" w:hAnsi="Calibri" w:cs="Arial"/>
              </w:rPr>
              <w:t xml:space="preserve">Expert testimony indicates </w:t>
            </w:r>
            <w:r w:rsidR="00E301F8">
              <w:rPr>
                <w:rFonts w:ascii="Calibri" w:eastAsia="Calibri" w:hAnsi="Calibri" w:cs="Arial"/>
              </w:rPr>
              <w:t xml:space="preserve">patients with neuromuscular conditions </w:t>
            </w:r>
            <w:r w:rsidR="009E6925">
              <w:rPr>
                <w:rFonts w:ascii="Calibri" w:eastAsia="Calibri" w:hAnsi="Calibri" w:cs="Arial"/>
              </w:rPr>
              <w:t xml:space="preserve">and </w:t>
            </w:r>
            <w:r w:rsidR="00E301F8">
              <w:rPr>
                <w:rFonts w:ascii="Calibri" w:eastAsia="Calibri" w:hAnsi="Calibri" w:cs="Arial"/>
              </w:rPr>
              <w:t>evidence of chronic airway infection</w:t>
            </w:r>
            <w:r w:rsidR="009E6925">
              <w:rPr>
                <w:rFonts w:ascii="Calibri" w:eastAsia="Calibri" w:hAnsi="Calibri" w:cs="Arial"/>
              </w:rPr>
              <w:t xml:space="preserve"> benefit from these devices</w:t>
            </w:r>
            <w:r w:rsidR="00E301F8">
              <w:rPr>
                <w:rFonts w:ascii="Calibri" w:eastAsia="Calibri" w:hAnsi="Calibri" w:cs="Arial"/>
              </w:rPr>
              <w:t xml:space="preserve">. </w:t>
            </w:r>
            <w:r>
              <w:rPr>
                <w:rFonts w:ascii="Calibri" w:eastAsia="Calibri" w:hAnsi="Calibri" w:cs="Arial"/>
              </w:rPr>
              <w:t xml:space="preserve">There are few </w:t>
            </w:r>
            <w:r w:rsidR="00536952">
              <w:rPr>
                <w:rFonts w:ascii="Calibri" w:eastAsia="Calibri" w:hAnsi="Calibri" w:cs="Arial"/>
              </w:rPr>
              <w:t xml:space="preserve">device-related </w:t>
            </w:r>
            <w:r>
              <w:rPr>
                <w:rFonts w:ascii="Calibri" w:eastAsia="Calibri" w:hAnsi="Calibri" w:cs="Arial"/>
              </w:rPr>
              <w:t>harms to hi</w:t>
            </w:r>
            <w:r w:rsidR="00354EEC">
              <w:rPr>
                <w:rFonts w:ascii="Calibri" w:eastAsia="Calibri" w:hAnsi="Calibri" w:cs="Arial"/>
              </w:rPr>
              <w:t>gh-frequency</w:t>
            </w:r>
            <w:r>
              <w:rPr>
                <w:rFonts w:ascii="Calibri" w:eastAsia="Calibri" w:hAnsi="Calibri" w:cs="Arial"/>
              </w:rPr>
              <w:t xml:space="preserve"> chest wall oscillation devices.</w:t>
            </w:r>
          </w:p>
        </w:tc>
      </w:tr>
      <w:tr w:rsidR="00494065" w:rsidRPr="007A1008" w14:paraId="356A5FF7" w14:textId="77777777" w:rsidTr="009717A0">
        <w:trPr>
          <w:cantSplit/>
          <w:trHeight w:val="629"/>
        </w:trPr>
        <w:tc>
          <w:tcPr>
            <w:tcW w:w="13140" w:type="dxa"/>
            <w:gridSpan w:val="5"/>
            <w:shd w:val="clear" w:color="auto" w:fill="E7EFF9"/>
          </w:tcPr>
          <w:p w14:paraId="30909329" w14:textId="1ADB9000" w:rsidR="00494065" w:rsidRPr="007A1008" w:rsidRDefault="00494065" w:rsidP="002D5EAA">
            <w:pPr>
              <w:spacing w:after="0" w:line="240" w:lineRule="auto"/>
              <w:rPr>
                <w:rFonts w:ascii="Calibri" w:eastAsia="Calibri" w:hAnsi="Calibri" w:cs="Arial"/>
                <w:b/>
              </w:rPr>
            </w:pPr>
            <w:r w:rsidRPr="007A1008">
              <w:rPr>
                <w:rFonts w:ascii="Calibri" w:eastAsia="Calibri" w:hAnsi="Calibri" w:cs="Arial"/>
                <w:b/>
              </w:rPr>
              <w:t>Rationale:</w:t>
            </w:r>
            <w:r w:rsidRPr="007A1008">
              <w:rPr>
                <w:rFonts w:ascii="Calibri" w:eastAsia="Calibri" w:hAnsi="Calibri" w:cs="Arial"/>
              </w:rPr>
              <w:t xml:space="preserve"> </w:t>
            </w:r>
            <w:r w:rsidR="00962B08">
              <w:rPr>
                <w:rFonts w:ascii="Calibri" w:eastAsia="Calibri" w:hAnsi="Calibri" w:cs="Arial"/>
              </w:rPr>
              <w:t>T</w:t>
            </w:r>
            <w:r>
              <w:rPr>
                <w:rFonts w:ascii="Calibri" w:eastAsia="Calibri" w:hAnsi="Calibri" w:cs="Arial"/>
              </w:rPr>
              <w:t xml:space="preserve">here is insufficient comparative evidence of </w:t>
            </w:r>
            <w:r w:rsidRPr="00214F8D">
              <w:rPr>
                <w:rFonts w:ascii="Calibri" w:eastAsia="Calibri" w:hAnsi="Calibri" w:cs="Arial"/>
              </w:rPr>
              <w:t xml:space="preserve">benefit for this </w:t>
            </w:r>
            <w:r w:rsidR="00962B08" w:rsidRPr="00214F8D">
              <w:rPr>
                <w:rFonts w:ascii="Calibri" w:eastAsia="Calibri" w:hAnsi="Calibri" w:cs="Arial"/>
              </w:rPr>
              <w:t>population</w:t>
            </w:r>
            <w:r w:rsidR="00E301F8" w:rsidRPr="00214F8D">
              <w:rPr>
                <w:rFonts w:ascii="Calibri" w:eastAsia="Calibri" w:hAnsi="Calibri" w:cs="Arial"/>
              </w:rPr>
              <w:t>, but</w:t>
            </w:r>
            <w:r w:rsidR="00ED09FE" w:rsidRPr="00214F8D">
              <w:rPr>
                <w:rFonts w:ascii="Calibri" w:eastAsia="Calibri" w:hAnsi="Calibri" w:cs="Arial"/>
              </w:rPr>
              <w:t xml:space="preserve"> based on expert opinion</w:t>
            </w:r>
            <w:r w:rsidR="00742760" w:rsidRPr="00214F8D">
              <w:rPr>
                <w:rFonts w:ascii="Calibri" w:eastAsia="Calibri" w:hAnsi="Calibri" w:cs="Arial"/>
              </w:rPr>
              <w:t xml:space="preserve"> and the potential to reduce exacerbations</w:t>
            </w:r>
            <w:r w:rsidR="0090006A" w:rsidRPr="00214F8D">
              <w:rPr>
                <w:rFonts w:ascii="Calibri" w:eastAsia="Calibri" w:hAnsi="Calibri" w:cs="Arial"/>
              </w:rPr>
              <w:t>/costs</w:t>
            </w:r>
            <w:r w:rsidR="00ED09FE" w:rsidRPr="00214F8D">
              <w:rPr>
                <w:rFonts w:ascii="Calibri" w:eastAsia="Calibri" w:hAnsi="Calibri" w:cs="Arial"/>
              </w:rPr>
              <w:t>,</w:t>
            </w:r>
            <w:r w:rsidR="00E301F8" w:rsidRPr="00214F8D">
              <w:rPr>
                <w:rFonts w:ascii="Calibri" w:eastAsia="Calibri" w:hAnsi="Calibri" w:cs="Arial"/>
              </w:rPr>
              <w:t xml:space="preserve"> </w:t>
            </w:r>
            <w:r w:rsidR="00ED09FE" w:rsidRPr="00214F8D">
              <w:rPr>
                <w:rFonts w:ascii="Calibri" w:eastAsia="Calibri" w:hAnsi="Calibri" w:cs="Arial"/>
              </w:rPr>
              <w:t xml:space="preserve">we recommend coverage for patients with neuromuscular disease </w:t>
            </w:r>
            <w:r w:rsidR="00F57438" w:rsidRPr="00214F8D">
              <w:rPr>
                <w:rFonts w:ascii="Calibri" w:eastAsia="Calibri" w:hAnsi="Calibri" w:cs="Arial"/>
              </w:rPr>
              <w:t>when there is evidence of chronic airway infection</w:t>
            </w:r>
            <w:r w:rsidR="00962B08" w:rsidRPr="00214F8D">
              <w:rPr>
                <w:rFonts w:ascii="Calibri" w:eastAsia="Calibri" w:hAnsi="Calibri" w:cs="Arial"/>
              </w:rPr>
              <w:t xml:space="preserve">. </w:t>
            </w:r>
            <w:r w:rsidR="000B0388" w:rsidRPr="00214F8D">
              <w:rPr>
                <w:rFonts w:ascii="Calibri" w:eastAsia="Calibri" w:hAnsi="Calibri" w:cs="Arial"/>
              </w:rPr>
              <w:t>The disparate types of diseases and small populations within each disease make high</w:t>
            </w:r>
            <w:r w:rsidR="009E6925" w:rsidRPr="00214F8D">
              <w:rPr>
                <w:rFonts w:ascii="Calibri" w:eastAsia="Calibri" w:hAnsi="Calibri" w:cs="Arial"/>
              </w:rPr>
              <w:t>-</w:t>
            </w:r>
            <w:r w:rsidR="000B0388" w:rsidRPr="00214F8D">
              <w:rPr>
                <w:rFonts w:ascii="Calibri" w:eastAsia="Calibri" w:hAnsi="Calibri" w:cs="Arial"/>
              </w:rPr>
              <w:t xml:space="preserve">quality studies difficult to conduct and are not anticipated to be forthcoming. </w:t>
            </w:r>
            <w:r w:rsidR="00962B08" w:rsidRPr="00214F8D">
              <w:rPr>
                <w:rFonts w:ascii="Calibri" w:eastAsia="Calibri" w:hAnsi="Calibri" w:cs="Arial"/>
              </w:rPr>
              <w:t xml:space="preserve">The recommendation is weak because of our </w:t>
            </w:r>
            <w:r w:rsidR="009717A0" w:rsidRPr="00214F8D">
              <w:rPr>
                <w:rFonts w:ascii="Calibri" w:eastAsia="Calibri" w:hAnsi="Calibri" w:cs="Arial"/>
              </w:rPr>
              <w:t xml:space="preserve">very </w:t>
            </w:r>
            <w:r w:rsidR="00962B08" w:rsidRPr="00214F8D">
              <w:rPr>
                <w:rFonts w:ascii="Calibri" w:eastAsia="Calibri" w:hAnsi="Calibri" w:cs="Arial"/>
              </w:rPr>
              <w:t xml:space="preserve">low </w:t>
            </w:r>
            <w:r w:rsidR="00962B08">
              <w:rPr>
                <w:rFonts w:ascii="Calibri" w:eastAsia="Calibri" w:hAnsi="Calibri" w:cs="Arial"/>
              </w:rPr>
              <w:t>confidence in the available evidence</w:t>
            </w:r>
            <w:r>
              <w:rPr>
                <w:rFonts w:ascii="Calibri" w:eastAsia="Calibri" w:hAnsi="Calibri" w:cs="Arial"/>
              </w:rPr>
              <w:t>.</w:t>
            </w:r>
          </w:p>
        </w:tc>
      </w:tr>
      <w:tr w:rsidR="00494065" w:rsidRPr="007A1008" w14:paraId="3B905FE7" w14:textId="77777777" w:rsidTr="00CB30F9">
        <w:trPr>
          <w:cantSplit/>
          <w:trHeight w:val="1340"/>
        </w:trPr>
        <w:tc>
          <w:tcPr>
            <w:tcW w:w="13140" w:type="dxa"/>
            <w:gridSpan w:val="5"/>
            <w:shd w:val="clear" w:color="auto" w:fill="E7EFF9"/>
          </w:tcPr>
          <w:p w14:paraId="1054B076" w14:textId="793CA655" w:rsidR="000B0388" w:rsidRPr="00214F8D" w:rsidRDefault="00494065" w:rsidP="000B0388">
            <w:pPr>
              <w:pStyle w:val="CGBoxText"/>
              <w:rPr>
                <w:color w:val="auto"/>
              </w:rPr>
            </w:pPr>
            <w:r w:rsidRPr="00214F8D">
              <w:rPr>
                <w:b/>
                <w:color w:val="auto"/>
              </w:rPr>
              <w:lastRenderedPageBreak/>
              <w:t>Recommendation:</w:t>
            </w:r>
            <w:r w:rsidRPr="00214F8D">
              <w:rPr>
                <w:color w:val="auto"/>
              </w:rPr>
              <w:t xml:space="preserve"> </w:t>
            </w:r>
            <w:r w:rsidR="000B0388" w:rsidRPr="00214F8D">
              <w:rPr>
                <w:color w:val="auto"/>
              </w:rPr>
              <w:t xml:space="preserve">High-frequency chest wall oscillation devices </w:t>
            </w:r>
            <w:r w:rsidR="000B0388" w:rsidRPr="00214F8D" w:rsidDel="005B6FDE">
              <w:rPr>
                <w:color w:val="auto"/>
              </w:rPr>
              <w:t xml:space="preserve">are </w:t>
            </w:r>
            <w:r w:rsidR="000B0388" w:rsidRPr="00214F8D">
              <w:rPr>
                <w:color w:val="auto"/>
              </w:rPr>
              <w:t>recommended for coverage for patients with neuromuscular disease resulting in chronic lung disease (</w:t>
            </w:r>
            <w:r w:rsidR="000B0388" w:rsidRPr="00214F8D">
              <w:rPr>
                <w:i/>
                <w:iCs/>
                <w:color w:val="auto"/>
              </w:rPr>
              <w:t>weak recommendation)</w:t>
            </w:r>
            <w:r w:rsidR="000B0388" w:rsidRPr="00214F8D">
              <w:rPr>
                <w:color w:val="auto"/>
              </w:rPr>
              <w:t xml:space="preserve"> when there is evidence of chronic lung infection, despite either:</w:t>
            </w:r>
          </w:p>
          <w:p w14:paraId="1C025711" w14:textId="519021B8" w:rsidR="000B0388" w:rsidRPr="00214F8D" w:rsidRDefault="00A40B45" w:rsidP="00CB30F9">
            <w:pPr>
              <w:pStyle w:val="CGBoxText"/>
              <w:numPr>
                <w:ilvl w:val="0"/>
                <w:numId w:val="41"/>
              </w:numPr>
              <w:ind w:left="720"/>
              <w:rPr>
                <w:i/>
                <w:color w:val="auto"/>
              </w:rPr>
            </w:pPr>
            <w:r w:rsidRPr="00214F8D">
              <w:rPr>
                <w:color w:val="auto"/>
              </w:rPr>
              <w:t xml:space="preserve">having received </w:t>
            </w:r>
            <w:r w:rsidR="000B0388" w:rsidRPr="00214F8D">
              <w:rPr>
                <w:color w:val="auto"/>
              </w:rPr>
              <w:t xml:space="preserve">chest physiotherapy and positive expiratory pressure </w:t>
            </w:r>
            <w:r w:rsidR="00626E54" w:rsidRPr="00214F8D">
              <w:rPr>
                <w:color w:val="auto"/>
              </w:rPr>
              <w:t>therapy,</w:t>
            </w:r>
            <w:r w:rsidR="000B0388" w:rsidRPr="00214F8D">
              <w:rPr>
                <w:color w:val="auto"/>
              </w:rPr>
              <w:t xml:space="preserve"> OR</w:t>
            </w:r>
          </w:p>
          <w:p w14:paraId="4CF058ED" w14:textId="26B2775B" w:rsidR="00494065" w:rsidRPr="000B0388" w:rsidRDefault="000B0388" w:rsidP="00CB30F9">
            <w:pPr>
              <w:pStyle w:val="CGBoxText"/>
              <w:numPr>
                <w:ilvl w:val="0"/>
                <w:numId w:val="41"/>
              </w:numPr>
              <w:ind w:left="720"/>
              <w:rPr>
                <w:color w:val="0070C0"/>
                <w:u w:val="single"/>
              </w:rPr>
            </w:pPr>
            <w:r w:rsidRPr="00214F8D">
              <w:rPr>
                <w:color w:val="auto"/>
              </w:rPr>
              <w:t xml:space="preserve">documentation that </w:t>
            </w:r>
            <w:r w:rsidR="0015443B">
              <w:rPr>
                <w:color w:val="auto"/>
              </w:rPr>
              <w:t>such therapies</w:t>
            </w:r>
            <w:r w:rsidRPr="00214F8D">
              <w:rPr>
                <w:color w:val="auto"/>
              </w:rPr>
              <w:t xml:space="preserve"> are not tolerated</w:t>
            </w:r>
            <w:r w:rsidR="0090006A" w:rsidRPr="00214F8D">
              <w:rPr>
                <w:color w:val="auto"/>
              </w:rPr>
              <w:t>, contraindicated,</w:t>
            </w:r>
            <w:r w:rsidRPr="00214F8D">
              <w:rPr>
                <w:color w:val="auto"/>
              </w:rPr>
              <w:t xml:space="preserve"> </w:t>
            </w:r>
            <w:r w:rsidR="00B6072F">
              <w:rPr>
                <w:color w:val="auto"/>
              </w:rPr>
              <w:t xml:space="preserve">not effective, </w:t>
            </w:r>
            <w:r w:rsidRPr="00214F8D">
              <w:rPr>
                <w:color w:val="auto"/>
              </w:rPr>
              <w:t>or not available (</w:t>
            </w:r>
            <w:r w:rsidR="00B6072F">
              <w:rPr>
                <w:color w:val="auto"/>
              </w:rPr>
              <w:t>for example</w:t>
            </w:r>
            <w:r w:rsidRPr="00214F8D">
              <w:rPr>
                <w:color w:val="auto"/>
              </w:rPr>
              <w:t>, inability of a caregiver to perform chest physiotherapy).</w:t>
            </w:r>
          </w:p>
        </w:tc>
      </w:tr>
    </w:tbl>
    <w:p w14:paraId="2CBBF8A9" w14:textId="4A6DEDCC" w:rsidR="00494065" w:rsidRDefault="0023382E" w:rsidP="002D5EAA">
      <w:pPr>
        <w:pStyle w:val="Footer"/>
        <w:sectPr w:rsidR="00494065" w:rsidSect="002D5EAA">
          <w:type w:val="continuous"/>
          <w:pgSz w:w="15840" w:h="12240" w:orient="landscape"/>
          <w:pgMar w:top="1440" w:right="1440" w:bottom="1440" w:left="1440" w:header="720" w:footer="432" w:gutter="0"/>
          <w:cols w:space="720"/>
          <w:docGrid w:linePitch="360"/>
        </w:sectPr>
      </w:pPr>
      <w:r w:rsidRPr="007E2C5F">
        <w:rPr>
          <w:sz w:val="20"/>
          <w:szCs w:val="22"/>
        </w:rPr>
        <w:t>Note</w:t>
      </w:r>
      <w:r>
        <w:rPr>
          <w:sz w:val="20"/>
          <w:szCs w:val="22"/>
        </w:rPr>
        <w:t>.</w:t>
      </w:r>
      <w:r w:rsidRPr="007E2C5F">
        <w:rPr>
          <w:sz w:val="20"/>
          <w:szCs w:val="22"/>
        </w:rPr>
        <w:t xml:space="preserve"> GRADE table elements are described in Appendix A. A GRADE Evidence Profile is in Appendix B.</w:t>
      </w:r>
      <w:r w:rsidRPr="007E2C5F">
        <w:rPr>
          <w:sz w:val="20"/>
          <w:szCs w:val="22"/>
        </w:rPr>
        <w:br/>
      </w:r>
      <w:r w:rsidRPr="00CB30F9">
        <w:rPr>
          <w:sz w:val="20"/>
          <w:szCs w:val="20"/>
        </w:rPr>
        <w:t>Abbreviations. ALS: amyotrophic lateral sclerosis; GRADE: Grading of Recommendations, Assessment, Development, and Evaluation methodology; RCT: randomized controlled trial</w:t>
      </w:r>
      <w:r>
        <w:rPr>
          <w:bCs/>
        </w:rPr>
        <w:t>.</w:t>
      </w:r>
    </w:p>
    <w:p w14:paraId="423F39C5" w14:textId="77777777" w:rsidR="00494065" w:rsidRDefault="00494065" w:rsidP="007F0F70">
      <w:pPr>
        <w:pStyle w:val="Heading1"/>
      </w:pPr>
      <w:bookmarkStart w:id="22" w:name="_Toc72335266"/>
      <w:bookmarkStart w:id="23" w:name="_Toc72849361"/>
      <w:bookmarkStart w:id="24" w:name="_Toc87358436"/>
      <w:r>
        <w:lastRenderedPageBreak/>
        <w:t>Background</w:t>
      </w:r>
      <w:bookmarkEnd w:id="22"/>
      <w:bookmarkEnd w:id="23"/>
      <w:bookmarkEnd w:id="24"/>
    </w:p>
    <w:p w14:paraId="0E981442" w14:textId="68DC3B61" w:rsidR="00494065" w:rsidRDefault="00A220A2" w:rsidP="002D5EAA">
      <w:r>
        <w:t>Individuals</w:t>
      </w:r>
      <w:r w:rsidR="00494065">
        <w:t xml:space="preserve"> with impaired airway clearance are unable to effectively clear mucus from their airways.</w:t>
      </w:r>
      <w:r w:rsidR="00494065" w:rsidRPr="00574ECA">
        <w:rPr>
          <w:noProof/>
          <w:vertAlign w:val="superscript"/>
        </w:rPr>
        <w:t>1</w:t>
      </w:r>
      <w:r w:rsidR="00494065">
        <w:t xml:space="preserve"> Hi</w:t>
      </w:r>
      <w:r w:rsidR="00354EEC">
        <w:t>gh-frequency</w:t>
      </w:r>
      <w:r w:rsidR="00494065">
        <w:t xml:space="preserve"> chest wall oscillation </w:t>
      </w:r>
      <w:r w:rsidR="00240605">
        <w:t xml:space="preserve">(HFCWO) </w:t>
      </w:r>
      <w:r w:rsidR="00494065">
        <w:t xml:space="preserve">devices are designed to help </w:t>
      </w:r>
      <w:r w:rsidR="00864C40">
        <w:t>those</w:t>
      </w:r>
      <w:r w:rsidR="00494065">
        <w:t xml:space="preserve"> with impaired airway clearance clear mucus from their airways. Impaired airway clearance can be a characteristic of </w:t>
      </w:r>
      <w:r w:rsidR="0029564F">
        <w:t>several</w:t>
      </w:r>
      <w:r w:rsidR="00864C40">
        <w:t xml:space="preserve"> </w:t>
      </w:r>
      <w:r w:rsidR="00494065">
        <w:t xml:space="preserve">respiratory disorders and neuromuscular diseases, including: </w:t>
      </w:r>
    </w:p>
    <w:p w14:paraId="7B4DEBB5" w14:textId="63DEEEC6" w:rsidR="00494065" w:rsidRDefault="00494065" w:rsidP="002D5EAA">
      <w:pPr>
        <w:pStyle w:val="ListParagraph"/>
        <w:numPr>
          <w:ilvl w:val="0"/>
          <w:numId w:val="21"/>
        </w:numPr>
      </w:pPr>
      <w:r>
        <w:t>Chronic obstructive pulmonary disorder (COPD)</w:t>
      </w:r>
    </w:p>
    <w:p w14:paraId="775886BF" w14:textId="7A7B0967" w:rsidR="00494065" w:rsidRDefault="00494065" w:rsidP="002D5EAA">
      <w:pPr>
        <w:pStyle w:val="ListParagraph"/>
        <w:numPr>
          <w:ilvl w:val="0"/>
          <w:numId w:val="21"/>
        </w:numPr>
      </w:pPr>
      <w:r>
        <w:t>Cystic fibrosis</w:t>
      </w:r>
    </w:p>
    <w:p w14:paraId="1A36414E" w14:textId="5D24AEB3" w:rsidR="00494065" w:rsidRDefault="00494065" w:rsidP="002D5EAA">
      <w:pPr>
        <w:pStyle w:val="ListParagraph"/>
        <w:numPr>
          <w:ilvl w:val="0"/>
          <w:numId w:val="21"/>
        </w:numPr>
      </w:pPr>
      <w:r>
        <w:t>Bronchiectasis, which is characterized by chronic cough, bronchial wall thickening, permanent expansion of the airway, and overproduction of thick mucus</w:t>
      </w:r>
    </w:p>
    <w:p w14:paraId="2E7400D0" w14:textId="634EF3A6" w:rsidR="00494065" w:rsidRDefault="00494065" w:rsidP="002D5EAA">
      <w:pPr>
        <w:pStyle w:val="ListParagraph"/>
        <w:numPr>
          <w:ilvl w:val="0"/>
          <w:numId w:val="21"/>
        </w:numPr>
      </w:pPr>
      <w:r>
        <w:t>Multiple sclerosis</w:t>
      </w:r>
    </w:p>
    <w:p w14:paraId="334FFD3C" w14:textId="66E61359" w:rsidR="00494065" w:rsidRDefault="00494065" w:rsidP="002D5EAA">
      <w:pPr>
        <w:pStyle w:val="ListParagraph"/>
        <w:numPr>
          <w:ilvl w:val="0"/>
          <w:numId w:val="21"/>
        </w:numPr>
      </w:pPr>
      <w:r>
        <w:t>Muscular dystrophy</w:t>
      </w:r>
    </w:p>
    <w:p w14:paraId="1EB2C030" w14:textId="587F4A98" w:rsidR="00494065" w:rsidRDefault="00494065" w:rsidP="002D5EAA">
      <w:pPr>
        <w:pStyle w:val="ListParagraph"/>
        <w:numPr>
          <w:ilvl w:val="0"/>
          <w:numId w:val="21"/>
        </w:numPr>
      </w:pPr>
      <w:r>
        <w:t>S</w:t>
      </w:r>
      <w:r w:rsidRPr="00827768">
        <w:t>pinal muscular atrophy</w:t>
      </w:r>
      <w:r>
        <w:t xml:space="preserve"> </w:t>
      </w:r>
    </w:p>
    <w:p w14:paraId="4A83BFAA" w14:textId="265D8F93" w:rsidR="00494065" w:rsidRDefault="00494065" w:rsidP="002D5EAA">
      <w:pPr>
        <w:pStyle w:val="ListParagraph"/>
        <w:numPr>
          <w:ilvl w:val="0"/>
          <w:numId w:val="21"/>
        </w:numPr>
      </w:pPr>
      <w:r>
        <w:t>A</w:t>
      </w:r>
      <w:r w:rsidRPr="00827768">
        <w:t>myotrophic lateral sclerosis (ALS)</w:t>
      </w:r>
      <w:r>
        <w:t xml:space="preserve"> </w:t>
      </w:r>
    </w:p>
    <w:p w14:paraId="3B5CA883" w14:textId="0489D4C2" w:rsidR="00494065" w:rsidRDefault="00494065" w:rsidP="002D5EAA">
      <w:r>
        <w:t>The Centers for Disease Control and Prevention estimate that 35,000 individuals have been diagnosed with cystic fibrosis</w:t>
      </w:r>
      <w:r w:rsidR="00864C40" w:rsidRPr="00864C40">
        <w:t xml:space="preserve"> </w:t>
      </w:r>
      <w:r w:rsidR="00864C40">
        <w:t>in the US</w:t>
      </w:r>
      <w:r>
        <w:t xml:space="preserve">, and 16 million </w:t>
      </w:r>
      <w:r w:rsidR="00864C40">
        <w:t>US</w:t>
      </w:r>
      <w:r>
        <w:t xml:space="preserve"> individuals are living with COPD.</w:t>
      </w:r>
      <w:r w:rsidRPr="00574ECA">
        <w:rPr>
          <w:noProof/>
          <w:vertAlign w:val="superscript"/>
        </w:rPr>
        <w:t>2,3</w:t>
      </w:r>
      <w:r>
        <w:rPr>
          <w:noProof/>
        </w:rPr>
        <w:t xml:space="preserve"> According to a claims-data analysis using information from 2013, aproximately 340,000 to 522,000 adults receive treatment for bronchiectasis in the US, and about half of patients diagnosed with bronichiectasis have comorbid COPD.</w:t>
      </w:r>
      <w:r w:rsidRPr="00574ECA">
        <w:rPr>
          <w:noProof/>
          <w:vertAlign w:val="superscript"/>
        </w:rPr>
        <w:t>4</w:t>
      </w:r>
    </w:p>
    <w:p w14:paraId="6CB97591" w14:textId="77777777" w:rsidR="00494065" w:rsidRDefault="00494065" w:rsidP="002D5EAA">
      <w:r>
        <w:t>Failing to adequately and regularly clear mucus from the airways can result in exacerbations and worsening of chronic lung disease that require antibiotic treatment, hospitalization and other interventions.</w:t>
      </w:r>
      <w:r w:rsidRPr="00574ECA">
        <w:rPr>
          <w:noProof/>
          <w:vertAlign w:val="superscript"/>
        </w:rPr>
        <w:t>5</w:t>
      </w:r>
      <w:r>
        <w:t xml:space="preserve"> Therefore, a key element of managing these diseases is to keep airways clear of excess secretions. When patients are unable to mobilize mucus secretions on their own, airway clearance techniques for patients with many respiratory disorders can include:</w:t>
      </w:r>
    </w:p>
    <w:p w14:paraId="6FABB752" w14:textId="77777777" w:rsidR="00240605" w:rsidRDefault="00494065" w:rsidP="002D5EAA">
      <w:pPr>
        <w:pStyle w:val="ListParagraph"/>
        <w:numPr>
          <w:ilvl w:val="0"/>
          <w:numId w:val="22"/>
        </w:numPr>
      </w:pPr>
      <w:r>
        <w:t>Chest physiotherapy</w:t>
      </w:r>
    </w:p>
    <w:p w14:paraId="668A60B1" w14:textId="36B3D592" w:rsidR="00240605" w:rsidRDefault="00240605" w:rsidP="00240605">
      <w:pPr>
        <w:pStyle w:val="ListParagraph"/>
        <w:numPr>
          <w:ilvl w:val="1"/>
          <w:numId w:val="22"/>
        </w:numPr>
      </w:pPr>
      <w:r>
        <w:t>C</w:t>
      </w:r>
      <w:r w:rsidR="00494065">
        <w:t>an be administered by respiratory therapists, family members, or other informal caregivers</w:t>
      </w:r>
    </w:p>
    <w:p w14:paraId="6DEB0E90" w14:textId="716E780A" w:rsidR="00240605" w:rsidRDefault="00240605" w:rsidP="00240605">
      <w:pPr>
        <w:pStyle w:val="ListParagraph"/>
        <w:numPr>
          <w:ilvl w:val="1"/>
          <w:numId w:val="22"/>
        </w:numPr>
      </w:pPr>
      <w:r>
        <w:t>H</w:t>
      </w:r>
      <w:r w:rsidR="00494065">
        <w:t>as been the standard of care for first</w:t>
      </w:r>
      <w:r w:rsidR="00864C40">
        <w:t>-</w:t>
      </w:r>
      <w:r w:rsidR="00494065">
        <w:t>line secretion clearance for individuals with excessive or retained mucus.</w:t>
      </w:r>
      <w:r w:rsidR="00494065" w:rsidRPr="00574ECA">
        <w:rPr>
          <w:noProof/>
          <w:vertAlign w:val="superscript"/>
        </w:rPr>
        <w:t>6</w:t>
      </w:r>
      <w:r w:rsidR="00494065">
        <w:t xml:space="preserve"> </w:t>
      </w:r>
    </w:p>
    <w:p w14:paraId="6083E799" w14:textId="5F3FD13B" w:rsidR="00240605" w:rsidRDefault="00240605" w:rsidP="00240605">
      <w:pPr>
        <w:pStyle w:val="ListParagraph"/>
        <w:numPr>
          <w:ilvl w:val="1"/>
          <w:numId w:val="22"/>
        </w:numPr>
      </w:pPr>
      <w:r>
        <w:t>T</w:t>
      </w:r>
      <w:r w:rsidR="00494065">
        <w:t>ypically administered by a trained caregiver over 1 to 3 sessions per day</w:t>
      </w:r>
      <w:r w:rsidR="00864C40">
        <w:t>, each</w:t>
      </w:r>
      <w:r w:rsidR="00494065">
        <w:t xml:space="preserve"> lasting 20 to 30</w:t>
      </w:r>
      <w:r w:rsidR="00864C40">
        <w:t xml:space="preserve"> </w:t>
      </w:r>
      <w:r w:rsidR="00494065">
        <w:t xml:space="preserve">minutes, depending on </w:t>
      </w:r>
      <w:r w:rsidR="00864C40">
        <w:t>disease</w:t>
      </w:r>
      <w:r w:rsidR="00494065">
        <w:t xml:space="preserve"> severity.</w:t>
      </w:r>
      <w:r w:rsidR="00494065" w:rsidRPr="00574ECA">
        <w:rPr>
          <w:noProof/>
          <w:vertAlign w:val="superscript"/>
        </w:rPr>
        <w:t>6</w:t>
      </w:r>
      <w:r w:rsidR="00494065">
        <w:t xml:space="preserve"> </w:t>
      </w:r>
    </w:p>
    <w:p w14:paraId="21E01C8F" w14:textId="02FC6EB2" w:rsidR="00494065" w:rsidRDefault="00240605" w:rsidP="0029564F">
      <w:pPr>
        <w:pStyle w:val="ListParagraph"/>
        <w:numPr>
          <w:ilvl w:val="1"/>
          <w:numId w:val="22"/>
        </w:numPr>
      </w:pPr>
      <w:r>
        <w:t>May</w:t>
      </w:r>
      <w:r w:rsidR="00494065">
        <w:t xml:space="preserve"> also </w:t>
      </w:r>
      <w:r>
        <w:t xml:space="preserve">be </w:t>
      </w:r>
      <w:r w:rsidR="00494065">
        <w:t xml:space="preserve">known </w:t>
      </w:r>
      <w:r w:rsidR="00494065" w:rsidRPr="00C44EA8">
        <w:t>as percussion and postural drainage</w:t>
      </w:r>
      <w:r w:rsidR="00494065">
        <w:t>.</w:t>
      </w:r>
    </w:p>
    <w:p w14:paraId="61133CAF" w14:textId="77777777" w:rsidR="00240605" w:rsidRDefault="00494065" w:rsidP="002D5EAA">
      <w:pPr>
        <w:pStyle w:val="ListParagraph"/>
        <w:numPr>
          <w:ilvl w:val="0"/>
          <w:numId w:val="22"/>
        </w:numPr>
      </w:pPr>
      <w:r>
        <w:t>Breathing techniques</w:t>
      </w:r>
      <w:r w:rsidRPr="008577AD">
        <w:t xml:space="preserve"> </w:t>
      </w:r>
    </w:p>
    <w:p w14:paraId="6AC0E165" w14:textId="292F595D" w:rsidR="00240605" w:rsidRDefault="00240605" w:rsidP="00240605">
      <w:pPr>
        <w:pStyle w:val="ListParagraph"/>
        <w:numPr>
          <w:ilvl w:val="1"/>
          <w:numId w:val="22"/>
        </w:numPr>
      </w:pPr>
      <w:r>
        <w:t>T</w:t>
      </w:r>
      <w:r w:rsidR="00494065" w:rsidRPr="008577AD">
        <w:t>ypically taught to patients by pulmonary rehabilitation professionals</w:t>
      </w:r>
      <w:r w:rsidR="00494065">
        <w:t xml:space="preserve">. </w:t>
      </w:r>
    </w:p>
    <w:p w14:paraId="344C908B" w14:textId="77777777" w:rsidR="00240605" w:rsidRDefault="00494065" w:rsidP="00240605">
      <w:pPr>
        <w:pStyle w:val="ListParagraph"/>
        <w:numPr>
          <w:ilvl w:val="1"/>
          <w:numId w:val="22"/>
        </w:numPr>
      </w:pPr>
      <w:r>
        <w:t xml:space="preserve">Active cycle breathing techniques include </w:t>
      </w:r>
      <w:r w:rsidRPr="00D40CDA">
        <w:t>breathing control, thoracic expansion exercises, and the forced expiration technique</w:t>
      </w:r>
      <w:r>
        <w:t>.</w:t>
      </w:r>
      <w:r w:rsidRPr="00574ECA">
        <w:rPr>
          <w:noProof/>
          <w:vertAlign w:val="superscript"/>
        </w:rPr>
        <w:t>6</w:t>
      </w:r>
      <w:r>
        <w:t xml:space="preserve"> </w:t>
      </w:r>
    </w:p>
    <w:p w14:paraId="795B2028" w14:textId="77777777" w:rsidR="00240605" w:rsidRDefault="00494065" w:rsidP="00240605">
      <w:pPr>
        <w:pStyle w:val="ListParagraph"/>
        <w:numPr>
          <w:ilvl w:val="1"/>
          <w:numId w:val="22"/>
        </w:numPr>
      </w:pPr>
      <w:r>
        <w:t xml:space="preserve">Autogenic drainage involves breathing techniques in 3 phases (unstick, collect, and evacuate) at different lung volumes. </w:t>
      </w:r>
    </w:p>
    <w:p w14:paraId="2DB46E8B" w14:textId="18840F32" w:rsidR="00494065" w:rsidRDefault="00494065" w:rsidP="0029564F">
      <w:pPr>
        <w:pStyle w:val="ListParagraph"/>
        <w:numPr>
          <w:ilvl w:val="1"/>
          <w:numId w:val="22"/>
        </w:numPr>
      </w:pPr>
      <w:r>
        <w:t>Breathing techniques do not require devices or assistance and can be self-administered.</w:t>
      </w:r>
      <w:r w:rsidRPr="00574ECA">
        <w:rPr>
          <w:noProof/>
          <w:vertAlign w:val="superscript"/>
        </w:rPr>
        <w:t>6</w:t>
      </w:r>
    </w:p>
    <w:p w14:paraId="3187E8B3" w14:textId="77777777" w:rsidR="00240605" w:rsidRDefault="00494065" w:rsidP="002D5EAA">
      <w:pPr>
        <w:pStyle w:val="ListParagraph"/>
        <w:numPr>
          <w:ilvl w:val="0"/>
          <w:numId w:val="22"/>
        </w:numPr>
      </w:pPr>
      <w:r>
        <w:t xml:space="preserve">Positive expiratory pressure devices </w:t>
      </w:r>
    </w:p>
    <w:p w14:paraId="7E9CE660" w14:textId="1D47A372" w:rsidR="00240605" w:rsidRDefault="00240605" w:rsidP="00240605">
      <w:pPr>
        <w:pStyle w:val="ListParagraph"/>
        <w:numPr>
          <w:ilvl w:val="1"/>
          <w:numId w:val="22"/>
        </w:numPr>
      </w:pPr>
      <w:r>
        <w:t>I</w:t>
      </w:r>
      <w:r w:rsidR="00494065">
        <w:t>ncrease resistance, prevent airway closure, and increase collateral ventilation.</w:t>
      </w:r>
      <w:r w:rsidR="00494065" w:rsidRPr="00574ECA">
        <w:rPr>
          <w:noProof/>
          <w:vertAlign w:val="superscript"/>
        </w:rPr>
        <w:t>6</w:t>
      </w:r>
      <w:r w:rsidR="00494065">
        <w:t xml:space="preserve"> </w:t>
      </w:r>
    </w:p>
    <w:p w14:paraId="7AD0D054" w14:textId="6055FB51" w:rsidR="00240605" w:rsidRDefault="00494065" w:rsidP="00240605">
      <w:pPr>
        <w:pStyle w:val="ListParagraph"/>
        <w:numPr>
          <w:ilvl w:val="1"/>
          <w:numId w:val="22"/>
        </w:numPr>
      </w:pPr>
      <w:r>
        <w:lastRenderedPageBreak/>
        <w:t>Some use oscillatory mechanisms to create vibrations when a patient breathes out.</w:t>
      </w:r>
      <w:r w:rsidRPr="00574ECA">
        <w:rPr>
          <w:noProof/>
          <w:vertAlign w:val="superscript"/>
        </w:rPr>
        <w:t>6</w:t>
      </w:r>
      <w:r>
        <w:t xml:space="preserve"> </w:t>
      </w:r>
    </w:p>
    <w:p w14:paraId="7337F7FF" w14:textId="5D974763" w:rsidR="00240605" w:rsidRDefault="00494065" w:rsidP="00240605">
      <w:pPr>
        <w:pStyle w:val="ListParagraph"/>
        <w:numPr>
          <w:ilvl w:val="1"/>
          <w:numId w:val="22"/>
        </w:numPr>
      </w:pPr>
      <w:r>
        <w:t xml:space="preserve">Examples include TheraPEP, Resistex PEP mask, Pari RC Cornet Mucus Clearing Device, Flutter, Acapella, Quake, and Aerobika. </w:t>
      </w:r>
    </w:p>
    <w:p w14:paraId="7E01A71B" w14:textId="07F8EA0F" w:rsidR="00494065" w:rsidRDefault="00494065" w:rsidP="0029564F">
      <w:pPr>
        <w:pStyle w:val="ListParagraph"/>
        <w:numPr>
          <w:ilvl w:val="1"/>
          <w:numId w:val="22"/>
        </w:numPr>
      </w:pPr>
      <w:r>
        <w:t>The therapy from these devices can be self-administered without assistance.</w:t>
      </w:r>
      <w:r w:rsidRPr="00574ECA">
        <w:rPr>
          <w:noProof/>
          <w:vertAlign w:val="superscript"/>
        </w:rPr>
        <w:t>6</w:t>
      </w:r>
    </w:p>
    <w:p w14:paraId="23B0C98D" w14:textId="77777777" w:rsidR="00240605" w:rsidRDefault="00494065" w:rsidP="002D5EAA">
      <w:pPr>
        <w:pStyle w:val="ListParagraph"/>
        <w:numPr>
          <w:ilvl w:val="0"/>
          <w:numId w:val="22"/>
        </w:numPr>
      </w:pPr>
      <w:r>
        <w:t>Intrapulmonary percussive ventilation</w:t>
      </w:r>
    </w:p>
    <w:p w14:paraId="0F971AEB" w14:textId="1AABA255" w:rsidR="00240605" w:rsidRDefault="00240605" w:rsidP="00240605">
      <w:pPr>
        <w:pStyle w:val="ListParagraph"/>
        <w:numPr>
          <w:ilvl w:val="1"/>
          <w:numId w:val="22"/>
        </w:numPr>
      </w:pPr>
      <w:r>
        <w:t>A</w:t>
      </w:r>
      <w:r w:rsidR="00494065">
        <w:t xml:space="preserve"> pneumatic device that uses high</w:t>
      </w:r>
      <w:r w:rsidR="00354EEC">
        <w:t>-</w:t>
      </w:r>
      <w:r w:rsidR="00494065">
        <w:t>frequency oscillatory ventilation through a mouthpiece.</w:t>
      </w:r>
      <w:r w:rsidR="00494065" w:rsidRPr="00574ECA">
        <w:rPr>
          <w:noProof/>
          <w:vertAlign w:val="superscript"/>
        </w:rPr>
        <w:t>6</w:t>
      </w:r>
      <w:r w:rsidR="00494065">
        <w:t xml:space="preserve"> </w:t>
      </w:r>
    </w:p>
    <w:p w14:paraId="2074A422" w14:textId="457F59CA" w:rsidR="00494065" w:rsidRDefault="00494065" w:rsidP="0029564F">
      <w:pPr>
        <w:pStyle w:val="ListParagraph"/>
        <w:numPr>
          <w:ilvl w:val="1"/>
          <w:numId w:val="22"/>
        </w:numPr>
      </w:pPr>
      <w:r>
        <w:t>An example is the Percussionaire Corporation IPV Ventilator.</w:t>
      </w:r>
      <w:r w:rsidRPr="00574ECA">
        <w:rPr>
          <w:noProof/>
          <w:vertAlign w:val="superscript"/>
        </w:rPr>
        <w:t>6</w:t>
      </w:r>
      <w:r>
        <w:t xml:space="preserve"> </w:t>
      </w:r>
    </w:p>
    <w:p w14:paraId="48F7B49D" w14:textId="5E3952CC" w:rsidR="00240605" w:rsidRDefault="00494065" w:rsidP="002D5EAA">
      <w:pPr>
        <w:pStyle w:val="ListParagraph"/>
        <w:numPr>
          <w:ilvl w:val="0"/>
          <w:numId w:val="22"/>
        </w:numPr>
      </w:pPr>
      <w:r>
        <w:t>High</w:t>
      </w:r>
      <w:r w:rsidR="00354EEC">
        <w:t>-</w:t>
      </w:r>
      <w:r>
        <w:t xml:space="preserve">frequency chest wall oscillation (HFCWO) devices, which are described in the following section of this document. </w:t>
      </w:r>
    </w:p>
    <w:p w14:paraId="35C9606D" w14:textId="0CD0FFF3" w:rsidR="00494065" w:rsidRDefault="00494065" w:rsidP="0029564F">
      <w:pPr>
        <w:pStyle w:val="ListParagraph"/>
        <w:numPr>
          <w:ilvl w:val="1"/>
          <w:numId w:val="22"/>
        </w:numPr>
      </w:pPr>
      <w:r>
        <w:t>Therapy from these devices can be self-administered.</w:t>
      </w:r>
      <w:r w:rsidRPr="00574ECA">
        <w:rPr>
          <w:noProof/>
          <w:vertAlign w:val="superscript"/>
        </w:rPr>
        <w:t>6</w:t>
      </w:r>
    </w:p>
    <w:p w14:paraId="098518A8" w14:textId="77777777" w:rsidR="00494065" w:rsidRDefault="00494065" w:rsidP="002D5EAA">
      <w:pPr>
        <w:pStyle w:val="H2NoBK"/>
      </w:pPr>
      <w:bookmarkStart w:id="25" w:name="_Toc72335267"/>
      <w:bookmarkStart w:id="26" w:name="_Toc87358437"/>
      <w:r>
        <w:t>Indications</w:t>
      </w:r>
      <w:bookmarkEnd w:id="25"/>
      <w:bookmarkEnd w:id="26"/>
    </w:p>
    <w:p w14:paraId="520F9D74" w14:textId="582A5125" w:rsidR="00494065" w:rsidRDefault="00494065" w:rsidP="002D5EAA">
      <w:pPr>
        <w:spacing w:line="240" w:lineRule="auto"/>
      </w:pPr>
      <w:r>
        <w:t xml:space="preserve">Children and adults with </w:t>
      </w:r>
      <w:r w:rsidRPr="00230D48">
        <w:t xml:space="preserve">cystic fibrosis, bronchiectasis, </w:t>
      </w:r>
      <w:r w:rsidR="00240605">
        <w:t>CO</w:t>
      </w:r>
      <w:r w:rsidR="007054A7">
        <w:t>PD</w:t>
      </w:r>
      <w:r w:rsidRPr="00230D48">
        <w:t>, or pulmonary complications from neuromuscular disease resulting in chronic lung disease</w:t>
      </w:r>
      <w:r>
        <w:t xml:space="preserve"> might be prescribed HFCWO devices to assist in the clearance of mucus in airways as part of their treatment plan. HFCWO devices exert external force on the chest wall to assist in mobilizing </w:t>
      </w:r>
      <w:r w:rsidDel="005E7937">
        <w:t>mucus</w:t>
      </w:r>
      <w:r>
        <w:t xml:space="preserve"> and use sound waves or pressure from inflation and deflation at variable intensities and frequencies to generate the force. They are much more expensive than the alternative forms of </w:t>
      </w:r>
      <w:r w:rsidDel="005E7937">
        <w:t>treatment</w:t>
      </w:r>
      <w:r>
        <w:t xml:space="preserve"> but require less time from caregivers than chest physiotherapy.</w:t>
      </w:r>
    </w:p>
    <w:p w14:paraId="3C183C5D" w14:textId="77777777" w:rsidR="00494065" w:rsidRDefault="00494065" w:rsidP="002D5EAA">
      <w:pPr>
        <w:pStyle w:val="H2NoBK"/>
      </w:pPr>
      <w:bookmarkStart w:id="27" w:name="_Toc72335268"/>
      <w:bookmarkStart w:id="28" w:name="_Toc87358438"/>
      <w:r>
        <w:t>Technology Description</w:t>
      </w:r>
      <w:bookmarkEnd w:id="27"/>
      <w:bookmarkEnd w:id="28"/>
    </w:p>
    <w:p w14:paraId="08D091BB" w14:textId="11A4DAF4" w:rsidR="00494065" w:rsidRDefault="00494065" w:rsidP="002D5EAA">
      <w:r>
        <w:t xml:space="preserve">We identified 1 nonwearable HFCWO device and 5 wearable HFCWO devices that are currently approved by the </w:t>
      </w:r>
      <w:r w:rsidR="007054A7">
        <w:t xml:space="preserve">US </w:t>
      </w:r>
      <w:r>
        <w:t xml:space="preserve">Food and Drug Administration (FDA) and being manufactured for use in children and adults with </w:t>
      </w:r>
      <w:r w:rsidRPr="00230D48">
        <w:t xml:space="preserve">cystic fibrosis, bronchiectasis, </w:t>
      </w:r>
      <w:r w:rsidR="007054A7">
        <w:t>COPD</w:t>
      </w:r>
      <w:r w:rsidRPr="00230D48">
        <w:t>, or pulmonary complications from neuromuscular disease resulting in chronic lung disease</w:t>
      </w:r>
      <w:r>
        <w:t>. See Table 1 for a description of each device.</w:t>
      </w:r>
    </w:p>
    <w:p w14:paraId="44737386" w14:textId="77777777" w:rsidR="00494065" w:rsidRDefault="00494065" w:rsidP="002D5EAA">
      <w:pPr>
        <w:pStyle w:val="Tablecaption"/>
      </w:pPr>
      <w:r>
        <w:t>Table 1. HFCWO Device Descriptions</w:t>
      </w:r>
    </w:p>
    <w:tbl>
      <w:tblPr>
        <w:tblStyle w:val="TableGrid"/>
        <w:tblW w:w="9501" w:type="dxa"/>
        <w:jc w:val="center"/>
        <w:tblLayout w:type="fixed"/>
        <w:tblLook w:val="04A0" w:firstRow="1" w:lastRow="0" w:firstColumn="1" w:lastColumn="0" w:noHBand="0" w:noVBand="1"/>
      </w:tblPr>
      <w:tblGrid>
        <w:gridCol w:w="2376"/>
        <w:gridCol w:w="2375"/>
        <w:gridCol w:w="2375"/>
        <w:gridCol w:w="2375"/>
      </w:tblGrid>
      <w:tr w:rsidR="00494065" w14:paraId="6939308F" w14:textId="77777777" w:rsidTr="0029564F">
        <w:trPr>
          <w:trHeight w:val="525"/>
          <w:tblHeader/>
          <w:jc w:val="center"/>
        </w:trPr>
        <w:tc>
          <w:tcPr>
            <w:tcW w:w="0" w:type="dxa"/>
            <w:shd w:val="clear" w:color="auto" w:fill="9CC2E5" w:themeFill="accent1" w:themeFillTint="99"/>
            <w:vAlign w:val="center"/>
          </w:tcPr>
          <w:p w14:paraId="1E84DD2F" w14:textId="77777777" w:rsidR="00494065" w:rsidRPr="0029564F" w:rsidRDefault="00494065" w:rsidP="00241080">
            <w:pPr>
              <w:spacing w:after="0"/>
              <w:rPr>
                <w:rFonts w:ascii="Calibri" w:eastAsia="Calibri" w:hAnsi="Calibri" w:cs="Arial"/>
                <w:b/>
                <w:sz w:val="20"/>
                <w:szCs w:val="20"/>
              </w:rPr>
            </w:pPr>
            <w:r w:rsidRPr="0029564F">
              <w:rPr>
                <w:rFonts w:ascii="Calibri" w:eastAsia="Calibri" w:hAnsi="Calibri" w:cs="Arial"/>
                <w:b/>
                <w:sz w:val="20"/>
                <w:szCs w:val="20"/>
              </w:rPr>
              <w:t>Device Name</w:t>
            </w:r>
          </w:p>
          <w:p w14:paraId="6A261722" w14:textId="77777777" w:rsidR="00494065" w:rsidRPr="0029564F" w:rsidRDefault="00494065">
            <w:pPr>
              <w:spacing w:after="0"/>
              <w:rPr>
                <w:rFonts w:ascii="Calibri" w:eastAsia="Calibri" w:hAnsi="Calibri" w:cs="Arial"/>
                <w:b/>
                <w:sz w:val="20"/>
                <w:szCs w:val="20"/>
              </w:rPr>
            </w:pPr>
            <w:r w:rsidRPr="0029564F">
              <w:rPr>
                <w:rFonts w:ascii="Calibri" w:eastAsia="Calibri" w:hAnsi="Calibri" w:cs="Arial"/>
                <w:b/>
                <w:sz w:val="20"/>
                <w:szCs w:val="20"/>
              </w:rPr>
              <w:t>FDA Approval Date</w:t>
            </w:r>
          </w:p>
        </w:tc>
        <w:tc>
          <w:tcPr>
            <w:tcW w:w="0" w:type="dxa"/>
            <w:shd w:val="clear" w:color="auto" w:fill="9CC2E5" w:themeFill="accent1" w:themeFillTint="99"/>
            <w:vAlign w:val="center"/>
          </w:tcPr>
          <w:p w14:paraId="525262FE" w14:textId="77777777" w:rsidR="00494065" w:rsidRPr="0029564F" w:rsidRDefault="00494065">
            <w:pPr>
              <w:spacing w:after="0"/>
              <w:rPr>
                <w:rFonts w:ascii="Calibri" w:eastAsia="Calibri" w:hAnsi="Calibri" w:cs="Arial"/>
                <w:b/>
                <w:sz w:val="20"/>
                <w:szCs w:val="20"/>
              </w:rPr>
            </w:pPr>
            <w:r w:rsidRPr="0029564F">
              <w:rPr>
                <w:rFonts w:ascii="Calibri" w:eastAsia="Calibri" w:hAnsi="Calibri" w:cs="Arial"/>
                <w:b/>
                <w:sz w:val="20"/>
                <w:szCs w:val="20"/>
              </w:rPr>
              <w:t>Manufacturer</w:t>
            </w:r>
          </w:p>
        </w:tc>
        <w:tc>
          <w:tcPr>
            <w:tcW w:w="0" w:type="dxa"/>
            <w:shd w:val="clear" w:color="auto" w:fill="9CC2E5" w:themeFill="accent1" w:themeFillTint="99"/>
            <w:vAlign w:val="center"/>
          </w:tcPr>
          <w:p w14:paraId="3DAC9CD7" w14:textId="77777777" w:rsidR="00494065" w:rsidRPr="0029564F" w:rsidRDefault="00494065">
            <w:pPr>
              <w:spacing w:after="0"/>
              <w:rPr>
                <w:rFonts w:ascii="Calibri" w:eastAsia="Calibri" w:hAnsi="Calibri" w:cs="Arial"/>
                <w:b/>
                <w:sz w:val="20"/>
                <w:szCs w:val="20"/>
              </w:rPr>
            </w:pPr>
            <w:r w:rsidRPr="0029564F">
              <w:rPr>
                <w:rFonts w:ascii="Calibri" w:eastAsia="Calibri" w:hAnsi="Calibri" w:cs="Arial"/>
                <w:b/>
                <w:sz w:val="20"/>
                <w:szCs w:val="20"/>
              </w:rPr>
              <w:t>Features</w:t>
            </w:r>
          </w:p>
        </w:tc>
        <w:tc>
          <w:tcPr>
            <w:tcW w:w="0" w:type="dxa"/>
            <w:shd w:val="clear" w:color="auto" w:fill="9CC2E5" w:themeFill="accent1" w:themeFillTint="99"/>
            <w:vAlign w:val="center"/>
          </w:tcPr>
          <w:p w14:paraId="2209B388" w14:textId="77777777" w:rsidR="00494065" w:rsidRPr="0029564F" w:rsidRDefault="00494065">
            <w:pPr>
              <w:spacing w:after="0"/>
              <w:rPr>
                <w:rFonts w:ascii="Calibri" w:eastAsia="Calibri" w:hAnsi="Calibri" w:cs="Arial"/>
                <w:b/>
                <w:sz w:val="20"/>
                <w:szCs w:val="20"/>
              </w:rPr>
            </w:pPr>
            <w:r w:rsidRPr="0029564F">
              <w:rPr>
                <w:rFonts w:ascii="Calibri" w:eastAsia="Calibri" w:hAnsi="Calibri" w:cs="Arial"/>
                <w:b/>
                <w:sz w:val="20"/>
                <w:szCs w:val="20"/>
              </w:rPr>
              <w:t>Indications</w:t>
            </w:r>
          </w:p>
        </w:tc>
      </w:tr>
      <w:tr w:rsidR="00494065" w14:paraId="7E8BCFA3" w14:textId="77777777" w:rsidTr="0029564F">
        <w:trPr>
          <w:cnfStyle w:val="000000010000" w:firstRow="0" w:lastRow="0" w:firstColumn="0" w:lastColumn="0" w:oddVBand="0" w:evenVBand="0" w:oddHBand="0" w:evenHBand="1" w:firstRowFirstColumn="0" w:firstRowLastColumn="0" w:lastRowFirstColumn="0" w:lastRowLastColumn="0"/>
          <w:trHeight w:val="2609"/>
          <w:jc w:val="center"/>
        </w:trPr>
        <w:tc>
          <w:tcPr>
            <w:tcW w:w="0" w:type="dxa"/>
            <w:shd w:val="clear" w:color="auto" w:fill="DEEAF6" w:themeFill="accent1" w:themeFillTint="33"/>
          </w:tcPr>
          <w:p w14:paraId="5208DB14" w14:textId="77777777" w:rsidR="00494065" w:rsidRPr="0029564F" w:rsidRDefault="00494065" w:rsidP="0029564F">
            <w:pPr>
              <w:widowControl w:val="0"/>
              <w:rPr>
                <w:sz w:val="20"/>
                <w:szCs w:val="20"/>
              </w:rPr>
            </w:pPr>
            <w:r w:rsidRPr="0029564F">
              <w:rPr>
                <w:sz w:val="20"/>
                <w:szCs w:val="20"/>
              </w:rPr>
              <w:t>Frequencer V2 and V2x</w:t>
            </w:r>
            <w:r w:rsidRPr="0029564F">
              <w:rPr>
                <w:sz w:val="20"/>
                <w:szCs w:val="20"/>
                <w:vertAlign w:val="superscript"/>
              </w:rPr>
              <w:t>7</w:t>
            </w:r>
          </w:p>
          <w:p w14:paraId="38C97525" w14:textId="77777777" w:rsidR="00494065" w:rsidRPr="0029564F" w:rsidRDefault="00494065" w:rsidP="0029564F">
            <w:pPr>
              <w:widowControl w:val="0"/>
              <w:rPr>
                <w:sz w:val="20"/>
                <w:szCs w:val="20"/>
              </w:rPr>
            </w:pPr>
            <w:r w:rsidRPr="0029564F">
              <w:rPr>
                <w:sz w:val="20"/>
                <w:szCs w:val="20"/>
              </w:rPr>
              <w:t>January 26, 2011</w:t>
            </w:r>
            <w:r w:rsidRPr="0029564F">
              <w:rPr>
                <w:sz w:val="20"/>
                <w:szCs w:val="20"/>
                <w:vertAlign w:val="superscript"/>
              </w:rPr>
              <w:t>8</w:t>
            </w:r>
          </w:p>
        </w:tc>
        <w:tc>
          <w:tcPr>
            <w:tcW w:w="0" w:type="dxa"/>
            <w:shd w:val="clear" w:color="auto" w:fill="DEEAF6" w:themeFill="accent1" w:themeFillTint="33"/>
          </w:tcPr>
          <w:p w14:paraId="239FCEFB" w14:textId="77777777" w:rsidR="00494065" w:rsidRPr="0029564F" w:rsidRDefault="00494065" w:rsidP="0029564F">
            <w:pPr>
              <w:widowControl w:val="0"/>
              <w:rPr>
                <w:sz w:val="20"/>
                <w:szCs w:val="20"/>
              </w:rPr>
            </w:pPr>
            <w:r w:rsidRPr="0029564F">
              <w:rPr>
                <w:sz w:val="20"/>
                <w:szCs w:val="20"/>
              </w:rPr>
              <w:t>Dymedso</w:t>
            </w:r>
          </w:p>
          <w:p w14:paraId="44D4320C" w14:textId="77777777" w:rsidR="00494065" w:rsidRPr="0029564F" w:rsidRDefault="00494065" w:rsidP="0029564F">
            <w:pPr>
              <w:widowControl w:val="0"/>
              <w:rPr>
                <w:sz w:val="20"/>
                <w:szCs w:val="20"/>
              </w:rPr>
            </w:pPr>
          </w:p>
        </w:tc>
        <w:tc>
          <w:tcPr>
            <w:tcW w:w="0" w:type="dxa"/>
            <w:shd w:val="clear" w:color="auto" w:fill="DEEAF6" w:themeFill="accent1" w:themeFillTint="33"/>
          </w:tcPr>
          <w:p w14:paraId="1B90DF69"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Portable</w:t>
            </w:r>
          </w:p>
          <w:p w14:paraId="1FD78BF3"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Not wearable</w:t>
            </w:r>
          </w:p>
          <w:p w14:paraId="2B20A3B9"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4 sizes of adaptors for patients of different sizes</w:t>
            </w:r>
          </w:p>
          <w:p w14:paraId="1E35BDC3" w14:textId="2F148564"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Generates low frequency sound waves within the range of 20-65</w:t>
            </w:r>
            <w:r w:rsidR="007054A7">
              <w:rPr>
                <w:sz w:val="20"/>
                <w:szCs w:val="20"/>
              </w:rPr>
              <w:t xml:space="preserve"> </w:t>
            </w:r>
            <w:r w:rsidRPr="0029564F">
              <w:rPr>
                <w:sz w:val="20"/>
                <w:szCs w:val="20"/>
              </w:rPr>
              <w:t>Hz and offers an adjustable intensity based on the patient's condition</w:t>
            </w:r>
          </w:p>
        </w:tc>
        <w:tc>
          <w:tcPr>
            <w:tcW w:w="0" w:type="dxa"/>
            <w:shd w:val="clear" w:color="auto" w:fill="DEEAF6" w:themeFill="accent1" w:themeFillTint="33"/>
          </w:tcPr>
          <w:p w14:paraId="0EBD953E"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Cystic fibrosis</w:t>
            </w:r>
          </w:p>
          <w:p w14:paraId="1A13363B"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Chronic bronchitis</w:t>
            </w:r>
          </w:p>
          <w:p w14:paraId="6E142C94"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COPD</w:t>
            </w:r>
          </w:p>
          <w:p w14:paraId="16FF1DFB"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Bronchiectasis</w:t>
            </w:r>
          </w:p>
          <w:p w14:paraId="542DF588"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Ciliary dyskinesia syndromes</w:t>
            </w:r>
          </w:p>
          <w:p w14:paraId="023149F6"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Asthma</w:t>
            </w:r>
          </w:p>
          <w:p w14:paraId="37EF16E5"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Muscular dystrophy</w:t>
            </w:r>
          </w:p>
          <w:p w14:paraId="6A4E0F55"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Neuromuscular degenerative disorder</w:t>
            </w:r>
          </w:p>
          <w:p w14:paraId="4FAF0CF0"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Post-operative atelectasis</w:t>
            </w:r>
          </w:p>
          <w:p w14:paraId="099043F5"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Thoracic wall defects</w:t>
            </w:r>
          </w:p>
        </w:tc>
      </w:tr>
      <w:tr w:rsidR="00494065" w14:paraId="069FB579" w14:textId="77777777" w:rsidTr="0029564F">
        <w:trPr>
          <w:trHeight w:val="2492"/>
          <w:jc w:val="center"/>
        </w:trPr>
        <w:tc>
          <w:tcPr>
            <w:tcW w:w="0" w:type="dxa"/>
          </w:tcPr>
          <w:p w14:paraId="54A9A4E9" w14:textId="77777777" w:rsidR="00494065" w:rsidRPr="0029564F" w:rsidRDefault="00494065" w:rsidP="0029564F">
            <w:pPr>
              <w:widowControl w:val="0"/>
              <w:rPr>
                <w:sz w:val="20"/>
                <w:szCs w:val="20"/>
              </w:rPr>
            </w:pPr>
            <w:r w:rsidRPr="0029564F">
              <w:rPr>
                <w:sz w:val="20"/>
                <w:szCs w:val="20"/>
              </w:rPr>
              <w:lastRenderedPageBreak/>
              <w:t>SmartVest SQL System</w:t>
            </w:r>
            <w:r w:rsidRPr="0029564F">
              <w:rPr>
                <w:sz w:val="20"/>
                <w:szCs w:val="20"/>
                <w:vertAlign w:val="superscript"/>
              </w:rPr>
              <w:t>9</w:t>
            </w:r>
          </w:p>
          <w:p w14:paraId="0B2872DD" w14:textId="77777777" w:rsidR="00494065" w:rsidRPr="0029564F" w:rsidRDefault="00494065" w:rsidP="0029564F">
            <w:pPr>
              <w:widowControl w:val="0"/>
              <w:rPr>
                <w:sz w:val="20"/>
                <w:szCs w:val="20"/>
              </w:rPr>
            </w:pPr>
            <w:r w:rsidRPr="0029564F">
              <w:rPr>
                <w:sz w:val="20"/>
                <w:szCs w:val="20"/>
              </w:rPr>
              <w:t>December 19, 2013</w:t>
            </w:r>
            <w:r w:rsidRPr="0029564F">
              <w:rPr>
                <w:sz w:val="20"/>
                <w:szCs w:val="20"/>
                <w:vertAlign w:val="superscript"/>
              </w:rPr>
              <w:t>10</w:t>
            </w:r>
          </w:p>
        </w:tc>
        <w:tc>
          <w:tcPr>
            <w:tcW w:w="0" w:type="dxa"/>
          </w:tcPr>
          <w:p w14:paraId="29CB3133" w14:textId="77777777" w:rsidR="00494065" w:rsidRPr="0029564F" w:rsidRDefault="00494065" w:rsidP="0029564F">
            <w:pPr>
              <w:widowControl w:val="0"/>
              <w:rPr>
                <w:sz w:val="20"/>
                <w:szCs w:val="20"/>
              </w:rPr>
            </w:pPr>
            <w:r w:rsidRPr="0029564F">
              <w:rPr>
                <w:sz w:val="20"/>
                <w:szCs w:val="20"/>
              </w:rPr>
              <w:t>Electromed</w:t>
            </w:r>
          </w:p>
        </w:tc>
        <w:tc>
          <w:tcPr>
            <w:tcW w:w="0" w:type="dxa"/>
          </w:tcPr>
          <w:p w14:paraId="732B2BBE"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Portable</w:t>
            </w:r>
          </w:p>
          <w:p w14:paraId="5A3A1D65"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Wearable</w:t>
            </w:r>
          </w:p>
          <w:p w14:paraId="028691D3"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8 different sizes</w:t>
            </w:r>
          </w:p>
          <w:p w14:paraId="7F94EEDD"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16 pounds</w:t>
            </w:r>
          </w:p>
          <w:p w14:paraId="0F9CA2BB"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Quiet (60 decibels)</w:t>
            </w:r>
          </w:p>
          <w:p w14:paraId="071B8F84"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91% decompression (greater percent decompression than other vests)</w:t>
            </w:r>
          </w:p>
          <w:p w14:paraId="475D7B8B"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Wireless capabilities that can connect usage to personal reports or to healthcare provider records</w:t>
            </w:r>
          </w:p>
        </w:tc>
        <w:tc>
          <w:tcPr>
            <w:tcW w:w="0" w:type="dxa"/>
          </w:tcPr>
          <w:p w14:paraId="68594D00"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Bronchiectasis</w:t>
            </w:r>
          </w:p>
          <w:p w14:paraId="44EBDA1B"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COPD</w:t>
            </w:r>
          </w:p>
          <w:p w14:paraId="271B273C"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Cystic fibrosis</w:t>
            </w:r>
          </w:p>
          <w:p w14:paraId="57BCF213" w14:textId="77777777" w:rsidR="00494065" w:rsidRPr="0029564F" w:rsidRDefault="00494065" w:rsidP="0029564F">
            <w:pPr>
              <w:pStyle w:val="Tabletext"/>
              <w:widowControl w:val="0"/>
              <w:numPr>
                <w:ilvl w:val="0"/>
                <w:numId w:val="7"/>
              </w:numPr>
              <w:spacing w:before="0" w:after="0"/>
              <w:ind w:left="181" w:hanging="181"/>
              <w:rPr>
                <w:sz w:val="20"/>
                <w:szCs w:val="20"/>
              </w:rPr>
            </w:pPr>
            <w:r w:rsidRPr="0029564F">
              <w:rPr>
                <w:sz w:val="20"/>
                <w:szCs w:val="20"/>
              </w:rPr>
              <w:t>Neuromuscular conditions</w:t>
            </w:r>
          </w:p>
        </w:tc>
      </w:tr>
      <w:tr w:rsidR="00494065" w14:paraId="1BE2B14D" w14:textId="77777777" w:rsidTr="0029564F">
        <w:trPr>
          <w:cnfStyle w:val="000000010000" w:firstRow="0" w:lastRow="0" w:firstColumn="0" w:lastColumn="0" w:oddVBand="0" w:evenVBand="0" w:oddHBand="0" w:evenHBand="1" w:firstRowFirstColumn="0" w:firstRowLastColumn="0" w:lastRowFirstColumn="0" w:lastRowLastColumn="0"/>
          <w:trHeight w:val="1250"/>
          <w:jc w:val="center"/>
        </w:trPr>
        <w:tc>
          <w:tcPr>
            <w:tcW w:w="0" w:type="dxa"/>
            <w:shd w:val="clear" w:color="auto" w:fill="DEEAF6" w:themeFill="accent1" w:themeFillTint="33"/>
          </w:tcPr>
          <w:p w14:paraId="38018C05" w14:textId="77777777" w:rsidR="00494065" w:rsidRPr="0029564F" w:rsidRDefault="00494065" w:rsidP="00241080">
            <w:pPr>
              <w:rPr>
                <w:sz w:val="20"/>
                <w:szCs w:val="20"/>
              </w:rPr>
            </w:pPr>
            <w:r w:rsidRPr="0029564F">
              <w:rPr>
                <w:sz w:val="20"/>
                <w:szCs w:val="20"/>
              </w:rPr>
              <w:t>The Vest Airway Clearance System Model 105</w:t>
            </w:r>
            <w:r w:rsidRPr="0029564F">
              <w:rPr>
                <w:sz w:val="20"/>
                <w:szCs w:val="20"/>
                <w:vertAlign w:val="superscript"/>
              </w:rPr>
              <w:t>11</w:t>
            </w:r>
          </w:p>
          <w:p w14:paraId="2E6563F9" w14:textId="77777777" w:rsidR="00494065" w:rsidRPr="0029564F" w:rsidRDefault="00494065" w:rsidP="00241080">
            <w:pPr>
              <w:rPr>
                <w:sz w:val="20"/>
                <w:szCs w:val="20"/>
              </w:rPr>
            </w:pPr>
            <w:r w:rsidRPr="0029564F">
              <w:rPr>
                <w:sz w:val="20"/>
                <w:szCs w:val="20"/>
              </w:rPr>
              <w:t>February 21, 2003</w:t>
            </w:r>
            <w:r w:rsidRPr="0029564F">
              <w:rPr>
                <w:sz w:val="20"/>
                <w:szCs w:val="20"/>
                <w:vertAlign w:val="superscript"/>
              </w:rPr>
              <w:t>12</w:t>
            </w:r>
          </w:p>
        </w:tc>
        <w:tc>
          <w:tcPr>
            <w:tcW w:w="0" w:type="dxa"/>
            <w:shd w:val="clear" w:color="auto" w:fill="DEEAF6" w:themeFill="accent1" w:themeFillTint="33"/>
          </w:tcPr>
          <w:p w14:paraId="02B91E3A" w14:textId="77777777" w:rsidR="00494065" w:rsidRPr="0029564F" w:rsidRDefault="00494065" w:rsidP="00241080">
            <w:pPr>
              <w:rPr>
                <w:sz w:val="20"/>
                <w:szCs w:val="20"/>
              </w:rPr>
            </w:pPr>
            <w:r w:rsidRPr="0029564F">
              <w:rPr>
                <w:sz w:val="20"/>
                <w:szCs w:val="20"/>
              </w:rPr>
              <w:t>Hill-Rom</w:t>
            </w:r>
          </w:p>
        </w:tc>
        <w:tc>
          <w:tcPr>
            <w:tcW w:w="0" w:type="dxa"/>
            <w:shd w:val="clear" w:color="auto" w:fill="DEEAF6" w:themeFill="accent1" w:themeFillTint="33"/>
          </w:tcPr>
          <w:p w14:paraId="12C95796"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Portable</w:t>
            </w:r>
          </w:p>
          <w:p w14:paraId="5131D808"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Wearable</w:t>
            </w:r>
          </w:p>
          <w:p w14:paraId="003980C7"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4 styles of garment for different body types (full garment, wrap garment, chest garment, C3 garment)</w:t>
            </w:r>
          </w:p>
          <w:p w14:paraId="390E0BEA"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17 pounds</w:t>
            </w:r>
          </w:p>
          <w:p w14:paraId="6AEBDDA2"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Multiple programing options, including several languages</w:t>
            </w:r>
          </w:p>
          <w:p w14:paraId="75A27EF8"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Can program a reminder to cough</w:t>
            </w:r>
          </w:p>
          <w:p w14:paraId="75EDD851"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Vest covers are washable and dryable</w:t>
            </w:r>
          </w:p>
          <w:p w14:paraId="40908EBE"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Offers at-home training</w:t>
            </w:r>
          </w:p>
          <w:p w14:paraId="04C0D77C"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Wireless capabilities that can connect usage to personal reports or to healthcare provider records</w:t>
            </w:r>
          </w:p>
        </w:tc>
        <w:tc>
          <w:tcPr>
            <w:tcW w:w="0" w:type="dxa"/>
            <w:shd w:val="clear" w:color="auto" w:fill="DEEAF6" w:themeFill="accent1" w:themeFillTint="33"/>
          </w:tcPr>
          <w:p w14:paraId="751755F5"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Bronchiectasis</w:t>
            </w:r>
          </w:p>
          <w:p w14:paraId="1B4994C3"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COPD</w:t>
            </w:r>
          </w:p>
          <w:p w14:paraId="70DCC0F2"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Cystic fibrosis</w:t>
            </w:r>
          </w:p>
          <w:p w14:paraId="5FE30863"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Neuromuscular conditions</w:t>
            </w:r>
          </w:p>
          <w:p w14:paraId="23C59D33"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Primary ciliary dyskinesia</w:t>
            </w:r>
          </w:p>
          <w:p w14:paraId="6F2C8232"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Post lung transplant</w:t>
            </w:r>
          </w:p>
          <w:p w14:paraId="198B9BBF" w14:textId="77777777" w:rsidR="00494065" w:rsidRPr="0029564F" w:rsidRDefault="00494065" w:rsidP="0029564F">
            <w:pPr>
              <w:pStyle w:val="Tabletext"/>
              <w:numPr>
                <w:ilvl w:val="0"/>
                <w:numId w:val="7"/>
              </w:numPr>
              <w:spacing w:before="0" w:after="0"/>
              <w:ind w:left="181" w:hanging="181"/>
              <w:rPr>
                <w:sz w:val="20"/>
                <w:szCs w:val="20"/>
              </w:rPr>
            </w:pPr>
            <w:r w:rsidRPr="0029564F">
              <w:rPr>
                <w:sz w:val="20"/>
                <w:szCs w:val="20"/>
              </w:rPr>
              <w:t>Spinal cord injury</w:t>
            </w:r>
          </w:p>
        </w:tc>
      </w:tr>
      <w:tr w:rsidR="00494065" w14:paraId="59DB34DB" w14:textId="77777777" w:rsidTr="0029564F">
        <w:trPr>
          <w:trHeight w:val="4234"/>
          <w:jc w:val="center"/>
        </w:trPr>
        <w:tc>
          <w:tcPr>
            <w:tcW w:w="0" w:type="dxa"/>
          </w:tcPr>
          <w:p w14:paraId="62B89250" w14:textId="77777777" w:rsidR="00494065" w:rsidRPr="0029564F" w:rsidRDefault="00494065" w:rsidP="00241080">
            <w:pPr>
              <w:rPr>
                <w:sz w:val="20"/>
                <w:szCs w:val="20"/>
              </w:rPr>
            </w:pPr>
            <w:r w:rsidRPr="0029564F">
              <w:rPr>
                <w:sz w:val="20"/>
                <w:szCs w:val="20"/>
              </w:rPr>
              <w:lastRenderedPageBreak/>
              <w:t>Respin11</w:t>
            </w:r>
            <w:r w:rsidRPr="0029564F">
              <w:rPr>
                <w:sz w:val="20"/>
                <w:szCs w:val="20"/>
                <w:vertAlign w:val="superscript"/>
              </w:rPr>
              <w:t>13</w:t>
            </w:r>
          </w:p>
          <w:p w14:paraId="5DD201DE" w14:textId="77777777" w:rsidR="00494065" w:rsidRPr="0029564F" w:rsidRDefault="00494065" w:rsidP="00241080">
            <w:pPr>
              <w:rPr>
                <w:sz w:val="20"/>
                <w:szCs w:val="20"/>
              </w:rPr>
            </w:pPr>
            <w:r w:rsidRPr="0029564F">
              <w:rPr>
                <w:sz w:val="20"/>
                <w:szCs w:val="20"/>
              </w:rPr>
              <w:t>July 13, 2012</w:t>
            </w:r>
            <w:r w:rsidRPr="0029564F">
              <w:rPr>
                <w:sz w:val="20"/>
                <w:szCs w:val="20"/>
                <w:vertAlign w:val="superscript"/>
              </w:rPr>
              <w:t>14</w:t>
            </w:r>
          </w:p>
        </w:tc>
        <w:tc>
          <w:tcPr>
            <w:tcW w:w="0" w:type="dxa"/>
          </w:tcPr>
          <w:p w14:paraId="5C9E96AF" w14:textId="77777777" w:rsidR="00494065" w:rsidRPr="0029564F" w:rsidRDefault="00494065" w:rsidP="00241080">
            <w:pPr>
              <w:rPr>
                <w:sz w:val="20"/>
                <w:szCs w:val="20"/>
              </w:rPr>
            </w:pPr>
            <w:r w:rsidRPr="0029564F">
              <w:rPr>
                <w:sz w:val="20"/>
                <w:szCs w:val="20"/>
              </w:rPr>
              <w:t>RespInnovation SAS</w:t>
            </w:r>
          </w:p>
        </w:tc>
        <w:tc>
          <w:tcPr>
            <w:tcW w:w="0" w:type="dxa"/>
          </w:tcPr>
          <w:p w14:paraId="4B07AD23"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Portable</w:t>
            </w:r>
          </w:p>
          <w:p w14:paraId="0089F155"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Wearable</w:t>
            </w:r>
          </w:p>
          <w:p w14:paraId="46FC06A5"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Vest plus control unit weight 11 kilograms</w:t>
            </w:r>
          </w:p>
          <w:p w14:paraId="4D97CDB2"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Several sizes for different sizes</w:t>
            </w:r>
          </w:p>
          <w:p w14:paraId="53BAFE3A"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Can target specific chest areas</w:t>
            </w:r>
          </w:p>
          <w:p w14:paraId="47B7EBBC"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Programmable with several protocols</w:t>
            </w:r>
          </w:p>
          <w:p w14:paraId="75DB5E04"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Uses an air pressure piston which inflates and completely empties each cycle enabling the patient to breathe, speak and cough without restriction</w:t>
            </w:r>
          </w:p>
          <w:p w14:paraId="7BB2ADAB"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shd w:val="clear" w:color="auto" w:fill="FFFFFF"/>
              </w:rPr>
              <w:t>Does not provide constant background pressure which manufacturer claims makes the therapy easy to tolerate and puts no pressure onto the patient’s physiological state</w:t>
            </w:r>
          </w:p>
        </w:tc>
        <w:tc>
          <w:tcPr>
            <w:tcW w:w="0" w:type="dxa"/>
          </w:tcPr>
          <w:p w14:paraId="10BD80D2"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Bronchiectasis</w:t>
            </w:r>
          </w:p>
          <w:p w14:paraId="5103A9F7"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COPD</w:t>
            </w:r>
          </w:p>
          <w:p w14:paraId="149C52FB"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Cystic fibrosis</w:t>
            </w:r>
          </w:p>
          <w:p w14:paraId="4C283063"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Neuromuscular conditions</w:t>
            </w:r>
          </w:p>
          <w:p w14:paraId="3CD53190"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Emphysema</w:t>
            </w:r>
          </w:p>
        </w:tc>
      </w:tr>
      <w:tr w:rsidR="00494065" w14:paraId="4C09F358" w14:textId="77777777" w:rsidTr="0029564F">
        <w:trPr>
          <w:cnfStyle w:val="000000010000" w:firstRow="0" w:lastRow="0" w:firstColumn="0" w:lastColumn="0" w:oddVBand="0" w:evenVBand="0" w:oddHBand="0" w:evenHBand="1" w:firstRowFirstColumn="0" w:firstRowLastColumn="0" w:lastRowFirstColumn="0" w:lastRowLastColumn="0"/>
          <w:trHeight w:val="2057"/>
          <w:jc w:val="center"/>
        </w:trPr>
        <w:tc>
          <w:tcPr>
            <w:tcW w:w="0" w:type="dxa"/>
            <w:shd w:val="clear" w:color="auto" w:fill="DEEAF6" w:themeFill="accent1" w:themeFillTint="33"/>
          </w:tcPr>
          <w:p w14:paraId="4987A3B4" w14:textId="77777777" w:rsidR="00494065" w:rsidRPr="0029564F" w:rsidRDefault="00494065" w:rsidP="00241080">
            <w:pPr>
              <w:rPr>
                <w:sz w:val="20"/>
                <w:szCs w:val="20"/>
              </w:rPr>
            </w:pPr>
            <w:r w:rsidRPr="0029564F">
              <w:rPr>
                <w:sz w:val="20"/>
                <w:szCs w:val="20"/>
              </w:rPr>
              <w:t>InCourage Vest</w:t>
            </w:r>
            <w:r w:rsidRPr="0029564F">
              <w:rPr>
                <w:sz w:val="20"/>
                <w:szCs w:val="20"/>
                <w:vertAlign w:val="superscript"/>
              </w:rPr>
              <w:t>15</w:t>
            </w:r>
          </w:p>
          <w:p w14:paraId="73A00AAD" w14:textId="77777777" w:rsidR="00494065" w:rsidRPr="0029564F" w:rsidRDefault="00494065" w:rsidP="00241080">
            <w:pPr>
              <w:rPr>
                <w:sz w:val="20"/>
                <w:szCs w:val="20"/>
              </w:rPr>
            </w:pPr>
            <w:r w:rsidRPr="0029564F">
              <w:rPr>
                <w:sz w:val="20"/>
                <w:szCs w:val="20"/>
              </w:rPr>
              <w:t>June 17, 2005</w:t>
            </w:r>
            <w:r w:rsidRPr="0029564F">
              <w:rPr>
                <w:sz w:val="20"/>
                <w:szCs w:val="20"/>
                <w:vertAlign w:val="superscript"/>
              </w:rPr>
              <w:t>16</w:t>
            </w:r>
          </w:p>
        </w:tc>
        <w:tc>
          <w:tcPr>
            <w:tcW w:w="0" w:type="dxa"/>
            <w:shd w:val="clear" w:color="auto" w:fill="DEEAF6" w:themeFill="accent1" w:themeFillTint="33"/>
          </w:tcPr>
          <w:p w14:paraId="5DC68A54" w14:textId="77777777" w:rsidR="00494065" w:rsidRPr="0029564F" w:rsidRDefault="00494065" w:rsidP="00241080">
            <w:pPr>
              <w:rPr>
                <w:sz w:val="20"/>
                <w:szCs w:val="20"/>
              </w:rPr>
            </w:pPr>
            <w:r w:rsidRPr="0029564F">
              <w:rPr>
                <w:sz w:val="20"/>
                <w:szCs w:val="20"/>
              </w:rPr>
              <w:t>Philips, via RespirTech</w:t>
            </w:r>
          </w:p>
        </w:tc>
        <w:tc>
          <w:tcPr>
            <w:tcW w:w="0" w:type="dxa"/>
            <w:shd w:val="clear" w:color="auto" w:fill="DEEAF6" w:themeFill="accent1" w:themeFillTint="33"/>
          </w:tcPr>
          <w:p w14:paraId="24B59F8B"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Portable</w:t>
            </w:r>
          </w:p>
          <w:p w14:paraId="66B667F8"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Wearable</w:t>
            </w:r>
          </w:p>
          <w:p w14:paraId="7EBF7214"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17.5 pounds</w:t>
            </w:r>
          </w:p>
          <w:p w14:paraId="11885311"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Several sizes for different ages</w:t>
            </w:r>
          </w:p>
          <w:p w14:paraId="35E778EF" w14:textId="4573351E" w:rsidR="00494065" w:rsidRPr="0029564F" w:rsidRDefault="00494065" w:rsidP="0029564F">
            <w:pPr>
              <w:pStyle w:val="ListParagraph"/>
              <w:numPr>
                <w:ilvl w:val="0"/>
                <w:numId w:val="5"/>
              </w:numPr>
              <w:spacing w:after="0"/>
              <w:ind w:left="166" w:hanging="180"/>
              <w:rPr>
                <w:sz w:val="20"/>
                <w:szCs w:val="20"/>
              </w:rPr>
            </w:pPr>
            <w:r w:rsidRPr="0029564F">
              <w:rPr>
                <w:sz w:val="20"/>
                <w:szCs w:val="20"/>
              </w:rPr>
              <w:t>Uses triangular waveform technology that manufacturer claims delivers a chest physi</w:t>
            </w:r>
            <w:r w:rsidR="00975805" w:rsidRPr="0029564F">
              <w:rPr>
                <w:sz w:val="20"/>
                <w:szCs w:val="20"/>
              </w:rPr>
              <w:t>o</w:t>
            </w:r>
            <w:r w:rsidRPr="0029564F">
              <w:rPr>
                <w:sz w:val="20"/>
                <w:szCs w:val="20"/>
              </w:rPr>
              <w:t>therapy-like “thump” to the chest</w:t>
            </w:r>
          </w:p>
          <w:p w14:paraId="0C1746CA"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Offers at-home training</w:t>
            </w:r>
          </w:p>
        </w:tc>
        <w:tc>
          <w:tcPr>
            <w:tcW w:w="0" w:type="dxa"/>
            <w:shd w:val="clear" w:color="auto" w:fill="DEEAF6" w:themeFill="accent1" w:themeFillTint="33"/>
          </w:tcPr>
          <w:p w14:paraId="74035E50"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Bronchiectasis</w:t>
            </w:r>
          </w:p>
          <w:p w14:paraId="40462656"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COPD</w:t>
            </w:r>
          </w:p>
          <w:p w14:paraId="5E399412"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Cystic fibrosis</w:t>
            </w:r>
          </w:p>
          <w:p w14:paraId="61F266C8"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Certain neuromuscular conditions</w:t>
            </w:r>
          </w:p>
          <w:p w14:paraId="2B5DE43E" w14:textId="77777777" w:rsidR="00494065" w:rsidRPr="0029564F" w:rsidRDefault="00494065" w:rsidP="0029564F">
            <w:pPr>
              <w:spacing w:after="0"/>
              <w:rPr>
                <w:sz w:val="20"/>
                <w:szCs w:val="20"/>
              </w:rPr>
            </w:pPr>
          </w:p>
        </w:tc>
      </w:tr>
      <w:tr w:rsidR="00494065" w14:paraId="7953B9C2" w14:textId="77777777" w:rsidTr="0029564F">
        <w:trPr>
          <w:trHeight w:val="1070"/>
          <w:jc w:val="center"/>
        </w:trPr>
        <w:tc>
          <w:tcPr>
            <w:tcW w:w="0" w:type="dxa"/>
          </w:tcPr>
          <w:p w14:paraId="34C9421F" w14:textId="77777777" w:rsidR="00494065" w:rsidRPr="0029564F" w:rsidRDefault="00494065" w:rsidP="00241080">
            <w:pPr>
              <w:rPr>
                <w:sz w:val="20"/>
                <w:szCs w:val="20"/>
              </w:rPr>
            </w:pPr>
            <w:r w:rsidRPr="0029564F">
              <w:rPr>
                <w:sz w:val="20"/>
                <w:szCs w:val="20"/>
              </w:rPr>
              <w:t>AffloVest</w:t>
            </w:r>
            <w:r w:rsidRPr="0029564F">
              <w:rPr>
                <w:sz w:val="20"/>
                <w:szCs w:val="20"/>
                <w:vertAlign w:val="superscript"/>
              </w:rPr>
              <w:t>17</w:t>
            </w:r>
          </w:p>
          <w:p w14:paraId="27FA8039" w14:textId="77777777" w:rsidR="00494065" w:rsidRPr="0029564F" w:rsidRDefault="00494065" w:rsidP="00241080">
            <w:pPr>
              <w:rPr>
                <w:sz w:val="20"/>
                <w:szCs w:val="20"/>
              </w:rPr>
            </w:pPr>
            <w:r w:rsidRPr="0029564F">
              <w:rPr>
                <w:sz w:val="20"/>
                <w:szCs w:val="20"/>
              </w:rPr>
              <w:t>March 27, 2013</w:t>
            </w:r>
            <w:r w:rsidRPr="0029564F">
              <w:rPr>
                <w:sz w:val="20"/>
                <w:szCs w:val="20"/>
                <w:vertAlign w:val="superscript"/>
              </w:rPr>
              <w:t>12</w:t>
            </w:r>
          </w:p>
        </w:tc>
        <w:tc>
          <w:tcPr>
            <w:tcW w:w="0" w:type="dxa"/>
          </w:tcPr>
          <w:p w14:paraId="5015BFD5" w14:textId="77777777" w:rsidR="00494065" w:rsidRPr="0029564F" w:rsidRDefault="00494065" w:rsidP="00241080">
            <w:pPr>
              <w:rPr>
                <w:sz w:val="20"/>
                <w:szCs w:val="20"/>
              </w:rPr>
            </w:pPr>
            <w:r w:rsidRPr="0029564F">
              <w:rPr>
                <w:sz w:val="20"/>
                <w:szCs w:val="20"/>
              </w:rPr>
              <w:t>International Biophysics Corporation</w:t>
            </w:r>
          </w:p>
        </w:tc>
        <w:tc>
          <w:tcPr>
            <w:tcW w:w="0" w:type="dxa"/>
          </w:tcPr>
          <w:p w14:paraId="6D6D1FE6"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Portable</w:t>
            </w:r>
          </w:p>
          <w:p w14:paraId="0E6DAC60"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Wearable</w:t>
            </w:r>
          </w:p>
          <w:p w14:paraId="207A8F0E"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Available in 7 sizes</w:t>
            </w:r>
          </w:p>
          <w:p w14:paraId="18CEDE0F"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Battery-operated</w:t>
            </w:r>
          </w:p>
          <w:p w14:paraId="5329B459"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Has eight mechanical oscillating motors that target all 5 lobes of the lungs, front and back, for fully mobile use</w:t>
            </w:r>
          </w:p>
          <w:p w14:paraId="01F89E71"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t>Programmable settings</w:t>
            </w:r>
          </w:p>
          <w:p w14:paraId="39E2FBF0" w14:textId="77777777" w:rsidR="00494065" w:rsidRPr="0029564F" w:rsidRDefault="00494065" w:rsidP="0029564F">
            <w:pPr>
              <w:pStyle w:val="ListParagraph"/>
              <w:numPr>
                <w:ilvl w:val="0"/>
                <w:numId w:val="5"/>
              </w:numPr>
              <w:spacing w:after="0"/>
              <w:ind w:left="166" w:hanging="180"/>
              <w:rPr>
                <w:sz w:val="20"/>
                <w:szCs w:val="20"/>
              </w:rPr>
            </w:pPr>
            <w:r w:rsidRPr="0029564F">
              <w:rPr>
                <w:sz w:val="20"/>
                <w:szCs w:val="20"/>
              </w:rPr>
              <w:lastRenderedPageBreak/>
              <w:t>Advertised as the lightest vest option (no weight specified)</w:t>
            </w:r>
          </w:p>
        </w:tc>
        <w:tc>
          <w:tcPr>
            <w:tcW w:w="0" w:type="dxa"/>
          </w:tcPr>
          <w:p w14:paraId="53E80A71"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lastRenderedPageBreak/>
              <w:t>Bronchiectasis</w:t>
            </w:r>
          </w:p>
          <w:p w14:paraId="07E5833F"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COPD</w:t>
            </w:r>
          </w:p>
          <w:p w14:paraId="0AE8B479"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Cystic fibrosis</w:t>
            </w:r>
          </w:p>
          <w:p w14:paraId="1C603C5C" w14:textId="77777777" w:rsidR="00494065" w:rsidRPr="0029564F" w:rsidRDefault="00494065" w:rsidP="0029564F">
            <w:pPr>
              <w:numPr>
                <w:ilvl w:val="0"/>
                <w:numId w:val="5"/>
              </w:numPr>
              <w:spacing w:after="0" w:line="259" w:lineRule="auto"/>
              <w:ind w:left="166" w:hanging="180"/>
              <w:contextualSpacing/>
              <w:rPr>
                <w:sz w:val="20"/>
                <w:szCs w:val="20"/>
              </w:rPr>
            </w:pPr>
            <w:r w:rsidRPr="0029564F">
              <w:rPr>
                <w:sz w:val="20"/>
                <w:szCs w:val="20"/>
              </w:rPr>
              <w:t>Neuromuscular diseases</w:t>
            </w:r>
          </w:p>
          <w:p w14:paraId="32F843F4" w14:textId="77777777" w:rsidR="00494065" w:rsidRPr="0029564F" w:rsidRDefault="00494065" w:rsidP="0029564F">
            <w:pPr>
              <w:spacing w:after="0"/>
              <w:rPr>
                <w:sz w:val="20"/>
                <w:szCs w:val="20"/>
              </w:rPr>
            </w:pPr>
          </w:p>
        </w:tc>
      </w:tr>
    </w:tbl>
    <w:p w14:paraId="1C0A4AAE" w14:textId="05E58BC5" w:rsidR="00494065" w:rsidRPr="0029564F" w:rsidRDefault="00167343" w:rsidP="0029564F">
      <w:pPr>
        <w:spacing w:before="40" w:after="240" w:line="240" w:lineRule="auto"/>
        <w:rPr>
          <w:sz w:val="20"/>
          <w:szCs w:val="20"/>
        </w:rPr>
      </w:pPr>
      <w:r w:rsidRPr="0029564F">
        <w:rPr>
          <w:sz w:val="20"/>
          <w:szCs w:val="20"/>
        </w:rPr>
        <w:t>Abbreviations. COPD: chronic obstructive pulmonary disorder; FDA: US Food and Drug Administration; HFCWO: high-frequency chest wall oscillation.</w:t>
      </w:r>
    </w:p>
    <w:p w14:paraId="51DFAAC9" w14:textId="77777777" w:rsidR="00494065" w:rsidRDefault="00494065" w:rsidP="004052BB">
      <w:pPr>
        <w:pStyle w:val="Heading1"/>
      </w:pPr>
      <w:bookmarkStart w:id="29" w:name="_Toc72335269"/>
      <w:bookmarkStart w:id="30" w:name="_Toc87358439"/>
      <w:r>
        <w:t>Evidence Review</w:t>
      </w:r>
      <w:bookmarkEnd w:id="29"/>
      <w:bookmarkEnd w:id="30"/>
    </w:p>
    <w:p w14:paraId="0CA7B5FE" w14:textId="7C64BF8D" w:rsidR="00494065" w:rsidRDefault="00494065" w:rsidP="002D5EAA">
      <w:r>
        <w:t>We identified 2 systematic reviews,</w:t>
      </w:r>
      <w:r w:rsidRPr="00EA539D">
        <w:rPr>
          <w:noProof/>
          <w:vertAlign w:val="superscript"/>
        </w:rPr>
        <w:t>6,18</w:t>
      </w:r>
      <w:r>
        <w:t xml:space="preserve"> </w:t>
      </w:r>
      <w:r w:rsidR="009D2391">
        <w:t>4</w:t>
      </w:r>
      <w:r>
        <w:t xml:space="preserve"> </w:t>
      </w:r>
      <w:r w:rsidR="00F82068">
        <w:t>randomized controlled trials (</w:t>
      </w:r>
      <w:r>
        <w:t>RCTs</w:t>
      </w:r>
      <w:r w:rsidR="00F82068">
        <w:t>)</w:t>
      </w:r>
      <w:r>
        <w:t>,</w:t>
      </w:r>
      <w:r w:rsidRPr="00EA539D">
        <w:rPr>
          <w:noProof/>
          <w:vertAlign w:val="superscript"/>
        </w:rPr>
        <w:t>19-21</w:t>
      </w:r>
      <w:r w:rsidR="009D2391">
        <w:rPr>
          <w:noProof/>
          <w:vertAlign w:val="superscript"/>
        </w:rPr>
        <w:t>,</w:t>
      </w:r>
      <w:r w:rsidR="00050C62">
        <w:rPr>
          <w:noProof/>
          <w:vertAlign w:val="superscript"/>
        </w:rPr>
        <w:t>44</w:t>
      </w:r>
      <w:r>
        <w:t xml:space="preserve"> and a single ongoing RCT</w:t>
      </w:r>
      <w:r w:rsidRPr="00EA539D">
        <w:rPr>
          <w:noProof/>
          <w:vertAlign w:val="superscript"/>
        </w:rPr>
        <w:t>22</w:t>
      </w:r>
      <w:r>
        <w:t xml:space="preserve"> for the comparative effectiveness of HFCWO devices for children and adults with </w:t>
      </w:r>
      <w:r w:rsidRPr="00230D48">
        <w:t xml:space="preserve">cystic fibrosis, bronchiectasis, </w:t>
      </w:r>
      <w:r w:rsidR="00FC1993">
        <w:t>COPD</w:t>
      </w:r>
      <w:r w:rsidRPr="00230D48">
        <w:t>, or pulmonary complications from neuromuscular disease resulting in chronic lung disease</w:t>
      </w:r>
      <w:r>
        <w:t>. We did not identify any studies of the comparative cost effectiveness of HFCWO devices.</w:t>
      </w:r>
    </w:p>
    <w:p w14:paraId="18FD8401" w14:textId="77777777" w:rsidR="00494065" w:rsidRDefault="00494065" w:rsidP="0029564F">
      <w:pPr>
        <w:pStyle w:val="H2NoBK"/>
        <w:spacing w:before="120"/>
      </w:pPr>
      <w:bookmarkStart w:id="31" w:name="_Toc72335270"/>
      <w:bookmarkStart w:id="32" w:name="_Toc87358440"/>
      <w:r>
        <w:t>Cystic Fibrosis</w:t>
      </w:r>
      <w:bookmarkEnd w:id="31"/>
      <w:bookmarkEnd w:id="32"/>
    </w:p>
    <w:p w14:paraId="50BDCCB7" w14:textId="2F57DD47" w:rsidR="00494065" w:rsidRDefault="00494065" w:rsidP="002D5EAA">
      <w:r>
        <w:t>We identified a single systematic review that focused on airway clearance techniques in people diagnosed with cystic fibrosis, and included RCTs and quasi-randomized trials of HFCWO devices.</w:t>
      </w:r>
      <w:r w:rsidRPr="00180FEA">
        <w:rPr>
          <w:noProof/>
          <w:vertAlign w:val="superscript"/>
        </w:rPr>
        <w:t>6</w:t>
      </w:r>
      <w:r>
        <w:t xml:space="preserve"> The review included external chest oscillating devices as well as oral oscillatory devices.</w:t>
      </w:r>
      <w:r w:rsidRPr="00180FEA">
        <w:rPr>
          <w:noProof/>
          <w:vertAlign w:val="superscript"/>
        </w:rPr>
        <w:t>6</w:t>
      </w:r>
      <w:r>
        <w:t xml:space="preserve"> Morrison and colleagues abstracted information related to the scope of this </w:t>
      </w:r>
      <w:r w:rsidR="00F82068">
        <w:t>c</w:t>
      </w:r>
      <w:r>
        <w:t>overage guidance</w:t>
      </w:r>
      <w:r w:rsidRPr="00111FBB">
        <w:t>: exercise tolerance and frequency of exacerbations</w:t>
      </w:r>
      <w:r>
        <w:t xml:space="preserve"> with or without hospitalization.</w:t>
      </w:r>
      <w:r w:rsidRPr="00180FEA">
        <w:rPr>
          <w:noProof/>
          <w:vertAlign w:val="superscript"/>
        </w:rPr>
        <w:t>6</w:t>
      </w:r>
      <w:r>
        <w:t xml:space="preserve"> Morrison and colleagues included 39 studies in the qualitative review and 19 studies in meta-analyses; they rated 85% of these studies as having unclear risk of bias.</w:t>
      </w:r>
      <w:r w:rsidRPr="00180FEA">
        <w:rPr>
          <w:noProof/>
          <w:vertAlign w:val="superscript"/>
        </w:rPr>
        <w:t>6</w:t>
      </w:r>
      <w:r>
        <w:t xml:space="preserve"> They rated the quality of evidence summarized in the review as very low to low across outcomes.</w:t>
      </w:r>
      <w:r w:rsidRPr="00180FEA">
        <w:rPr>
          <w:noProof/>
          <w:vertAlign w:val="superscript"/>
        </w:rPr>
        <w:t>6</w:t>
      </w:r>
      <w:r w:rsidRPr="008C37C2">
        <w:t xml:space="preserve"> </w:t>
      </w:r>
      <w:r>
        <w:t>We rated this systematic review as having low risk of bias, and the authors rated component studies as having unclear to high risk of bias.</w:t>
      </w:r>
    </w:p>
    <w:p w14:paraId="1C6364B8" w14:textId="77777777" w:rsidR="00494065" w:rsidRDefault="00494065" w:rsidP="002D5EAA">
      <w:r>
        <w:t>The studies in this review did not report symptoms of breathlessness or cough, mortality, or exercise capacity for participants using HFCWO devices.</w:t>
      </w:r>
    </w:p>
    <w:p w14:paraId="2C1BB153" w14:textId="77777777" w:rsidR="00494065" w:rsidRDefault="00494065" w:rsidP="002D5EAA">
      <w:pPr>
        <w:pStyle w:val="H3NoBK"/>
      </w:pPr>
      <w:r>
        <w:t>Exacerbations and Hospitalizations</w:t>
      </w:r>
    </w:p>
    <w:p w14:paraId="3D6E85C2" w14:textId="7C3D822D" w:rsidR="00494065" w:rsidRPr="008D3C11" w:rsidRDefault="00494065" w:rsidP="002D5EAA">
      <w:r>
        <w:t>The single RCT (N = 107) that compared HFCWO devices to positive expiratory pressure therapy reported that the average number of exacerbations requiring antibiotics during the 12-month study</w:t>
      </w:r>
      <w:r w:rsidR="009C0EAF">
        <w:t xml:space="preserve"> period</w:t>
      </w:r>
      <w:r>
        <w:t xml:space="preserve"> was significantly higher in the HFCWO groups (median, 2.0; interquartile range, 1.0 to 3.0) than the positive expiratory pressure therapy group (median, 1.</w:t>
      </w:r>
      <w:r w:rsidR="005A7F30">
        <w:t>14</w:t>
      </w:r>
      <w:r>
        <w:t>; interquartile range, 0.0 to 2.0;</w:t>
      </w:r>
      <w:r w:rsidR="00616629">
        <w:t xml:space="preserve"> Odds Ratio</w:t>
      </w:r>
      <w:r w:rsidR="008F2E2A">
        <w:t xml:space="preserve"> [OR] 4.10</w:t>
      </w:r>
      <w:r w:rsidR="008D3C11">
        <w:t>; 95% CI, 1.42 to 11.84;</w:t>
      </w:r>
      <w:r>
        <w:t xml:space="preserve"> </w:t>
      </w:r>
      <w:r w:rsidR="00DA4DCD">
        <w:rPr>
          <w:i/>
        </w:rPr>
        <w:t>P</w:t>
      </w:r>
      <w:r>
        <w:t xml:space="preserve"> = .</w:t>
      </w:r>
      <w:r w:rsidRPr="003E587B">
        <w:t>007).</w:t>
      </w:r>
      <w:r w:rsidRPr="003E587B">
        <w:rPr>
          <w:noProof/>
          <w:vertAlign w:val="superscript"/>
        </w:rPr>
        <w:t>6</w:t>
      </w:r>
      <w:r w:rsidR="008D3C11">
        <w:rPr>
          <w:noProof/>
          <w:vertAlign w:val="superscript"/>
        </w:rPr>
        <w:t xml:space="preserve"> </w:t>
      </w:r>
      <w:r w:rsidR="008D3C11">
        <w:rPr>
          <w:noProof/>
        </w:rPr>
        <w:t>H</w:t>
      </w:r>
      <w:r w:rsidR="009C66BF">
        <w:rPr>
          <w:noProof/>
        </w:rPr>
        <w:t xml:space="preserve">owever, this result was no longer significant when </w:t>
      </w:r>
      <w:r w:rsidR="00FF5223">
        <w:rPr>
          <w:noProof/>
        </w:rPr>
        <w:t>limited to exacerbations requ</w:t>
      </w:r>
      <w:r w:rsidR="00E93D99">
        <w:rPr>
          <w:noProof/>
        </w:rPr>
        <w:t>i</w:t>
      </w:r>
      <w:r w:rsidR="00FF5223">
        <w:rPr>
          <w:noProof/>
        </w:rPr>
        <w:t xml:space="preserve">ring </w:t>
      </w:r>
      <w:r w:rsidR="00E93D99">
        <w:rPr>
          <w:noProof/>
        </w:rPr>
        <w:t xml:space="preserve">treatment with </w:t>
      </w:r>
      <w:r w:rsidR="00FF5223">
        <w:rPr>
          <w:noProof/>
        </w:rPr>
        <w:t>intravenous antibiotics (OR,</w:t>
      </w:r>
      <w:r w:rsidR="00E037DC">
        <w:rPr>
          <w:noProof/>
        </w:rPr>
        <w:t xml:space="preserve"> </w:t>
      </w:r>
      <w:r w:rsidR="00E037DC">
        <w:rPr>
          <w:rFonts w:ascii="Source Sans Pro" w:hAnsi="Source Sans Pro"/>
          <w:color w:val="000000"/>
          <w:shd w:val="clear" w:color="auto" w:fill="FFFFFF"/>
        </w:rPr>
        <w:t xml:space="preserve">2.36; 95% CI, 0.81 to 6.94, </w:t>
      </w:r>
      <w:r w:rsidR="00E037DC">
        <w:rPr>
          <w:i/>
        </w:rPr>
        <w:t>P</w:t>
      </w:r>
      <w:r w:rsidR="00E037DC">
        <w:t xml:space="preserve"> &gt; .05</w:t>
      </w:r>
      <w:r w:rsidR="00E037DC">
        <w:rPr>
          <w:rFonts w:ascii="Source Sans Pro" w:hAnsi="Source Sans Pro"/>
          <w:color w:val="000000"/>
          <w:shd w:val="clear" w:color="auto" w:fill="FFFFFF"/>
        </w:rPr>
        <w:t>)</w:t>
      </w:r>
      <w:r w:rsidR="00ED46B2">
        <w:rPr>
          <w:rFonts w:ascii="Source Sans Pro" w:hAnsi="Source Sans Pro"/>
          <w:color w:val="000000"/>
          <w:shd w:val="clear" w:color="auto" w:fill="FFFFFF"/>
        </w:rPr>
        <w:t>.</w:t>
      </w:r>
      <w:r w:rsidR="00ED46B2" w:rsidRPr="003E587B">
        <w:rPr>
          <w:noProof/>
          <w:vertAlign w:val="superscript"/>
        </w:rPr>
        <w:t>6</w:t>
      </w:r>
    </w:p>
    <w:p w14:paraId="540E3DB0" w14:textId="4F37D40A" w:rsidR="00494065" w:rsidRPr="009D5607" w:rsidRDefault="00782001" w:rsidP="002D5EAA">
      <w:r>
        <w:t>Two RCTs compared HFCWO devices to conventional physiotherapy for patients with cystic fibrosis</w:t>
      </w:r>
      <w:r w:rsidR="000226EE">
        <w:t>.</w:t>
      </w:r>
      <w:r>
        <w:t xml:space="preserve"> </w:t>
      </w:r>
      <w:r w:rsidR="000226EE">
        <w:t xml:space="preserve">In </w:t>
      </w:r>
      <w:r w:rsidR="00DC68A4">
        <w:t>1</w:t>
      </w:r>
      <w:r w:rsidR="000226EE">
        <w:t xml:space="preserve"> </w:t>
      </w:r>
      <w:r w:rsidR="00494065">
        <w:t>RCT (N = 50)</w:t>
      </w:r>
      <w:r w:rsidR="000A1044">
        <w:t xml:space="preserve"> of</w:t>
      </w:r>
      <w:r w:rsidR="00494065">
        <w:t xml:space="preserve"> patients with cystic fibrosis admitted to a hospital for an acute exacerbation</w:t>
      </w:r>
      <w:r w:rsidR="00223352">
        <w:t>, there was</w:t>
      </w:r>
      <w:r w:rsidR="00494065">
        <w:t xml:space="preserve"> no significant difference between the</w:t>
      </w:r>
      <w:r w:rsidR="00722BB9">
        <w:t xml:space="preserve"> study</w:t>
      </w:r>
      <w:r w:rsidR="00494065">
        <w:t xml:space="preserve"> groups for days of hospitalization (mean difference, -0.20; 95% CI, -2.32 to 1.</w:t>
      </w:r>
      <w:r w:rsidR="00494065" w:rsidRPr="003E587B">
        <w:t>92).</w:t>
      </w:r>
      <w:r w:rsidR="00494065" w:rsidRPr="003E587B">
        <w:rPr>
          <w:noProof/>
          <w:vertAlign w:val="superscript"/>
        </w:rPr>
        <w:t>6</w:t>
      </w:r>
      <w:r w:rsidR="00494065" w:rsidRPr="003E587B">
        <w:rPr>
          <w:noProof/>
        </w:rPr>
        <w:t xml:space="preserve"> The</w:t>
      </w:r>
      <w:r w:rsidR="00494065">
        <w:rPr>
          <w:noProof/>
        </w:rPr>
        <w:t xml:space="preserve"> participants in this study were between 16 and 25 years of age, and 64.0% were identified as male.</w:t>
      </w:r>
      <w:r w:rsidR="00494065">
        <w:rPr>
          <w:noProof/>
          <w:vertAlign w:val="superscript"/>
        </w:rPr>
        <w:t>6</w:t>
      </w:r>
      <w:r w:rsidR="00494065" w:rsidRPr="0029564F">
        <w:t xml:space="preserve"> </w:t>
      </w:r>
      <w:r w:rsidR="00494065">
        <w:rPr>
          <w:noProof/>
        </w:rPr>
        <w:t>Patients in the conventional physiotherapy group received therapy from a respiratory physiotherapist 3 times per day for approximately 30 minutes</w:t>
      </w:r>
      <w:r w:rsidR="009149EB">
        <w:rPr>
          <w:noProof/>
        </w:rPr>
        <w:t xml:space="preserve"> each time</w:t>
      </w:r>
      <w:r w:rsidR="00494065">
        <w:rPr>
          <w:noProof/>
        </w:rPr>
        <w:t>, along with the use of an inhaler prior to sessions with the physiotherapist.</w:t>
      </w:r>
      <w:r w:rsidR="00494065" w:rsidRPr="00180FEA">
        <w:rPr>
          <w:noProof/>
          <w:vertAlign w:val="superscript"/>
        </w:rPr>
        <w:t>6</w:t>
      </w:r>
      <w:r w:rsidR="005A4CEA">
        <w:rPr>
          <w:noProof/>
          <w:vertAlign w:val="superscript"/>
        </w:rPr>
        <w:t xml:space="preserve"> </w:t>
      </w:r>
      <w:r w:rsidR="00FF2012">
        <w:rPr>
          <w:noProof/>
        </w:rPr>
        <w:t>T</w:t>
      </w:r>
      <w:r w:rsidR="009D5607">
        <w:rPr>
          <w:noProof/>
        </w:rPr>
        <w:t xml:space="preserve">he </w:t>
      </w:r>
      <w:r w:rsidR="000E37A4">
        <w:rPr>
          <w:noProof/>
        </w:rPr>
        <w:t>second</w:t>
      </w:r>
      <w:r w:rsidR="009D5607">
        <w:rPr>
          <w:noProof/>
        </w:rPr>
        <w:t xml:space="preserve"> RCT (N = 115)</w:t>
      </w:r>
      <w:r w:rsidR="0047182A">
        <w:rPr>
          <w:noProof/>
        </w:rPr>
        <w:t xml:space="preserve"> </w:t>
      </w:r>
      <w:r w:rsidR="00FF2012">
        <w:rPr>
          <w:noProof/>
        </w:rPr>
        <w:t xml:space="preserve">reported no </w:t>
      </w:r>
      <w:r w:rsidR="00FF2012">
        <w:rPr>
          <w:noProof/>
        </w:rPr>
        <w:lastRenderedPageBreak/>
        <w:t xml:space="preserve">significant </w:t>
      </w:r>
      <w:r w:rsidR="002E487B">
        <w:rPr>
          <w:noProof/>
        </w:rPr>
        <w:t xml:space="preserve">between-group </w:t>
      </w:r>
      <w:r w:rsidR="0047182A">
        <w:rPr>
          <w:noProof/>
        </w:rPr>
        <w:t>difference</w:t>
      </w:r>
      <w:r w:rsidR="00FF2012">
        <w:rPr>
          <w:noProof/>
        </w:rPr>
        <w:t xml:space="preserve"> </w:t>
      </w:r>
      <w:r w:rsidR="0047182A">
        <w:rPr>
          <w:noProof/>
        </w:rPr>
        <w:t xml:space="preserve">in time to </w:t>
      </w:r>
      <w:r w:rsidR="002E487B">
        <w:rPr>
          <w:noProof/>
        </w:rPr>
        <w:t>pulmonary exacerbation</w:t>
      </w:r>
      <w:r w:rsidR="002C6BFC">
        <w:rPr>
          <w:noProof/>
        </w:rPr>
        <w:t>s</w:t>
      </w:r>
      <w:r w:rsidR="002E487B">
        <w:rPr>
          <w:noProof/>
        </w:rPr>
        <w:t xml:space="preserve"> requiring antibiotics</w:t>
      </w:r>
      <w:r w:rsidR="00172013">
        <w:rPr>
          <w:noProof/>
        </w:rPr>
        <w:t xml:space="preserve"> </w:t>
      </w:r>
      <w:r w:rsidR="002E487B">
        <w:rPr>
          <w:noProof/>
        </w:rPr>
        <w:t xml:space="preserve">in </w:t>
      </w:r>
      <w:r w:rsidR="00D56553">
        <w:rPr>
          <w:noProof/>
        </w:rPr>
        <w:t>children, adolescents, and adults</w:t>
      </w:r>
      <w:r w:rsidR="00172013">
        <w:rPr>
          <w:noProof/>
        </w:rPr>
        <w:t xml:space="preserve"> with</w:t>
      </w:r>
      <w:r w:rsidR="002B3A90">
        <w:rPr>
          <w:noProof/>
        </w:rPr>
        <w:t xml:space="preserve"> cystic fibrosis</w:t>
      </w:r>
      <w:r w:rsidR="00D56553">
        <w:rPr>
          <w:noProof/>
        </w:rPr>
        <w:t>.</w:t>
      </w:r>
      <w:r w:rsidR="002C6BFC" w:rsidRPr="00180FEA">
        <w:rPr>
          <w:noProof/>
          <w:vertAlign w:val="superscript"/>
        </w:rPr>
        <w:t>6</w:t>
      </w:r>
    </w:p>
    <w:p w14:paraId="41617D74" w14:textId="01C69E01" w:rsidR="00494065" w:rsidRDefault="00494065" w:rsidP="002D5EAA">
      <w:r>
        <w:t>Neither of the 2 RCTs that compared HFCWO devices to breathing techniques for cystic fibrosis reported exacerbations or any other outcome scoped for this review.</w:t>
      </w:r>
      <w:r w:rsidRPr="00180FEA">
        <w:rPr>
          <w:noProof/>
          <w:vertAlign w:val="superscript"/>
        </w:rPr>
        <w:t>6</w:t>
      </w:r>
    </w:p>
    <w:p w14:paraId="54168FED" w14:textId="4A54F8FC" w:rsidR="00494065" w:rsidRDefault="00494065" w:rsidP="002D5EAA">
      <w:r>
        <w:t>Only 1 of 6 studies compar</w:t>
      </w:r>
      <w:r w:rsidR="009149EB">
        <w:t>ing</w:t>
      </w:r>
      <w:r>
        <w:t xml:space="preserve"> HFCWO devices to other external and oral oscillatory devices assessed exacerbations (N = 16); it reported that there were no significant differences between groups for use of home intravenous therapies.</w:t>
      </w:r>
      <w:r w:rsidRPr="00180FEA">
        <w:rPr>
          <w:noProof/>
          <w:vertAlign w:val="superscript"/>
        </w:rPr>
        <w:t>6</w:t>
      </w:r>
    </w:p>
    <w:p w14:paraId="009C4733" w14:textId="77777777" w:rsidR="00494065" w:rsidRDefault="00494065" w:rsidP="002D5EAA">
      <w:pPr>
        <w:pStyle w:val="H2NoBK"/>
      </w:pPr>
      <w:bookmarkStart w:id="33" w:name="_Toc72335271"/>
      <w:bookmarkStart w:id="34" w:name="_Toc87358441"/>
      <w:r>
        <w:t>Bronchiectasis</w:t>
      </w:r>
      <w:bookmarkEnd w:id="33"/>
      <w:bookmarkEnd w:id="34"/>
    </w:p>
    <w:p w14:paraId="066429AD" w14:textId="5BAA6C0A" w:rsidR="00494065" w:rsidRDefault="00494065" w:rsidP="002D5EAA">
      <w:r>
        <w:t>We identified a single systematic review focused on airway clearance techniques for people diagnosed with bronchiectasis,</w:t>
      </w:r>
      <w:r w:rsidRPr="00180FEA">
        <w:rPr>
          <w:noProof/>
          <w:vertAlign w:val="superscript"/>
        </w:rPr>
        <w:t>18</w:t>
      </w:r>
      <w:r>
        <w:t xml:space="preserve"> and a single RCT (Nicollini et al., 2020; N = 60) that was published after the search dates of the systematic review.</w:t>
      </w:r>
      <w:r w:rsidRPr="00180FEA">
        <w:rPr>
          <w:noProof/>
          <w:vertAlign w:val="superscript"/>
        </w:rPr>
        <w:t>19</w:t>
      </w:r>
      <w:r>
        <w:t xml:space="preserve"> We rated the systematic review as having a low risk of bias and the RCT as having a moderate risk of bias. The systematic review included 7 RCTs, but only 1 included RCT used HFCWO devices in the intervention group (Nicollini et al., 2013; N = 30).</w:t>
      </w:r>
      <w:r w:rsidRPr="00180FEA">
        <w:rPr>
          <w:noProof/>
          <w:vertAlign w:val="superscript"/>
        </w:rPr>
        <w:t>23</w:t>
      </w:r>
      <w:r>
        <w:t xml:space="preserve"> This RCT was rated as having an unclear risk of bias by the authors of the systematic review. Both RCTs focused on adults.</w:t>
      </w:r>
      <w:r w:rsidRPr="00180FEA">
        <w:rPr>
          <w:noProof/>
          <w:vertAlign w:val="superscript"/>
        </w:rPr>
        <w:t>19,23</w:t>
      </w:r>
      <w:r>
        <w:t xml:space="preserve"> Neither of these RCTs reported on mortality.</w:t>
      </w:r>
    </w:p>
    <w:p w14:paraId="4B9F8387" w14:textId="77777777" w:rsidR="00494065" w:rsidRDefault="00494065" w:rsidP="002D5EAA">
      <w:pPr>
        <w:pStyle w:val="H3NoBK"/>
      </w:pPr>
      <w:r>
        <w:t>Exacerbations and Hospitalizations</w:t>
      </w:r>
    </w:p>
    <w:p w14:paraId="4185A16D" w14:textId="72774DB3" w:rsidR="00494065" w:rsidRDefault="00494065" w:rsidP="002D5EAA">
      <w:r>
        <w:t>In Nicollini and colleagues’ 2020 RCT, both groups that used HFCWO devices had statistically significant improvement in exacerbations during the 12 months of the study compared to the average exacerbations per year prior to baseline.</w:t>
      </w:r>
      <w:r w:rsidRPr="00180FEA">
        <w:rPr>
          <w:noProof/>
          <w:vertAlign w:val="superscript"/>
        </w:rPr>
        <w:t>19</w:t>
      </w:r>
      <w:r>
        <w:t xml:space="preserve"> Only the group that used the Respin11 HFCWO device had significantly fewer exacerbations during the 12-month study period</w:t>
      </w:r>
      <w:r w:rsidR="009149EB">
        <w:t>,</w:t>
      </w:r>
      <w:r>
        <w:t xml:space="preserve"> compared to the pharmacological comparison group that only received standard pharmacological care without HFCWO or chest physiotherapy (Respin11: mean, 0.52; standard deviation</w:t>
      </w:r>
      <w:r w:rsidR="007B2E94">
        <w:t xml:space="preserve"> [SD]</w:t>
      </w:r>
      <w:r>
        <w:t xml:space="preserve">, 0.14; control: mean, 0.96; </w:t>
      </w:r>
      <w:r w:rsidR="007B2E94">
        <w:t>SD</w:t>
      </w:r>
      <w:r>
        <w:t xml:space="preserve">, 0.40; between-group difference: </w:t>
      </w:r>
      <w:r w:rsidR="00DA4DCD">
        <w:rPr>
          <w:i/>
        </w:rPr>
        <w:t>P</w:t>
      </w:r>
      <w:r>
        <w:t xml:space="preserve"> &lt; .001).</w:t>
      </w:r>
      <w:r w:rsidRPr="00180FEA">
        <w:rPr>
          <w:noProof/>
          <w:vertAlign w:val="superscript"/>
        </w:rPr>
        <w:t>19</w:t>
      </w:r>
      <w:r>
        <w:t xml:space="preserve"> The 2 HFCWO devices included in this study are described in Table 1. </w:t>
      </w:r>
    </w:p>
    <w:p w14:paraId="3E8EA2D9" w14:textId="77777777" w:rsidR="00494065" w:rsidRDefault="00494065" w:rsidP="002D5EAA">
      <w:pPr>
        <w:pStyle w:val="H3NoBK"/>
      </w:pPr>
      <w:r>
        <w:t>Breathlessness or Cough</w:t>
      </w:r>
    </w:p>
    <w:p w14:paraId="010A26EB" w14:textId="4666FC25" w:rsidR="00494065" w:rsidRDefault="00494065" w:rsidP="002D5EAA">
      <w:r>
        <w:t>Nicollini and colleagues’ 2013 RCT</w:t>
      </w:r>
      <w:r w:rsidR="00A82000">
        <w:t xml:space="preserve">, </w:t>
      </w:r>
      <w:r>
        <w:t>identified in the systematic review</w:t>
      </w:r>
      <w:r w:rsidR="00A82000">
        <w:t>,</w:t>
      </w:r>
      <w:r>
        <w:t xml:space="preserve"> reported a statistically significant decrease in breathlessness, cough and sputum on the </w:t>
      </w:r>
      <w:r w:rsidRPr="00F450AA">
        <w:t>Breathlessness, Cough, and Sputum Scale</w:t>
      </w:r>
      <w:r>
        <w:t xml:space="preserve"> (BCSS) in the group treated with HFCWO devices compared to a control group that received chest physiotherapy (mean difference, -5.8; 95% CI, -7.21 to -4.39; N = 20; </w:t>
      </w:r>
      <w:r w:rsidR="00DA4DCD">
        <w:rPr>
          <w:i/>
        </w:rPr>
        <w:t>P</w:t>
      </w:r>
      <w:r>
        <w:t xml:space="preserve"> &lt; .05).</w:t>
      </w:r>
      <w:r w:rsidRPr="00180FEA">
        <w:rPr>
          <w:noProof/>
          <w:vertAlign w:val="superscript"/>
        </w:rPr>
        <w:t>23</w:t>
      </w:r>
      <w:r>
        <w:t xml:space="preserve"> </w:t>
      </w:r>
      <w:r w:rsidRPr="00180FEA">
        <w:t>This study summed the scores of items across 3 subscales, which makes it challenging to anchor this improvement in patient-response terms; publications that assess the clinical importance of change-scores for this scale rely on reporting the average score across subscales (i.e., mean-scores range from 0 to 4, and sum-scores range from 0 to 12 on this scale).</w:t>
      </w:r>
      <w:r>
        <w:t xml:space="preserve"> Th</w:t>
      </w:r>
      <w:r w:rsidR="008B46DA">
        <w:t xml:space="preserve">is </w:t>
      </w:r>
      <w:r>
        <w:t>RCT</w:t>
      </w:r>
      <w:r w:rsidR="008B46DA">
        <w:t xml:space="preserve"> also</w:t>
      </w:r>
      <w:r>
        <w:t xml:space="preserve"> reported that use of HFCWO devices was associated with lower scores on a dyspnea scale compared to the group that received chest physiotherapy (mean difference, -1.7; 95% CI, -2.4 to -1; N = 20; </w:t>
      </w:r>
      <w:r w:rsidR="00DA4DCD">
        <w:rPr>
          <w:i/>
        </w:rPr>
        <w:t>P</w:t>
      </w:r>
      <w:r>
        <w:t xml:space="preserve"> &lt; .05).</w:t>
      </w:r>
      <w:r w:rsidRPr="003773C8">
        <w:rPr>
          <w:noProof/>
          <w:vertAlign w:val="superscript"/>
        </w:rPr>
        <w:t xml:space="preserve"> </w:t>
      </w:r>
      <w:r>
        <w:rPr>
          <w:noProof/>
          <w:vertAlign w:val="superscript"/>
        </w:rPr>
        <w:t>23</w:t>
      </w:r>
    </w:p>
    <w:p w14:paraId="7D83AECE" w14:textId="56A86567" w:rsidR="00494065" w:rsidRDefault="00494065" w:rsidP="002D5EAA">
      <w:r>
        <w:t>The</w:t>
      </w:r>
      <w:r w:rsidRPr="00F450AA">
        <w:t xml:space="preserve"> </w:t>
      </w:r>
      <w:r>
        <w:t>additional Nicollini and colleagues</w:t>
      </w:r>
      <w:r w:rsidR="008B46DA">
        <w:t>’</w:t>
      </w:r>
      <w:r>
        <w:t xml:space="preserve"> 2020 RCT also reported that the group using the Respin11 HFCWO device demonstrated statistically significant improvement on the BCSS compared to the control group that received pharmacological therapy and standard care without HFCWO (</w:t>
      </w:r>
      <w:r w:rsidRPr="009717A0">
        <w:t>Respin11 mean at 12 months post-baseline</w:t>
      </w:r>
      <w:r>
        <w:t xml:space="preserve">, 2.8; </w:t>
      </w:r>
      <w:r w:rsidR="007B2E94">
        <w:t>SD</w:t>
      </w:r>
      <w:r>
        <w:t xml:space="preserve">, not reported; control mean at 12 months post-baseline, 6.1; </w:t>
      </w:r>
      <w:r w:rsidR="007B2E94">
        <w:t>SD</w:t>
      </w:r>
      <w:r>
        <w:t>, not reported</w:t>
      </w:r>
      <w:r w:rsidRPr="0029564F">
        <w:rPr>
          <w:i/>
        </w:rPr>
        <w:t>;</w:t>
      </w:r>
      <w:r>
        <w:t xml:space="preserve"> </w:t>
      </w:r>
      <w:r w:rsidR="00DA4DCD">
        <w:rPr>
          <w:i/>
          <w:iCs/>
        </w:rPr>
        <w:t>P</w:t>
      </w:r>
      <w:r>
        <w:t xml:space="preserve"> &lt; .001).</w:t>
      </w:r>
      <w:r w:rsidRPr="009717A0">
        <w:t>19</w:t>
      </w:r>
      <w:r>
        <w:t xml:space="preserve"> </w:t>
      </w:r>
      <w:r w:rsidRPr="009717A0">
        <w:t xml:space="preserve">The group that used the SmartVest HFCWO device did not demonstrate a </w:t>
      </w:r>
      <w:r w:rsidRPr="009717A0">
        <w:lastRenderedPageBreak/>
        <w:t xml:space="preserve">significant improvement </w:t>
      </w:r>
      <w:r w:rsidR="000E2C76">
        <w:t>o</w:t>
      </w:r>
      <w:r w:rsidR="008B46DA" w:rsidRPr="009717A0">
        <w:t>n</w:t>
      </w:r>
      <w:r w:rsidRPr="009717A0">
        <w:t xml:space="preserve"> the BCSS compared to the control group (SmartVest mean at 12 months post-baseline, 4.5; </w:t>
      </w:r>
      <w:r w:rsidR="007B2E94">
        <w:t>SD</w:t>
      </w:r>
      <w:r w:rsidRPr="009717A0">
        <w:t xml:space="preserve">, not reported; control mean at 12 months post-baseline, 6.1; </w:t>
      </w:r>
      <w:r w:rsidR="007B2E94">
        <w:t>SD</w:t>
      </w:r>
      <w:r w:rsidRPr="009717A0">
        <w:t xml:space="preserve">, not reported; </w:t>
      </w:r>
      <w:r w:rsidR="00DA4DCD">
        <w:rPr>
          <w:i/>
          <w:iCs/>
        </w:rPr>
        <w:t>P</w:t>
      </w:r>
      <w:r w:rsidR="0098434F">
        <w:t> </w:t>
      </w:r>
      <w:r w:rsidRPr="009717A0">
        <w:t>&gt;</w:t>
      </w:r>
      <w:r w:rsidR="0098434F">
        <w:t> </w:t>
      </w:r>
      <w:r w:rsidRPr="009717A0">
        <w:t>.05).</w:t>
      </w:r>
    </w:p>
    <w:p w14:paraId="3FD5FFD6" w14:textId="77777777" w:rsidR="00494065" w:rsidRDefault="00494065" w:rsidP="002D5EAA">
      <w:pPr>
        <w:pStyle w:val="H3NoBK"/>
      </w:pPr>
      <w:r>
        <w:t>Exercise Capacity</w:t>
      </w:r>
    </w:p>
    <w:p w14:paraId="0FC48272" w14:textId="5B5B724A" w:rsidR="00494065" w:rsidRPr="00B04D03" w:rsidRDefault="00494065" w:rsidP="002D5EAA">
      <w:r>
        <w:t>The</w:t>
      </w:r>
      <w:r w:rsidRPr="00F450AA">
        <w:t xml:space="preserve"> </w:t>
      </w:r>
      <w:r>
        <w:t>Nicollini and colleagues</w:t>
      </w:r>
      <w:r w:rsidR="008B46DA">
        <w:t>’</w:t>
      </w:r>
      <w:r>
        <w:t xml:space="preserve"> 2020 RCT used a 6-minute walk test to assess exercise capacity but did not report the results of the walk test.</w:t>
      </w:r>
      <w:r w:rsidRPr="00180FEA">
        <w:rPr>
          <w:noProof/>
          <w:vertAlign w:val="superscript"/>
        </w:rPr>
        <w:t>19</w:t>
      </w:r>
    </w:p>
    <w:p w14:paraId="00CD10C1" w14:textId="62168884" w:rsidR="00494065" w:rsidRPr="00C2689F" w:rsidRDefault="00494065" w:rsidP="002D5EAA">
      <w:pPr>
        <w:pStyle w:val="H2NoBK"/>
      </w:pPr>
      <w:bookmarkStart w:id="35" w:name="_Toc72335272"/>
      <w:bookmarkStart w:id="36" w:name="_Toc87358442"/>
      <w:r>
        <w:t>COPD</w:t>
      </w:r>
      <w:bookmarkEnd w:id="35"/>
      <w:bookmarkEnd w:id="36"/>
    </w:p>
    <w:p w14:paraId="56087E93" w14:textId="59CE2DF8" w:rsidR="00494065" w:rsidRDefault="00494065" w:rsidP="002D5EAA">
      <w:r>
        <w:t>We identified a single RCT that reported on the safety and effectiveness of HFCW</w:t>
      </w:r>
      <w:r w:rsidR="008B46DA">
        <w:t>O</w:t>
      </w:r>
      <w:r>
        <w:t xml:space="preserve"> devices compared to intrapulmonary percussive ventilation in patients with severe COPD, and rated this RCT as having a moderate risk of bias.</w:t>
      </w:r>
      <w:r w:rsidRPr="006D5E23">
        <w:rPr>
          <w:noProof/>
          <w:vertAlign w:val="superscript"/>
        </w:rPr>
        <w:t>20</w:t>
      </w:r>
      <w:r>
        <w:t xml:space="preserve"> The listed authors overlapped with the 2 RCTs reviewed in the bronchiectasis section, and the design of all 3 RCTs was similar.</w:t>
      </w:r>
      <w:r w:rsidRPr="006D5E23">
        <w:rPr>
          <w:noProof/>
          <w:vertAlign w:val="superscript"/>
        </w:rPr>
        <w:t>20</w:t>
      </w:r>
      <w:r>
        <w:t xml:space="preserve"> Participants in this study had severe </w:t>
      </w:r>
      <w:r w:rsidR="00604676">
        <w:t xml:space="preserve">or </w:t>
      </w:r>
      <w:r>
        <w:t xml:space="preserve">very severe </w:t>
      </w:r>
      <w:r w:rsidR="00604676">
        <w:t xml:space="preserve">(but stable) </w:t>
      </w:r>
      <w:r>
        <w:t>COPD and were followed for 4 weeks a</w:t>
      </w:r>
      <w:r w:rsidR="002E0B7A">
        <w:t>fter</w:t>
      </w:r>
      <w:r>
        <w:t xml:space="preserve"> being randomized into 3 groups: 1 group received 2 sessions per day </w:t>
      </w:r>
      <w:r w:rsidR="0098434F">
        <w:t>(</w:t>
      </w:r>
      <w:r>
        <w:t>lasting 15 minutes per session</w:t>
      </w:r>
      <w:r w:rsidR="0098434F">
        <w:t>)</w:t>
      </w:r>
      <w:r>
        <w:t xml:space="preserve"> of intrapulmonary percussive ventilation with a respiratory physiotherapist using a percussive ventilator; 1 group received 2 sessions per day </w:t>
      </w:r>
      <w:r w:rsidR="0098434F">
        <w:t>(</w:t>
      </w:r>
      <w:r>
        <w:t>lasting 20 minutes per session</w:t>
      </w:r>
      <w:r w:rsidR="0098434F">
        <w:t xml:space="preserve">) </w:t>
      </w:r>
      <w:r>
        <w:t>of HFCWO with a respiratory physiotherapy; and 1 group received standard pharmacological therapy alone that the investigators termed “the best medical therapy.”</w:t>
      </w:r>
      <w:r w:rsidRPr="006D5E23">
        <w:rPr>
          <w:noProof/>
          <w:vertAlign w:val="superscript"/>
        </w:rPr>
        <w:t>20</w:t>
      </w:r>
      <w:r>
        <w:t xml:space="preserve"> Most participants were 70 years or older and had more than 2 exacerbations and 1 hospitalization per year.</w:t>
      </w:r>
      <w:r w:rsidRPr="006D5E23">
        <w:rPr>
          <w:noProof/>
          <w:vertAlign w:val="superscript"/>
        </w:rPr>
        <w:t>20</w:t>
      </w:r>
      <w:r>
        <w:t xml:space="preserve"> This study did not report mortality, hospitalizations, exacerbations, or exercise capacity.</w:t>
      </w:r>
      <w:r w:rsidRPr="006D5E23">
        <w:rPr>
          <w:noProof/>
          <w:vertAlign w:val="superscript"/>
        </w:rPr>
        <w:t>20</w:t>
      </w:r>
    </w:p>
    <w:p w14:paraId="1EECABAA" w14:textId="77777777" w:rsidR="00494065" w:rsidRDefault="00494065" w:rsidP="002D5EAA">
      <w:pPr>
        <w:pStyle w:val="H3NoBK"/>
      </w:pPr>
      <w:r>
        <w:t>Breathlessness or Cough</w:t>
      </w:r>
    </w:p>
    <w:p w14:paraId="78826B07" w14:textId="12792B72" w:rsidR="00494065" w:rsidRPr="00C226EE" w:rsidRDefault="00494065" w:rsidP="002D5EAA">
      <w:r>
        <w:t xml:space="preserve">The average BCSS score for participants in the control group worsened over time, but average BCSS scores for participants in the intrapulmonary percussive ventilation and HFCWO groups improved; both treatment groups had statistically significantly lower BCSS scores when compared to the standard treatment group (control group baseline mean, 4.6; </w:t>
      </w:r>
      <w:r w:rsidR="007B2E94">
        <w:t>SD</w:t>
      </w:r>
      <w:r>
        <w:t xml:space="preserve">, 1.7; control group post-treatment mean, 5.5; </w:t>
      </w:r>
      <w:r w:rsidR="007B2E94">
        <w:t>SD</w:t>
      </w:r>
      <w:r>
        <w:t>, 2.1).</w:t>
      </w:r>
      <w:r w:rsidRPr="00A612B4">
        <w:rPr>
          <w:noProof/>
          <w:vertAlign w:val="superscript"/>
        </w:rPr>
        <w:t>20</w:t>
      </w:r>
      <w:r>
        <w:t xml:space="preserve"> Symptoms were nearly halved in the group receiving intrapulmonary percussive ventilation (intrapulmonary percussive ventilation group baseline mean, 6.3; </w:t>
      </w:r>
      <w:r w:rsidR="007B2E94">
        <w:t>SD</w:t>
      </w:r>
      <w:r>
        <w:t xml:space="preserve">, 1.4; intrapulmonary percussive ventilation group post-treatment mean, 3.1; </w:t>
      </w:r>
      <w:r w:rsidR="007B2E94">
        <w:t>SD</w:t>
      </w:r>
      <w:r>
        <w:t>, 1.7).</w:t>
      </w:r>
      <w:r w:rsidRPr="00A612B4">
        <w:rPr>
          <w:noProof/>
          <w:vertAlign w:val="superscript"/>
        </w:rPr>
        <w:t>20</w:t>
      </w:r>
      <w:r>
        <w:t xml:space="preserve"> The intrapulmonary percussive ventilation group BCSS scores were statistically significantly lower than HFCWO group </w:t>
      </w:r>
      <w:r w:rsidR="00C46ED1">
        <w:t xml:space="preserve">scores </w:t>
      </w:r>
      <w:r>
        <w:t xml:space="preserve">after the 4 weeks of treatment (HFCWO group baseline mean, 6.6; </w:t>
      </w:r>
      <w:r w:rsidR="007B2E94">
        <w:t>SD</w:t>
      </w:r>
      <w:r>
        <w:t xml:space="preserve">, 2.8; HFCWO group post-treatment mean, 5.2; </w:t>
      </w:r>
      <w:r w:rsidR="007B2E94">
        <w:t>SD</w:t>
      </w:r>
      <w:r>
        <w:t xml:space="preserve">, 2.2; between-group difference, </w:t>
      </w:r>
      <w:r w:rsidR="00DA4DCD">
        <w:rPr>
          <w:i/>
        </w:rPr>
        <w:t>P</w:t>
      </w:r>
      <w:r w:rsidRPr="00CE0AE9">
        <w:rPr>
          <w:i/>
        </w:rPr>
        <w:t xml:space="preserve"> </w:t>
      </w:r>
      <w:r>
        <w:t>&lt; .01).</w:t>
      </w:r>
      <w:r w:rsidRPr="00A612B4">
        <w:rPr>
          <w:noProof/>
          <w:vertAlign w:val="superscript"/>
        </w:rPr>
        <w:t>20</w:t>
      </w:r>
      <w:r>
        <w:rPr>
          <w:noProof/>
        </w:rPr>
        <w:t xml:space="preserve"> In other words, the participants in the intrapulmonary percussive ventilation group improved more on symptoms of breathlessness or cough on average, compared to participants who received HFCWO</w:t>
      </w:r>
      <w:r w:rsidR="002E0B7A">
        <w:rPr>
          <w:noProof/>
        </w:rPr>
        <w:t xml:space="preserve"> device</w:t>
      </w:r>
      <w:r w:rsidR="00604676">
        <w:rPr>
          <w:noProof/>
        </w:rPr>
        <w:t xml:space="preserve"> therapy</w:t>
      </w:r>
      <w:r>
        <w:rPr>
          <w:noProof/>
        </w:rPr>
        <w:t>.</w:t>
      </w:r>
    </w:p>
    <w:p w14:paraId="3E50D651" w14:textId="782A0A94" w:rsidR="00494065" w:rsidRDefault="00494065" w:rsidP="002D5EAA">
      <w:pPr>
        <w:pStyle w:val="H2NoBK"/>
      </w:pPr>
      <w:bookmarkStart w:id="37" w:name="_Toc72335273"/>
      <w:bookmarkStart w:id="38" w:name="_Toc87358443"/>
      <w:r>
        <w:t xml:space="preserve">Pulmonary Complications </w:t>
      </w:r>
      <w:r w:rsidR="002E0B7A">
        <w:t>from</w:t>
      </w:r>
      <w:r>
        <w:t xml:space="preserve"> Neuromuscular D</w:t>
      </w:r>
      <w:r w:rsidRPr="00230D48">
        <w:t>isease</w:t>
      </w:r>
      <w:bookmarkEnd w:id="37"/>
      <w:bookmarkEnd w:id="38"/>
    </w:p>
    <w:p w14:paraId="7953CB7D" w14:textId="3559C06C" w:rsidR="00E77607" w:rsidRDefault="00494065" w:rsidP="002D5EAA">
      <w:pPr>
        <w:rPr>
          <w:noProof/>
        </w:rPr>
      </w:pPr>
      <w:r>
        <w:t xml:space="preserve">We identified </w:t>
      </w:r>
      <w:r w:rsidR="00050C62">
        <w:t>2</w:t>
      </w:r>
      <w:r>
        <w:t xml:space="preserve"> RCT</w:t>
      </w:r>
      <w:r w:rsidR="00050C62">
        <w:t>s</w:t>
      </w:r>
      <w:r>
        <w:t xml:space="preserve"> that assessed the safety and effectiveness of HFCWO devices for individuals diagnosed with a neuromuscular disease with pulmonary complications</w:t>
      </w:r>
      <w:r w:rsidR="00050C62">
        <w:t>.</w:t>
      </w:r>
      <w:r w:rsidR="001B7D34">
        <w:rPr>
          <w:vertAlign w:val="superscript"/>
        </w:rPr>
        <w:t>21,44</w:t>
      </w:r>
      <w:r>
        <w:t xml:space="preserve"> </w:t>
      </w:r>
      <w:r w:rsidR="00050C62">
        <w:t>One</w:t>
      </w:r>
      <w:r>
        <w:t xml:space="preserve"> RCT focused on adults diagnosed with ALS.</w:t>
      </w:r>
      <w:r w:rsidRPr="00A612B4">
        <w:rPr>
          <w:noProof/>
          <w:vertAlign w:val="superscript"/>
        </w:rPr>
        <w:t>21</w:t>
      </w:r>
      <w:r>
        <w:t xml:space="preserve"> Participants in this study were followed for 12 weeks after being randomized into groups that received HFCWO therapy (N = 19) or no treatment (N = 16).</w:t>
      </w:r>
      <w:r w:rsidRPr="00A612B4">
        <w:rPr>
          <w:noProof/>
          <w:vertAlign w:val="superscript"/>
        </w:rPr>
        <w:t>21</w:t>
      </w:r>
      <w:r>
        <w:t xml:space="preserve"> We rated this RCT as having a high risk of bias. This study did not report mortality, exacerbations, hospitalizations, or exercise capacity.</w:t>
      </w:r>
      <w:r w:rsidR="009D5951" w:rsidRPr="009D5951">
        <w:rPr>
          <w:noProof/>
        </w:rPr>
        <w:t xml:space="preserve"> </w:t>
      </w:r>
    </w:p>
    <w:p w14:paraId="3E3AB51F" w14:textId="563643A2" w:rsidR="00494065" w:rsidRPr="00275AC1" w:rsidRDefault="009D5951" w:rsidP="002D5EAA">
      <w:r>
        <w:rPr>
          <w:noProof/>
        </w:rPr>
        <w:t xml:space="preserve">The </w:t>
      </w:r>
      <w:r w:rsidR="00E77607">
        <w:rPr>
          <w:noProof/>
        </w:rPr>
        <w:t>second</w:t>
      </w:r>
      <w:r>
        <w:rPr>
          <w:noProof/>
        </w:rPr>
        <w:t xml:space="preserve"> RCT </w:t>
      </w:r>
      <w:r w:rsidR="00517DA4">
        <w:rPr>
          <w:noProof/>
        </w:rPr>
        <w:t>included 14</w:t>
      </w:r>
      <w:r>
        <w:rPr>
          <w:noProof/>
        </w:rPr>
        <w:t xml:space="preserve"> children various neuromuscular diseases (i.e</w:t>
      </w:r>
      <w:r w:rsidR="003C0871">
        <w:rPr>
          <w:noProof/>
        </w:rPr>
        <w:t>.</w:t>
      </w:r>
      <w:r>
        <w:rPr>
          <w:noProof/>
        </w:rPr>
        <w:t>, Duchenne muscular dystrophy, unown mitochondrial myopathy, con</w:t>
      </w:r>
      <w:r w:rsidR="003C0871">
        <w:rPr>
          <w:noProof/>
        </w:rPr>
        <w:t>g</w:t>
      </w:r>
      <w:r>
        <w:rPr>
          <w:noProof/>
        </w:rPr>
        <w:t xml:space="preserve">enital muscular dystrophy, mitochondrial thymidine </w:t>
      </w:r>
      <w:r>
        <w:rPr>
          <w:noProof/>
        </w:rPr>
        <w:lastRenderedPageBreak/>
        <w:t>kinase 2 deficiency, spinal muscular atrophy type 2, muscle-eye-brain disease, and giant axonal neuropathy).</w:t>
      </w:r>
      <w:r>
        <w:rPr>
          <w:noProof/>
          <w:vertAlign w:val="superscript"/>
        </w:rPr>
        <w:t>44</w:t>
      </w:r>
      <w:r w:rsidR="00517DA4">
        <w:rPr>
          <w:noProof/>
        </w:rPr>
        <w:t xml:space="preserve"> None of the participating children had used cough-assistive devices or intrapulmonary percussive ventilation prior to the trial, but 10 relied on nocturnal noninvasive bilevel ventilation and 1 was dependent on a ventilator.</w:t>
      </w:r>
      <w:r w:rsidR="00517DA4">
        <w:rPr>
          <w:noProof/>
          <w:vertAlign w:val="superscript"/>
        </w:rPr>
        <w:t>44</w:t>
      </w:r>
      <w:r w:rsidR="00E77607">
        <w:rPr>
          <w:noProof/>
        </w:rPr>
        <w:t xml:space="preserve"> Participants were randomized to receive standard chest physiotherapy </w:t>
      </w:r>
      <w:r w:rsidR="002A03E6">
        <w:rPr>
          <w:noProof/>
        </w:rPr>
        <w:t xml:space="preserve">(N = 7) </w:t>
      </w:r>
      <w:r w:rsidR="00E77607">
        <w:rPr>
          <w:noProof/>
        </w:rPr>
        <w:t xml:space="preserve">or to receive HFCWO device therapy </w:t>
      </w:r>
      <w:r w:rsidR="002A03E6">
        <w:rPr>
          <w:noProof/>
        </w:rPr>
        <w:t xml:space="preserve">(N = 7) </w:t>
      </w:r>
      <w:r w:rsidR="00532561">
        <w:rPr>
          <w:noProof/>
        </w:rPr>
        <w:t>for a mean of 5 months; follow-up periods varied nonsignificantly by participant and group assignment.</w:t>
      </w:r>
      <w:r w:rsidR="00532561">
        <w:rPr>
          <w:noProof/>
          <w:vertAlign w:val="superscript"/>
        </w:rPr>
        <w:t>44</w:t>
      </w:r>
      <w:r w:rsidR="00275AC1">
        <w:rPr>
          <w:noProof/>
        </w:rPr>
        <w:t xml:space="preserve"> </w:t>
      </w:r>
      <w:r w:rsidR="0032471D">
        <w:rPr>
          <w:noProof/>
        </w:rPr>
        <w:t>An additional 9 participants in this RCT were diagnosed with cerebral palsey, but did not have neuromuscular disease diagnoses;</w:t>
      </w:r>
      <w:r w:rsidR="0032471D">
        <w:rPr>
          <w:noProof/>
          <w:vertAlign w:val="superscript"/>
        </w:rPr>
        <w:t>44</w:t>
      </w:r>
      <w:r w:rsidR="0032471D">
        <w:rPr>
          <w:noProof/>
        </w:rPr>
        <w:t xml:space="preserve"> we report outcomes from this study when the results were reported separately for participants with cerbral palsey and participants with neuromuscular disease (i.e., pulmonary exacerbations and hospitalizations).</w:t>
      </w:r>
      <w:r w:rsidR="0032471D" w:rsidRPr="0032471D">
        <w:rPr>
          <w:noProof/>
        </w:rPr>
        <w:t xml:space="preserve"> </w:t>
      </w:r>
      <w:r w:rsidR="0032471D">
        <w:rPr>
          <w:noProof/>
        </w:rPr>
        <w:t>We rated this study as having a high risk of bias.</w:t>
      </w:r>
    </w:p>
    <w:p w14:paraId="5376D040" w14:textId="77777777" w:rsidR="00275AC1" w:rsidRDefault="00275AC1" w:rsidP="00275AC1">
      <w:pPr>
        <w:pStyle w:val="H3NoBK"/>
      </w:pPr>
      <w:r>
        <w:t>Exacerbations and Hospitalizations</w:t>
      </w:r>
    </w:p>
    <w:p w14:paraId="54AEDD90" w14:textId="32113D03" w:rsidR="00275AC1" w:rsidRPr="00452866" w:rsidRDefault="002A03E6" w:rsidP="00452866">
      <w:pPr>
        <w:rPr>
          <w:vertAlign w:val="superscript"/>
        </w:rPr>
      </w:pPr>
      <w:r>
        <w:t xml:space="preserve">The RCT </w:t>
      </w:r>
      <w:r w:rsidR="005352AD">
        <w:t xml:space="preserve">that included children with neuromuscular disease reported hospitalization and pulmonary exacerbations that required antibiotics. There was a nonsignificant difference in the number of control group participants requiring hospitalizations (2/7) compared to the HFCWO device group (0/7; </w:t>
      </w:r>
      <w:r w:rsidR="005352AD" w:rsidRPr="00452866">
        <w:rPr>
          <w:i/>
          <w:iCs/>
        </w:rPr>
        <w:t xml:space="preserve">P </w:t>
      </w:r>
      <w:r w:rsidR="005352AD">
        <w:t xml:space="preserve">&gt; .05), and nonsignificant difference between control group participants requiring antibiotics (3/7) compared to the HFCWO device group (2/7; </w:t>
      </w:r>
      <w:r w:rsidR="005352AD" w:rsidRPr="00452866">
        <w:rPr>
          <w:i/>
          <w:iCs/>
        </w:rPr>
        <w:t xml:space="preserve">P </w:t>
      </w:r>
      <w:r w:rsidR="005352AD">
        <w:t>&gt; .05).</w:t>
      </w:r>
      <w:r w:rsidR="0032471D">
        <w:rPr>
          <w:vertAlign w:val="superscript"/>
        </w:rPr>
        <w:t>44</w:t>
      </w:r>
    </w:p>
    <w:p w14:paraId="6D433BFA" w14:textId="429B2388" w:rsidR="00494065" w:rsidRDefault="00494065" w:rsidP="002D5EAA">
      <w:pPr>
        <w:pStyle w:val="H3NoBK"/>
      </w:pPr>
      <w:r>
        <w:t>Breathlessness or Cough</w:t>
      </w:r>
    </w:p>
    <w:p w14:paraId="4760DE3B" w14:textId="5D36F3F6" w:rsidR="00494065" w:rsidRDefault="00494065" w:rsidP="002D5EAA">
      <w:r>
        <w:t xml:space="preserve">On average, participants in the HFCWO device group had a statistically significantly greater decrease in breathlessness (HFCWO group mean difference, -1.28; group receiving no care mean difference, 0.84; </w:t>
      </w:r>
      <w:r w:rsidR="00DA4DCD">
        <w:rPr>
          <w:i/>
        </w:rPr>
        <w:t>P </w:t>
      </w:r>
      <w:r>
        <w:t>&lt;</w:t>
      </w:r>
      <w:r w:rsidR="00DA4DCD">
        <w:t> </w:t>
      </w:r>
      <w:r>
        <w:t>.05)</w:t>
      </w:r>
      <w:r w:rsidR="002A03E6">
        <w:t xml:space="preserve"> in the RCT that included adults with ALS</w:t>
      </w:r>
      <w:r>
        <w:t>, but no statistically significant differences in day or night cough or dyspnea.</w:t>
      </w:r>
      <w:r w:rsidRPr="00A612B4">
        <w:rPr>
          <w:noProof/>
          <w:vertAlign w:val="superscript"/>
        </w:rPr>
        <w:t>21</w:t>
      </w:r>
      <w:r>
        <w:t xml:space="preserve"> Among the 21 participants with impaired lung capacity (forced vital capacity of 40% to 70%)</w:t>
      </w:r>
      <w:r w:rsidR="002A03E6">
        <w:t xml:space="preserve"> in this RCT</w:t>
      </w:r>
      <w:r>
        <w:t xml:space="preserve">, this pattern of improvement in breathlessness for participants using HFCWO devices was further accentuated (HFCWO group mean difference, -1.71; </w:t>
      </w:r>
      <w:r w:rsidDel="0086295A">
        <w:t>untreated</w:t>
      </w:r>
      <w:r>
        <w:t xml:space="preserve"> group mean difference, 1.51; </w:t>
      </w:r>
      <w:r w:rsidR="00DA4DCD">
        <w:rPr>
          <w:i/>
        </w:rPr>
        <w:t>P</w:t>
      </w:r>
      <w:r>
        <w:t xml:space="preserve"> &lt; .05).</w:t>
      </w:r>
      <w:r w:rsidRPr="00A612B4">
        <w:rPr>
          <w:noProof/>
          <w:vertAlign w:val="superscript"/>
        </w:rPr>
        <w:t>21</w:t>
      </w:r>
    </w:p>
    <w:p w14:paraId="6A3A5360" w14:textId="594EC845" w:rsidR="00494065" w:rsidRDefault="00494065" w:rsidP="002D5EAA">
      <w:pPr>
        <w:pStyle w:val="H2NoBK"/>
      </w:pPr>
      <w:bookmarkStart w:id="39" w:name="_Toc72335274"/>
      <w:bookmarkStart w:id="40" w:name="_Toc87358444"/>
      <w:r>
        <w:t>Harms of HFCWO Devices</w:t>
      </w:r>
      <w:bookmarkEnd w:id="39"/>
      <w:bookmarkEnd w:id="40"/>
    </w:p>
    <w:p w14:paraId="5A9D70D3" w14:textId="3CDE095C" w:rsidR="00494065" w:rsidRDefault="00494065" w:rsidP="002D5EAA">
      <w:r>
        <w:t xml:space="preserve">We reviewed the RCTs described above for information about </w:t>
      </w:r>
      <w:r w:rsidR="00BD4C11">
        <w:rPr>
          <w:rFonts w:ascii="Calibri" w:eastAsia="Calibri" w:hAnsi="Calibri" w:cs="Arial"/>
        </w:rPr>
        <w:t>device-related</w:t>
      </w:r>
      <w:r w:rsidR="00BD4C11">
        <w:t xml:space="preserve"> </w:t>
      </w:r>
      <w:r>
        <w:t>harms and adverse events</w:t>
      </w:r>
      <w:r w:rsidR="0022034D">
        <w:t>. We</w:t>
      </w:r>
      <w:r>
        <w:t xml:space="preserve"> also searched the FDA’s manufacturer and user facility device experience database (MAUDE) for report</w:t>
      </w:r>
      <w:r w:rsidR="0022034D">
        <w:t>s</w:t>
      </w:r>
      <w:r>
        <w:t xml:space="preserve"> of adverse events for each of the HFCWO devices listed in the technology description.</w:t>
      </w:r>
    </w:p>
    <w:p w14:paraId="64FE3E85" w14:textId="5D1FCDF3" w:rsidR="00494065" w:rsidRDefault="00494065" w:rsidP="002D5EAA">
      <w:r>
        <w:t>A single RCT comparing HFCWO devices to positive expiratory pressure therapy for patients with cystic fibrosis reported adverse events.</w:t>
      </w:r>
      <w:r w:rsidRPr="00A612B4">
        <w:rPr>
          <w:noProof/>
          <w:vertAlign w:val="superscript"/>
        </w:rPr>
        <w:t>24</w:t>
      </w:r>
      <w:r>
        <w:t xml:space="preserve"> This RCT</w:t>
      </w:r>
      <w:r w:rsidRPr="00E30878">
        <w:t xml:space="preserve"> </w:t>
      </w:r>
      <w:r>
        <w:t>was included in the systematic review described in the cystic fibrosis section,</w:t>
      </w:r>
      <w:r w:rsidRPr="00E30878">
        <w:t xml:space="preserve"> </w:t>
      </w:r>
      <w:r>
        <w:t>and used the inCourage System from RespirTech for the HFCWO device.</w:t>
      </w:r>
      <w:r w:rsidRPr="00A612B4">
        <w:rPr>
          <w:noProof/>
          <w:vertAlign w:val="superscript"/>
        </w:rPr>
        <w:t>6,24</w:t>
      </w:r>
      <w:r>
        <w:t xml:space="preserve"> The </w:t>
      </w:r>
      <w:r w:rsidR="0022034D">
        <w:t xml:space="preserve">authors </w:t>
      </w:r>
      <w:r>
        <w:t>for this RCT reported that the number of adverse events was not</w:t>
      </w:r>
      <w:r w:rsidR="00E725CE">
        <w:t xml:space="preserve"> statistically</w:t>
      </w:r>
      <w:r>
        <w:t xml:space="preserve"> different between the 2 groups (HFCWO, 200 events; positive expiratory pressure, 163 events; </w:t>
      </w:r>
      <w:r w:rsidR="00DA4DCD">
        <w:rPr>
          <w:i/>
        </w:rPr>
        <w:t>P</w:t>
      </w:r>
      <w:r>
        <w:t xml:space="preserve"> &gt; .05).</w:t>
      </w:r>
      <w:r w:rsidRPr="00420292">
        <w:rPr>
          <w:noProof/>
          <w:vertAlign w:val="superscript"/>
        </w:rPr>
        <w:t>23</w:t>
      </w:r>
      <w:r>
        <w:t xml:space="preserve"> However, the HFCWO device group had significantly more lower airway adverse events (mean, 2.46; </w:t>
      </w:r>
      <w:r w:rsidR="007B2E94">
        <w:t>SD</w:t>
      </w:r>
      <w:r w:rsidR="00337C65">
        <w:t>,</w:t>
      </w:r>
      <w:r>
        <w:t xml:space="preserve"> not reported) compared to the positive expiratory pressure group (mean, 1.72; </w:t>
      </w:r>
      <w:r w:rsidR="007B2E94">
        <w:t>SD</w:t>
      </w:r>
      <w:r>
        <w:t xml:space="preserve"> not reported; </w:t>
      </w:r>
      <w:r w:rsidR="00DA4DCD">
        <w:rPr>
          <w:i/>
        </w:rPr>
        <w:t>P</w:t>
      </w:r>
      <w:r>
        <w:t xml:space="preserve"> = .023).</w:t>
      </w:r>
      <w:r w:rsidRPr="00A612B4">
        <w:rPr>
          <w:noProof/>
          <w:vertAlign w:val="superscript"/>
        </w:rPr>
        <w:t>24</w:t>
      </w:r>
      <w:r>
        <w:t xml:space="preserve"> Lower airway events included increased cough, chest infection, </w:t>
      </w:r>
      <w:r w:rsidR="00337C65">
        <w:t>hemoptysis</w:t>
      </w:r>
      <w:r>
        <w:t>, decreased lung function and chest pain.</w:t>
      </w:r>
      <w:r>
        <w:rPr>
          <w:noProof/>
          <w:vertAlign w:val="superscript"/>
        </w:rPr>
        <w:t>24</w:t>
      </w:r>
    </w:p>
    <w:p w14:paraId="08B1556D" w14:textId="7514FF00" w:rsidR="00494065" w:rsidRDefault="00494065" w:rsidP="002D5EAA">
      <w:r>
        <w:t>Reports identified in the MAUDE database are listed in Ta</w:t>
      </w:r>
      <w:r w:rsidR="00E725CE">
        <w:t>b</w:t>
      </w:r>
      <w:r>
        <w:t>le 2</w:t>
      </w:r>
      <w:r w:rsidR="00E725CE">
        <w:t>,</w:t>
      </w:r>
      <w:r>
        <w:t xml:space="preserve"> by device.</w:t>
      </w:r>
    </w:p>
    <w:p w14:paraId="1626F9A9" w14:textId="77777777" w:rsidR="00494065" w:rsidRDefault="00494065" w:rsidP="002D5EAA">
      <w:pPr>
        <w:pStyle w:val="Tablecaption"/>
      </w:pPr>
      <w:r>
        <w:lastRenderedPageBreak/>
        <w:t>Table 2. Adverse Events Reported in MAUDE by HFCWO Device</w:t>
      </w:r>
    </w:p>
    <w:tbl>
      <w:tblPr>
        <w:tblStyle w:val="TableGrid"/>
        <w:tblpPr w:leftFromText="180" w:rightFromText="180" w:vertAnchor="text" w:horzAnchor="margin" w:tblpY="188"/>
        <w:tblW w:w="9445" w:type="dxa"/>
        <w:tblLayout w:type="fixed"/>
        <w:tblLook w:val="04A0" w:firstRow="1" w:lastRow="0" w:firstColumn="1" w:lastColumn="0" w:noHBand="0" w:noVBand="1"/>
      </w:tblPr>
      <w:tblGrid>
        <w:gridCol w:w="2695"/>
        <w:gridCol w:w="1620"/>
        <w:gridCol w:w="5130"/>
      </w:tblGrid>
      <w:tr w:rsidR="00494065" w14:paraId="208F6307" w14:textId="77777777" w:rsidTr="0029564F">
        <w:trPr>
          <w:trHeight w:val="525"/>
        </w:trPr>
        <w:tc>
          <w:tcPr>
            <w:tcW w:w="0" w:type="dxa"/>
            <w:shd w:val="clear" w:color="auto" w:fill="9CC2E5" w:themeFill="accent1" w:themeFillTint="99"/>
            <w:vAlign w:val="center"/>
          </w:tcPr>
          <w:p w14:paraId="704491AC" w14:textId="77777777" w:rsidR="00494065" w:rsidRPr="0029564F" w:rsidRDefault="00494065" w:rsidP="002D5EAA">
            <w:pPr>
              <w:spacing w:after="0"/>
              <w:rPr>
                <w:rFonts w:ascii="Calibri" w:eastAsia="Calibri" w:hAnsi="Calibri" w:cs="Arial"/>
                <w:b/>
                <w:sz w:val="20"/>
                <w:szCs w:val="20"/>
              </w:rPr>
            </w:pPr>
            <w:r w:rsidRPr="0029564F">
              <w:rPr>
                <w:rFonts w:ascii="Calibri" w:eastAsia="Calibri" w:hAnsi="Calibri" w:cs="Arial"/>
                <w:b/>
                <w:sz w:val="20"/>
                <w:szCs w:val="20"/>
              </w:rPr>
              <w:t>Device Name</w:t>
            </w:r>
          </w:p>
          <w:p w14:paraId="1195660E" w14:textId="77777777" w:rsidR="00494065" w:rsidRPr="0029564F" w:rsidRDefault="00494065" w:rsidP="002D5EAA">
            <w:pPr>
              <w:spacing w:after="0"/>
              <w:rPr>
                <w:rFonts w:ascii="Calibri" w:eastAsia="Calibri" w:hAnsi="Calibri" w:cs="Arial"/>
                <w:b/>
                <w:sz w:val="20"/>
                <w:szCs w:val="20"/>
              </w:rPr>
            </w:pPr>
            <w:r w:rsidRPr="0029564F">
              <w:rPr>
                <w:rFonts w:ascii="Calibri" w:eastAsia="Calibri" w:hAnsi="Calibri" w:cs="Arial"/>
                <w:b/>
                <w:sz w:val="20"/>
                <w:szCs w:val="20"/>
              </w:rPr>
              <w:t>FDA Approval Date</w:t>
            </w:r>
          </w:p>
        </w:tc>
        <w:tc>
          <w:tcPr>
            <w:tcW w:w="0" w:type="dxa"/>
            <w:shd w:val="clear" w:color="auto" w:fill="9CC2E5" w:themeFill="accent1" w:themeFillTint="99"/>
            <w:vAlign w:val="center"/>
          </w:tcPr>
          <w:p w14:paraId="2B78D039" w14:textId="77777777" w:rsidR="00494065" w:rsidRPr="0029564F" w:rsidRDefault="00494065" w:rsidP="002D5EAA">
            <w:pPr>
              <w:spacing w:after="0"/>
              <w:rPr>
                <w:rFonts w:ascii="Calibri" w:eastAsia="Calibri" w:hAnsi="Calibri" w:cs="Arial"/>
                <w:b/>
                <w:sz w:val="20"/>
                <w:szCs w:val="20"/>
              </w:rPr>
            </w:pPr>
            <w:r w:rsidRPr="0029564F">
              <w:rPr>
                <w:rFonts w:ascii="Calibri" w:eastAsia="Calibri" w:hAnsi="Calibri" w:cs="Arial"/>
                <w:b/>
                <w:sz w:val="20"/>
                <w:szCs w:val="20"/>
              </w:rPr>
              <w:t>Manufacturer</w:t>
            </w:r>
          </w:p>
        </w:tc>
        <w:tc>
          <w:tcPr>
            <w:tcW w:w="0" w:type="dxa"/>
            <w:shd w:val="clear" w:color="auto" w:fill="9CC2E5" w:themeFill="accent1" w:themeFillTint="99"/>
            <w:vAlign w:val="center"/>
          </w:tcPr>
          <w:p w14:paraId="54D8E9D5" w14:textId="77777777" w:rsidR="00494065" w:rsidRPr="0029564F" w:rsidRDefault="00494065" w:rsidP="002D5EAA">
            <w:pPr>
              <w:spacing w:after="0"/>
              <w:rPr>
                <w:rFonts w:ascii="Calibri" w:eastAsia="Calibri" w:hAnsi="Calibri" w:cs="Arial"/>
                <w:b/>
                <w:sz w:val="20"/>
                <w:szCs w:val="20"/>
              </w:rPr>
            </w:pPr>
            <w:r w:rsidRPr="0029564F">
              <w:rPr>
                <w:rFonts w:ascii="Calibri" w:eastAsia="Calibri" w:hAnsi="Calibri" w:cs="Arial"/>
                <w:b/>
                <w:sz w:val="20"/>
                <w:szCs w:val="20"/>
              </w:rPr>
              <w:t>Adverse Event(s)</w:t>
            </w:r>
          </w:p>
        </w:tc>
      </w:tr>
      <w:tr w:rsidR="00494065" w14:paraId="17D953E8" w14:textId="77777777" w:rsidTr="0029564F">
        <w:trPr>
          <w:cnfStyle w:val="000000010000" w:firstRow="0" w:lastRow="0" w:firstColumn="0" w:lastColumn="0" w:oddVBand="0" w:evenVBand="0" w:oddHBand="0" w:evenHBand="1" w:firstRowFirstColumn="0" w:firstRowLastColumn="0" w:lastRowFirstColumn="0" w:lastRowLastColumn="0"/>
          <w:trHeight w:val="443"/>
        </w:trPr>
        <w:tc>
          <w:tcPr>
            <w:tcW w:w="0" w:type="dxa"/>
            <w:shd w:val="clear" w:color="auto" w:fill="DEEAF6" w:themeFill="accent1" w:themeFillTint="33"/>
          </w:tcPr>
          <w:p w14:paraId="37D6C46F" w14:textId="77777777" w:rsidR="00494065" w:rsidRPr="0029564F" w:rsidRDefault="00494065" w:rsidP="002D5EAA">
            <w:pPr>
              <w:rPr>
                <w:sz w:val="20"/>
                <w:szCs w:val="20"/>
              </w:rPr>
            </w:pPr>
            <w:r w:rsidRPr="0029564F">
              <w:rPr>
                <w:sz w:val="20"/>
                <w:szCs w:val="20"/>
              </w:rPr>
              <w:t>Frequencer V2 and V2x</w:t>
            </w:r>
            <w:r w:rsidRPr="0029564F">
              <w:rPr>
                <w:sz w:val="20"/>
                <w:szCs w:val="20"/>
                <w:vertAlign w:val="superscript"/>
              </w:rPr>
              <w:t>7</w:t>
            </w:r>
          </w:p>
          <w:p w14:paraId="453A9557" w14:textId="77777777" w:rsidR="00494065" w:rsidRPr="0029564F" w:rsidRDefault="00494065" w:rsidP="002D5EAA">
            <w:pPr>
              <w:rPr>
                <w:sz w:val="20"/>
                <w:szCs w:val="20"/>
              </w:rPr>
            </w:pPr>
            <w:r w:rsidRPr="0029564F">
              <w:rPr>
                <w:sz w:val="20"/>
                <w:szCs w:val="20"/>
              </w:rPr>
              <w:t>January 26, 2011</w:t>
            </w:r>
            <w:r w:rsidRPr="0029564F">
              <w:rPr>
                <w:sz w:val="20"/>
                <w:szCs w:val="20"/>
                <w:vertAlign w:val="superscript"/>
              </w:rPr>
              <w:t>8</w:t>
            </w:r>
          </w:p>
        </w:tc>
        <w:tc>
          <w:tcPr>
            <w:tcW w:w="0" w:type="dxa"/>
            <w:shd w:val="clear" w:color="auto" w:fill="DEEAF6" w:themeFill="accent1" w:themeFillTint="33"/>
          </w:tcPr>
          <w:p w14:paraId="737FFB3A" w14:textId="77777777" w:rsidR="00494065" w:rsidRPr="0029564F" w:rsidRDefault="00494065" w:rsidP="002D5EAA">
            <w:pPr>
              <w:rPr>
                <w:sz w:val="20"/>
                <w:szCs w:val="20"/>
              </w:rPr>
            </w:pPr>
            <w:r w:rsidRPr="0029564F">
              <w:rPr>
                <w:sz w:val="20"/>
                <w:szCs w:val="20"/>
              </w:rPr>
              <w:t>Dymedso</w:t>
            </w:r>
          </w:p>
        </w:tc>
        <w:tc>
          <w:tcPr>
            <w:tcW w:w="0" w:type="dxa"/>
            <w:shd w:val="clear" w:color="auto" w:fill="DEEAF6" w:themeFill="accent1" w:themeFillTint="33"/>
          </w:tcPr>
          <w:p w14:paraId="0FD5CAFF" w14:textId="77777777" w:rsidR="00494065" w:rsidRPr="0029564F" w:rsidRDefault="00494065" w:rsidP="002D5EAA">
            <w:pPr>
              <w:pStyle w:val="Tabletext"/>
              <w:numPr>
                <w:ilvl w:val="0"/>
                <w:numId w:val="7"/>
              </w:numPr>
              <w:ind w:left="181" w:hanging="181"/>
              <w:rPr>
                <w:sz w:val="20"/>
                <w:szCs w:val="20"/>
              </w:rPr>
            </w:pPr>
            <w:r w:rsidRPr="0029564F">
              <w:rPr>
                <w:sz w:val="20"/>
                <w:szCs w:val="20"/>
              </w:rPr>
              <w:t>No records</w:t>
            </w:r>
          </w:p>
        </w:tc>
      </w:tr>
      <w:tr w:rsidR="00494065" w14:paraId="07ADE633" w14:textId="77777777" w:rsidTr="0029564F">
        <w:trPr>
          <w:trHeight w:val="350"/>
        </w:trPr>
        <w:tc>
          <w:tcPr>
            <w:tcW w:w="0" w:type="dxa"/>
          </w:tcPr>
          <w:p w14:paraId="0774B8C3" w14:textId="77777777" w:rsidR="00494065" w:rsidRPr="0029564F" w:rsidRDefault="00494065" w:rsidP="002D5EAA">
            <w:pPr>
              <w:rPr>
                <w:sz w:val="20"/>
                <w:szCs w:val="20"/>
              </w:rPr>
            </w:pPr>
            <w:r w:rsidRPr="0029564F">
              <w:rPr>
                <w:sz w:val="20"/>
                <w:szCs w:val="20"/>
              </w:rPr>
              <w:t>SmartVest SQL System</w:t>
            </w:r>
            <w:r w:rsidRPr="0029564F">
              <w:rPr>
                <w:sz w:val="20"/>
                <w:szCs w:val="20"/>
                <w:vertAlign w:val="superscript"/>
              </w:rPr>
              <w:t>9</w:t>
            </w:r>
          </w:p>
          <w:p w14:paraId="23E0BD46" w14:textId="77777777" w:rsidR="00494065" w:rsidRPr="0029564F" w:rsidRDefault="00494065" w:rsidP="002D5EAA">
            <w:pPr>
              <w:rPr>
                <w:sz w:val="20"/>
                <w:szCs w:val="20"/>
              </w:rPr>
            </w:pPr>
            <w:r w:rsidRPr="0029564F">
              <w:rPr>
                <w:sz w:val="20"/>
                <w:szCs w:val="20"/>
              </w:rPr>
              <w:t>December 19, 2013</w:t>
            </w:r>
            <w:r w:rsidRPr="0029564F">
              <w:rPr>
                <w:sz w:val="20"/>
                <w:szCs w:val="20"/>
                <w:vertAlign w:val="superscript"/>
              </w:rPr>
              <w:t>10</w:t>
            </w:r>
          </w:p>
        </w:tc>
        <w:tc>
          <w:tcPr>
            <w:tcW w:w="0" w:type="dxa"/>
          </w:tcPr>
          <w:p w14:paraId="7FC9F540" w14:textId="77777777" w:rsidR="00494065" w:rsidRPr="0029564F" w:rsidRDefault="00494065" w:rsidP="002D5EAA">
            <w:pPr>
              <w:rPr>
                <w:sz w:val="20"/>
                <w:szCs w:val="20"/>
              </w:rPr>
            </w:pPr>
            <w:r w:rsidRPr="0029564F">
              <w:rPr>
                <w:sz w:val="20"/>
                <w:szCs w:val="20"/>
              </w:rPr>
              <w:t>Electromed</w:t>
            </w:r>
          </w:p>
        </w:tc>
        <w:tc>
          <w:tcPr>
            <w:tcW w:w="0" w:type="dxa"/>
          </w:tcPr>
          <w:p w14:paraId="01D29BC1" w14:textId="77777777" w:rsidR="00494065" w:rsidRPr="0029564F" w:rsidRDefault="00494065" w:rsidP="002D5EAA">
            <w:pPr>
              <w:pStyle w:val="Tabletext"/>
              <w:numPr>
                <w:ilvl w:val="0"/>
                <w:numId w:val="7"/>
              </w:numPr>
              <w:ind w:left="181" w:hanging="181"/>
              <w:rPr>
                <w:sz w:val="20"/>
                <w:szCs w:val="20"/>
              </w:rPr>
            </w:pPr>
            <w:r w:rsidRPr="0029564F">
              <w:rPr>
                <w:sz w:val="20"/>
                <w:szCs w:val="20"/>
              </w:rPr>
              <w:t>No records</w:t>
            </w:r>
          </w:p>
        </w:tc>
      </w:tr>
      <w:tr w:rsidR="00494065" w14:paraId="044091AA" w14:textId="77777777" w:rsidTr="0029564F">
        <w:trPr>
          <w:cnfStyle w:val="000000010000" w:firstRow="0" w:lastRow="0" w:firstColumn="0" w:lastColumn="0" w:oddVBand="0" w:evenVBand="0" w:oddHBand="0" w:evenHBand="1" w:firstRowFirstColumn="0" w:firstRowLastColumn="0" w:lastRowFirstColumn="0" w:lastRowLastColumn="0"/>
          <w:trHeight w:val="710"/>
        </w:trPr>
        <w:tc>
          <w:tcPr>
            <w:tcW w:w="0" w:type="dxa"/>
            <w:shd w:val="clear" w:color="auto" w:fill="DEEAF6" w:themeFill="accent1" w:themeFillTint="33"/>
          </w:tcPr>
          <w:p w14:paraId="3564F704" w14:textId="77777777" w:rsidR="00494065" w:rsidRPr="0029564F" w:rsidRDefault="00494065" w:rsidP="002D5EAA">
            <w:pPr>
              <w:rPr>
                <w:sz w:val="20"/>
                <w:szCs w:val="20"/>
              </w:rPr>
            </w:pPr>
            <w:r w:rsidRPr="0029564F">
              <w:rPr>
                <w:sz w:val="20"/>
                <w:szCs w:val="20"/>
              </w:rPr>
              <w:t>The Vest Airway Clearance System Model 105</w:t>
            </w:r>
            <w:r w:rsidRPr="0029564F">
              <w:rPr>
                <w:sz w:val="20"/>
                <w:szCs w:val="20"/>
                <w:vertAlign w:val="superscript"/>
              </w:rPr>
              <w:t>11</w:t>
            </w:r>
          </w:p>
          <w:p w14:paraId="7D651FAB" w14:textId="77777777" w:rsidR="00494065" w:rsidRPr="0029564F" w:rsidRDefault="00494065" w:rsidP="002D5EAA">
            <w:pPr>
              <w:rPr>
                <w:sz w:val="20"/>
                <w:szCs w:val="20"/>
              </w:rPr>
            </w:pPr>
            <w:r w:rsidRPr="0029564F">
              <w:rPr>
                <w:sz w:val="20"/>
                <w:szCs w:val="20"/>
              </w:rPr>
              <w:t>February 21, 2003</w:t>
            </w:r>
            <w:r w:rsidRPr="0029564F">
              <w:rPr>
                <w:sz w:val="20"/>
                <w:szCs w:val="20"/>
                <w:vertAlign w:val="superscript"/>
              </w:rPr>
              <w:t>12</w:t>
            </w:r>
          </w:p>
        </w:tc>
        <w:tc>
          <w:tcPr>
            <w:tcW w:w="0" w:type="dxa"/>
            <w:shd w:val="clear" w:color="auto" w:fill="DEEAF6" w:themeFill="accent1" w:themeFillTint="33"/>
          </w:tcPr>
          <w:p w14:paraId="2B7CE220" w14:textId="77777777" w:rsidR="00494065" w:rsidRPr="0029564F" w:rsidRDefault="00494065" w:rsidP="002D5EAA">
            <w:pPr>
              <w:rPr>
                <w:sz w:val="20"/>
                <w:szCs w:val="20"/>
              </w:rPr>
            </w:pPr>
            <w:r w:rsidRPr="0029564F">
              <w:rPr>
                <w:sz w:val="20"/>
                <w:szCs w:val="20"/>
              </w:rPr>
              <w:t>Hill-Rom</w:t>
            </w:r>
          </w:p>
        </w:tc>
        <w:tc>
          <w:tcPr>
            <w:tcW w:w="0" w:type="dxa"/>
            <w:shd w:val="clear" w:color="auto" w:fill="DEEAF6" w:themeFill="accent1" w:themeFillTint="33"/>
          </w:tcPr>
          <w:p w14:paraId="70FBBAF7" w14:textId="77777777" w:rsidR="00494065" w:rsidRPr="0029564F" w:rsidRDefault="00494065" w:rsidP="002D5EAA">
            <w:pPr>
              <w:pStyle w:val="Tabletext"/>
              <w:numPr>
                <w:ilvl w:val="0"/>
                <w:numId w:val="7"/>
              </w:numPr>
              <w:ind w:left="181" w:hanging="181"/>
              <w:rPr>
                <w:sz w:val="20"/>
                <w:szCs w:val="20"/>
              </w:rPr>
            </w:pPr>
            <w:r w:rsidRPr="0029564F">
              <w:rPr>
                <w:sz w:val="20"/>
                <w:szCs w:val="20"/>
              </w:rPr>
              <w:t>No records</w:t>
            </w:r>
          </w:p>
        </w:tc>
      </w:tr>
      <w:tr w:rsidR="00494065" w14:paraId="41311056" w14:textId="77777777" w:rsidTr="0029564F">
        <w:trPr>
          <w:trHeight w:val="341"/>
        </w:trPr>
        <w:tc>
          <w:tcPr>
            <w:tcW w:w="0" w:type="dxa"/>
          </w:tcPr>
          <w:p w14:paraId="3C20EB05" w14:textId="77777777" w:rsidR="00494065" w:rsidRPr="0029564F" w:rsidRDefault="00494065" w:rsidP="002D5EAA">
            <w:pPr>
              <w:rPr>
                <w:sz w:val="20"/>
                <w:szCs w:val="20"/>
              </w:rPr>
            </w:pPr>
            <w:r w:rsidRPr="0029564F">
              <w:rPr>
                <w:sz w:val="20"/>
                <w:szCs w:val="20"/>
              </w:rPr>
              <w:t>Respin11</w:t>
            </w:r>
            <w:r w:rsidRPr="0029564F">
              <w:rPr>
                <w:sz w:val="20"/>
                <w:szCs w:val="20"/>
                <w:vertAlign w:val="superscript"/>
              </w:rPr>
              <w:t>13</w:t>
            </w:r>
          </w:p>
          <w:p w14:paraId="55E4E480" w14:textId="77777777" w:rsidR="00494065" w:rsidRPr="0029564F" w:rsidRDefault="00494065" w:rsidP="002D5EAA">
            <w:pPr>
              <w:rPr>
                <w:sz w:val="20"/>
                <w:szCs w:val="20"/>
              </w:rPr>
            </w:pPr>
            <w:r w:rsidRPr="0029564F">
              <w:rPr>
                <w:sz w:val="20"/>
                <w:szCs w:val="20"/>
              </w:rPr>
              <w:t>July 13, 2012</w:t>
            </w:r>
            <w:r w:rsidRPr="0029564F">
              <w:rPr>
                <w:sz w:val="20"/>
                <w:szCs w:val="20"/>
                <w:vertAlign w:val="superscript"/>
              </w:rPr>
              <w:t>14</w:t>
            </w:r>
          </w:p>
        </w:tc>
        <w:tc>
          <w:tcPr>
            <w:tcW w:w="0" w:type="dxa"/>
          </w:tcPr>
          <w:p w14:paraId="491ED97E" w14:textId="77777777" w:rsidR="00494065" w:rsidRPr="0029564F" w:rsidRDefault="00494065" w:rsidP="002D5EAA">
            <w:pPr>
              <w:rPr>
                <w:sz w:val="20"/>
                <w:szCs w:val="20"/>
              </w:rPr>
            </w:pPr>
            <w:r w:rsidRPr="0029564F">
              <w:rPr>
                <w:sz w:val="20"/>
                <w:szCs w:val="20"/>
              </w:rPr>
              <w:t>RespInnovation SAS</w:t>
            </w:r>
          </w:p>
        </w:tc>
        <w:tc>
          <w:tcPr>
            <w:tcW w:w="0" w:type="dxa"/>
          </w:tcPr>
          <w:p w14:paraId="3F8A8C31" w14:textId="77777777" w:rsidR="00494065" w:rsidRPr="0029564F" w:rsidRDefault="00494065" w:rsidP="002D5EAA">
            <w:pPr>
              <w:numPr>
                <w:ilvl w:val="0"/>
                <w:numId w:val="5"/>
              </w:numPr>
              <w:ind w:left="166" w:hanging="180"/>
              <w:contextualSpacing/>
              <w:rPr>
                <w:sz w:val="20"/>
                <w:szCs w:val="20"/>
              </w:rPr>
            </w:pPr>
            <w:r w:rsidRPr="0029564F">
              <w:rPr>
                <w:sz w:val="20"/>
                <w:szCs w:val="20"/>
              </w:rPr>
              <w:t>No records</w:t>
            </w:r>
          </w:p>
        </w:tc>
      </w:tr>
      <w:tr w:rsidR="00494065" w14:paraId="6796B795" w14:textId="77777777" w:rsidTr="002D5EAA">
        <w:trPr>
          <w:cnfStyle w:val="000000010000" w:firstRow="0" w:lastRow="0" w:firstColumn="0" w:lastColumn="0" w:oddVBand="0" w:evenVBand="0" w:oddHBand="0" w:evenHBand="1" w:firstRowFirstColumn="0" w:firstRowLastColumn="0" w:lastRowFirstColumn="0" w:lastRowLastColumn="0"/>
          <w:trHeight w:val="1070"/>
        </w:trPr>
        <w:tc>
          <w:tcPr>
            <w:tcW w:w="2695" w:type="dxa"/>
            <w:shd w:val="clear" w:color="auto" w:fill="DEEAF6" w:themeFill="accent1" w:themeFillTint="33"/>
          </w:tcPr>
          <w:p w14:paraId="124C9999" w14:textId="77777777" w:rsidR="00494065" w:rsidRPr="0029564F" w:rsidRDefault="00494065" w:rsidP="002D5EAA">
            <w:pPr>
              <w:rPr>
                <w:sz w:val="20"/>
                <w:szCs w:val="20"/>
              </w:rPr>
            </w:pPr>
            <w:r w:rsidRPr="0029564F">
              <w:rPr>
                <w:sz w:val="20"/>
                <w:szCs w:val="20"/>
              </w:rPr>
              <w:t>InCourage Vest</w:t>
            </w:r>
            <w:r w:rsidRPr="0029564F">
              <w:rPr>
                <w:sz w:val="20"/>
                <w:szCs w:val="20"/>
                <w:vertAlign w:val="superscript"/>
              </w:rPr>
              <w:t>15</w:t>
            </w:r>
          </w:p>
          <w:p w14:paraId="1FAD3AB5" w14:textId="77777777" w:rsidR="00494065" w:rsidRPr="0029564F" w:rsidRDefault="00494065" w:rsidP="002D5EAA">
            <w:pPr>
              <w:rPr>
                <w:sz w:val="20"/>
                <w:szCs w:val="20"/>
              </w:rPr>
            </w:pPr>
            <w:r w:rsidRPr="0029564F">
              <w:rPr>
                <w:sz w:val="20"/>
                <w:szCs w:val="20"/>
              </w:rPr>
              <w:t>June 17, 2005</w:t>
            </w:r>
            <w:r w:rsidRPr="0029564F">
              <w:rPr>
                <w:sz w:val="20"/>
                <w:szCs w:val="20"/>
                <w:vertAlign w:val="superscript"/>
              </w:rPr>
              <w:t>16</w:t>
            </w:r>
          </w:p>
        </w:tc>
        <w:tc>
          <w:tcPr>
            <w:tcW w:w="1620" w:type="dxa"/>
            <w:shd w:val="clear" w:color="auto" w:fill="DEEAF6" w:themeFill="accent1" w:themeFillTint="33"/>
          </w:tcPr>
          <w:p w14:paraId="53B1E71A" w14:textId="77777777" w:rsidR="00494065" w:rsidRPr="0029564F" w:rsidRDefault="00494065" w:rsidP="002D5EAA">
            <w:pPr>
              <w:rPr>
                <w:sz w:val="20"/>
                <w:szCs w:val="20"/>
              </w:rPr>
            </w:pPr>
            <w:r w:rsidRPr="0029564F">
              <w:rPr>
                <w:sz w:val="20"/>
                <w:szCs w:val="20"/>
              </w:rPr>
              <w:t>Philips, via RespirTech</w:t>
            </w:r>
          </w:p>
        </w:tc>
        <w:tc>
          <w:tcPr>
            <w:tcW w:w="5130" w:type="dxa"/>
            <w:shd w:val="clear" w:color="auto" w:fill="DEEAF6" w:themeFill="accent1" w:themeFillTint="33"/>
          </w:tcPr>
          <w:p w14:paraId="6AFBB6DF" w14:textId="77777777" w:rsidR="00494065" w:rsidRPr="0029564F" w:rsidRDefault="00494065" w:rsidP="002D5EAA">
            <w:pPr>
              <w:numPr>
                <w:ilvl w:val="0"/>
                <w:numId w:val="5"/>
              </w:numPr>
              <w:ind w:left="166" w:hanging="180"/>
              <w:contextualSpacing/>
              <w:rPr>
                <w:sz w:val="20"/>
                <w:szCs w:val="20"/>
              </w:rPr>
            </w:pPr>
            <w:r w:rsidRPr="0029564F">
              <w:rPr>
                <w:sz w:val="20"/>
                <w:szCs w:val="20"/>
              </w:rPr>
              <w:t>8 reports identified classified under injury event type</w:t>
            </w:r>
          </w:p>
          <w:p w14:paraId="55A36E77" w14:textId="77777777" w:rsidR="00494065" w:rsidRPr="0029564F" w:rsidRDefault="00494065" w:rsidP="002D5EAA">
            <w:pPr>
              <w:numPr>
                <w:ilvl w:val="1"/>
                <w:numId w:val="5"/>
              </w:numPr>
              <w:ind w:left="556"/>
              <w:contextualSpacing/>
              <w:rPr>
                <w:sz w:val="20"/>
                <w:szCs w:val="20"/>
              </w:rPr>
            </w:pPr>
            <w:r w:rsidRPr="0029564F">
              <w:rPr>
                <w:sz w:val="20"/>
                <w:szCs w:val="20"/>
              </w:rPr>
              <w:t>Rib bone fractures in 3 different patients</w:t>
            </w:r>
          </w:p>
          <w:p w14:paraId="79D1A2F8" w14:textId="77777777" w:rsidR="00494065" w:rsidRPr="0029564F" w:rsidRDefault="00494065" w:rsidP="002D5EAA">
            <w:pPr>
              <w:numPr>
                <w:ilvl w:val="1"/>
                <w:numId w:val="5"/>
              </w:numPr>
              <w:ind w:left="556"/>
              <w:contextualSpacing/>
              <w:rPr>
                <w:sz w:val="20"/>
                <w:szCs w:val="20"/>
              </w:rPr>
            </w:pPr>
            <w:r w:rsidRPr="0029564F">
              <w:rPr>
                <w:sz w:val="20"/>
                <w:szCs w:val="20"/>
              </w:rPr>
              <w:t>1 vertebral fracture</w:t>
            </w:r>
          </w:p>
          <w:p w14:paraId="7A65F8D4" w14:textId="77777777" w:rsidR="00494065" w:rsidRPr="0029564F" w:rsidRDefault="00494065" w:rsidP="002D5EAA">
            <w:pPr>
              <w:numPr>
                <w:ilvl w:val="1"/>
                <w:numId w:val="5"/>
              </w:numPr>
              <w:ind w:left="556"/>
              <w:contextualSpacing/>
              <w:rPr>
                <w:sz w:val="20"/>
                <w:szCs w:val="20"/>
              </w:rPr>
            </w:pPr>
            <w:r w:rsidRPr="0029564F">
              <w:rPr>
                <w:sz w:val="20"/>
                <w:szCs w:val="20"/>
              </w:rPr>
              <w:t>1 electromagnetic interference problem with a pacemaker</w:t>
            </w:r>
          </w:p>
          <w:p w14:paraId="3507DD38" w14:textId="77777777" w:rsidR="00494065" w:rsidRPr="0029564F" w:rsidRDefault="00494065" w:rsidP="002D5EAA">
            <w:pPr>
              <w:numPr>
                <w:ilvl w:val="1"/>
                <w:numId w:val="5"/>
              </w:numPr>
              <w:ind w:left="556"/>
              <w:contextualSpacing/>
              <w:rPr>
                <w:sz w:val="20"/>
                <w:szCs w:val="20"/>
              </w:rPr>
            </w:pPr>
            <w:r w:rsidRPr="0029564F">
              <w:rPr>
                <w:sz w:val="20"/>
                <w:szCs w:val="20"/>
              </w:rPr>
              <w:t>1 hematoma</w:t>
            </w:r>
          </w:p>
          <w:p w14:paraId="09BE7F18" w14:textId="77777777" w:rsidR="00494065" w:rsidRPr="0029564F" w:rsidRDefault="00494065" w:rsidP="002D5EAA">
            <w:pPr>
              <w:numPr>
                <w:ilvl w:val="1"/>
                <w:numId w:val="5"/>
              </w:numPr>
              <w:ind w:left="556"/>
              <w:contextualSpacing/>
              <w:rPr>
                <w:sz w:val="20"/>
                <w:szCs w:val="20"/>
              </w:rPr>
            </w:pPr>
            <w:r w:rsidRPr="0029564F">
              <w:rPr>
                <w:sz w:val="20"/>
                <w:szCs w:val="20"/>
              </w:rPr>
              <w:t>1 pneumothorax</w:t>
            </w:r>
          </w:p>
          <w:p w14:paraId="6C1E75B6" w14:textId="77777777" w:rsidR="00494065" w:rsidRPr="0029564F" w:rsidRDefault="00494065" w:rsidP="0029564F">
            <w:pPr>
              <w:numPr>
                <w:ilvl w:val="1"/>
                <w:numId w:val="5"/>
              </w:numPr>
              <w:ind w:left="562"/>
              <w:rPr>
                <w:sz w:val="20"/>
                <w:szCs w:val="20"/>
              </w:rPr>
            </w:pPr>
            <w:r w:rsidRPr="0029564F">
              <w:rPr>
                <w:sz w:val="20"/>
                <w:szCs w:val="20"/>
              </w:rPr>
              <w:t>1 pressure problem with co-occurring mastitis</w:t>
            </w:r>
          </w:p>
        </w:tc>
      </w:tr>
      <w:tr w:rsidR="00494065" w14:paraId="0279D8BB" w14:textId="77777777" w:rsidTr="0029564F">
        <w:trPr>
          <w:trHeight w:val="620"/>
        </w:trPr>
        <w:tc>
          <w:tcPr>
            <w:tcW w:w="0" w:type="dxa"/>
          </w:tcPr>
          <w:p w14:paraId="1C0DC1B2" w14:textId="77777777" w:rsidR="00494065" w:rsidRPr="0029564F" w:rsidRDefault="00494065" w:rsidP="002D5EAA">
            <w:pPr>
              <w:rPr>
                <w:sz w:val="20"/>
                <w:szCs w:val="20"/>
              </w:rPr>
            </w:pPr>
            <w:r w:rsidRPr="0029564F">
              <w:rPr>
                <w:sz w:val="20"/>
                <w:szCs w:val="20"/>
              </w:rPr>
              <w:t>AffloVest</w:t>
            </w:r>
            <w:r w:rsidRPr="0029564F">
              <w:rPr>
                <w:sz w:val="20"/>
                <w:szCs w:val="20"/>
                <w:vertAlign w:val="superscript"/>
              </w:rPr>
              <w:t>17</w:t>
            </w:r>
          </w:p>
          <w:p w14:paraId="56CC9916" w14:textId="77777777" w:rsidR="00494065" w:rsidRPr="0029564F" w:rsidRDefault="00494065" w:rsidP="002D5EAA">
            <w:pPr>
              <w:rPr>
                <w:sz w:val="20"/>
                <w:szCs w:val="20"/>
              </w:rPr>
            </w:pPr>
            <w:r w:rsidRPr="0029564F">
              <w:rPr>
                <w:sz w:val="20"/>
                <w:szCs w:val="20"/>
              </w:rPr>
              <w:t>March 27, 2013</w:t>
            </w:r>
            <w:r w:rsidRPr="0029564F">
              <w:rPr>
                <w:sz w:val="20"/>
                <w:szCs w:val="20"/>
                <w:vertAlign w:val="superscript"/>
              </w:rPr>
              <w:t>12</w:t>
            </w:r>
          </w:p>
        </w:tc>
        <w:tc>
          <w:tcPr>
            <w:tcW w:w="0" w:type="dxa"/>
          </w:tcPr>
          <w:p w14:paraId="0219CF84" w14:textId="77777777" w:rsidR="00494065" w:rsidRPr="0029564F" w:rsidRDefault="00494065" w:rsidP="002D5EAA">
            <w:pPr>
              <w:rPr>
                <w:sz w:val="20"/>
                <w:szCs w:val="20"/>
              </w:rPr>
            </w:pPr>
            <w:r w:rsidRPr="0029564F">
              <w:rPr>
                <w:sz w:val="20"/>
                <w:szCs w:val="20"/>
              </w:rPr>
              <w:t>International Biophysics Corporation</w:t>
            </w:r>
          </w:p>
        </w:tc>
        <w:tc>
          <w:tcPr>
            <w:tcW w:w="0" w:type="dxa"/>
          </w:tcPr>
          <w:p w14:paraId="333AAB5C" w14:textId="77777777" w:rsidR="00494065" w:rsidRPr="0029564F" w:rsidRDefault="00494065" w:rsidP="002D5EAA">
            <w:pPr>
              <w:numPr>
                <w:ilvl w:val="0"/>
                <w:numId w:val="5"/>
              </w:numPr>
              <w:ind w:left="166" w:hanging="180"/>
              <w:contextualSpacing/>
              <w:rPr>
                <w:sz w:val="20"/>
                <w:szCs w:val="20"/>
              </w:rPr>
            </w:pPr>
            <w:r w:rsidRPr="0029564F">
              <w:rPr>
                <w:sz w:val="20"/>
                <w:szCs w:val="20"/>
              </w:rPr>
              <w:t>1 report identified</w:t>
            </w:r>
          </w:p>
          <w:p w14:paraId="6CCCA8EF" w14:textId="77777777" w:rsidR="00494065" w:rsidRPr="0029564F" w:rsidRDefault="00494065" w:rsidP="002D5EAA">
            <w:pPr>
              <w:numPr>
                <w:ilvl w:val="0"/>
                <w:numId w:val="5"/>
              </w:numPr>
              <w:ind w:left="166" w:hanging="180"/>
              <w:contextualSpacing/>
              <w:rPr>
                <w:sz w:val="20"/>
                <w:szCs w:val="20"/>
              </w:rPr>
            </w:pPr>
            <w:r w:rsidRPr="0029564F">
              <w:rPr>
                <w:sz w:val="20"/>
                <w:szCs w:val="20"/>
              </w:rPr>
              <w:t>Fractured ribs</w:t>
            </w:r>
          </w:p>
        </w:tc>
      </w:tr>
    </w:tbl>
    <w:p w14:paraId="177C33CF" w14:textId="45C378B0" w:rsidR="00494065" w:rsidRPr="0029564F" w:rsidRDefault="00CC7696" w:rsidP="0029564F">
      <w:pPr>
        <w:spacing w:before="40" w:after="240" w:line="240" w:lineRule="auto"/>
        <w:rPr>
          <w:sz w:val="20"/>
          <w:szCs w:val="20"/>
        </w:rPr>
      </w:pPr>
      <w:r w:rsidRPr="008C5D97">
        <w:rPr>
          <w:sz w:val="20"/>
          <w:szCs w:val="20"/>
        </w:rPr>
        <w:t>Abbreviations. FDA: US Food and Drug Administration; HFCWO: high-frequency chest wall oscillation; MAUDE: manufacturer and user facility device experience database.</w:t>
      </w:r>
    </w:p>
    <w:p w14:paraId="12DC56AF" w14:textId="77777777" w:rsidR="00494065" w:rsidRDefault="00494065" w:rsidP="002D5EAA">
      <w:pPr>
        <w:pStyle w:val="H2NoBK"/>
      </w:pPr>
      <w:bookmarkStart w:id="41" w:name="_Toc72335275"/>
      <w:bookmarkStart w:id="42" w:name="_Toc87358445"/>
      <w:r>
        <w:t>Comparative Cost Effectiveness of HFCWO Devices</w:t>
      </w:r>
      <w:bookmarkEnd w:id="41"/>
      <w:bookmarkEnd w:id="42"/>
    </w:p>
    <w:p w14:paraId="29F630D2" w14:textId="4BDDCCCD" w:rsidR="00494065" w:rsidRPr="008A19BD" w:rsidRDefault="00494065" w:rsidP="002D5EAA">
      <w:r>
        <w:t xml:space="preserve">We did not identify any comparative cost-effectiveness </w:t>
      </w:r>
      <w:r w:rsidR="00E725CE">
        <w:t xml:space="preserve">studies </w:t>
      </w:r>
      <w:r>
        <w:t>of HFCWO devices.</w:t>
      </w:r>
    </w:p>
    <w:p w14:paraId="64BBB96F" w14:textId="32D08679" w:rsidR="00494065" w:rsidRDefault="00494065" w:rsidP="002D5EAA">
      <w:pPr>
        <w:pStyle w:val="H2NoBK"/>
      </w:pPr>
      <w:bookmarkStart w:id="43" w:name="_Toc72335276"/>
      <w:bookmarkStart w:id="44" w:name="_Toc87358446"/>
      <w:r>
        <w:t>Ongoing Studies for HFCWO Devices</w:t>
      </w:r>
      <w:bookmarkEnd w:id="43"/>
      <w:bookmarkEnd w:id="44"/>
    </w:p>
    <w:p w14:paraId="10C5CCAA" w14:textId="7310C193" w:rsidR="00494065" w:rsidRDefault="00494065" w:rsidP="002D5EAA">
      <w:r>
        <w:t>We identified a single ongoing comparative study for HFCWO devices in the Clinical Trials Registry. This</w:t>
      </w:r>
      <w:r w:rsidRPr="005C5D28">
        <w:t xml:space="preserve"> pilot study </w:t>
      </w:r>
      <w:r w:rsidR="00E725CE">
        <w:t>will</w:t>
      </w:r>
      <w:r w:rsidRPr="005C5D28">
        <w:t xml:space="preserve"> evaluate the use of the Vest system for treatment of bronchiectasis patients in the home setting</w:t>
      </w:r>
      <w:r>
        <w:t>.</w:t>
      </w:r>
      <w:r w:rsidRPr="00C3041D">
        <w:rPr>
          <w:noProof/>
          <w:vertAlign w:val="superscript"/>
        </w:rPr>
        <w:t>25</w:t>
      </w:r>
      <w:r>
        <w:t xml:space="preserve"> This study is a </w:t>
      </w:r>
      <w:r w:rsidR="007054A7">
        <w:t>non</w:t>
      </w:r>
      <w:r>
        <w:t>blinded, multi-site, randomized control</w:t>
      </w:r>
      <w:r w:rsidR="00E725CE">
        <w:t>led</w:t>
      </w:r>
      <w:r>
        <w:t xml:space="preserve"> trial that anticipates enrolling 70 participants, and will compare the Vest HFCWO therapy to oscillating positive expiratory pressure (OPEP) therapy for adults aged 18 years and older diagnosed with bronchiectasis.</w:t>
      </w:r>
      <w:r w:rsidRPr="00C3041D">
        <w:rPr>
          <w:noProof/>
          <w:vertAlign w:val="superscript"/>
        </w:rPr>
        <w:t>25</w:t>
      </w:r>
      <w:r>
        <w:t xml:space="preserve"> Assessed outcomes will include</w:t>
      </w:r>
      <w:r w:rsidR="00222489">
        <w:t xml:space="preserve"> pulmonary exacerbations and quality of life</w:t>
      </w:r>
      <w:r>
        <w:t>.</w:t>
      </w:r>
      <w:r w:rsidRPr="00C3041D">
        <w:rPr>
          <w:noProof/>
          <w:vertAlign w:val="superscript"/>
        </w:rPr>
        <w:t>25</w:t>
      </w:r>
      <w:r>
        <w:t xml:space="preserve"> The anticipated study completion date was November 2020.</w:t>
      </w:r>
      <w:r w:rsidRPr="00C3041D">
        <w:rPr>
          <w:noProof/>
          <w:vertAlign w:val="superscript"/>
        </w:rPr>
        <w:t>25</w:t>
      </w:r>
    </w:p>
    <w:p w14:paraId="0F495A78" w14:textId="6DC8CB7D" w:rsidR="00494065" w:rsidRDefault="00494065" w:rsidP="002D5EAA">
      <w:pPr>
        <w:pStyle w:val="H2NoBK"/>
      </w:pPr>
      <w:bookmarkStart w:id="45" w:name="_Toc72335277"/>
      <w:bookmarkStart w:id="46" w:name="_Toc87358447"/>
      <w:r>
        <w:t>Evidence Summary</w:t>
      </w:r>
      <w:bookmarkEnd w:id="45"/>
      <w:bookmarkEnd w:id="46"/>
    </w:p>
    <w:p w14:paraId="0C2076BA" w14:textId="2461E7FE" w:rsidR="00494065" w:rsidRDefault="00494065" w:rsidP="002D5EAA">
      <w:r w:rsidRPr="00413FD7">
        <w:t xml:space="preserve">For patients with </w:t>
      </w:r>
      <w:r w:rsidR="00300765">
        <w:t>cystic fibrosis</w:t>
      </w:r>
      <w:r w:rsidRPr="00413FD7">
        <w:t xml:space="preserve">, we have </w:t>
      </w:r>
      <w:r w:rsidR="006669AD">
        <w:t xml:space="preserve">very </w:t>
      </w:r>
      <w:r w:rsidRPr="00413FD7">
        <w:t>low confidence that</w:t>
      </w:r>
      <w:r>
        <w:t xml:space="preserve"> HCWFO device therapy is equivalent to conventional </w:t>
      </w:r>
      <w:r w:rsidR="00E12E7B">
        <w:t xml:space="preserve">chest </w:t>
      </w:r>
      <w:r>
        <w:t xml:space="preserve">physiotherapy </w:t>
      </w:r>
      <w:r w:rsidR="00937538">
        <w:t xml:space="preserve">for </w:t>
      </w:r>
      <w:r w:rsidR="00851584">
        <w:t xml:space="preserve">reducing </w:t>
      </w:r>
      <w:r w:rsidR="00937538">
        <w:t>hospitalizations</w:t>
      </w:r>
      <w:r w:rsidR="00191BC1">
        <w:t>. There is mixed evidence</w:t>
      </w:r>
      <w:r w:rsidR="00560DA8">
        <w:t xml:space="preserve"> for </w:t>
      </w:r>
      <w:r w:rsidR="00560DA8">
        <w:lastRenderedPageBreak/>
        <w:t>prevention of</w:t>
      </w:r>
      <w:r w:rsidR="00560DA8" w:rsidRPr="00413FD7">
        <w:t xml:space="preserve"> exacerbations requiring antib</w:t>
      </w:r>
      <w:r w:rsidR="00560DA8">
        <w:t>iotics</w:t>
      </w:r>
      <w:r w:rsidR="00076452">
        <w:t xml:space="preserve"> compared </w:t>
      </w:r>
      <w:r w:rsidR="00937538">
        <w:t>to</w:t>
      </w:r>
      <w:r w:rsidR="00076452">
        <w:t xml:space="preserve"> positive expiratory pressure,</w:t>
      </w:r>
      <w:r w:rsidR="00937538">
        <w:t xml:space="preserve"> conventional chest physiotherapy</w:t>
      </w:r>
      <w:r w:rsidR="00076452">
        <w:t>, and other oscillating devices</w:t>
      </w:r>
      <w:r w:rsidRPr="00413FD7">
        <w:t>. There is no evidence regarding other outcomes.</w:t>
      </w:r>
    </w:p>
    <w:p w14:paraId="54777BD6" w14:textId="27B109B5" w:rsidR="00494065" w:rsidRDefault="00494065" w:rsidP="002D5EAA">
      <w:r>
        <w:t xml:space="preserve">For patients with bronchiectasis, we have very low confidence that HFCWO device therapy reduces hospitalizations from exacerbations and improves symptoms of breathlessness and cough compared to </w:t>
      </w:r>
      <w:r w:rsidRPr="00D3101F">
        <w:t>pharmacological therapy with other device-delivered interventions (e.g., positive expiratory pressure mask)</w:t>
      </w:r>
      <w:r>
        <w:t>, and compared to pharmacological therapy without other devices. There is no evidence regarding other outcomes.</w:t>
      </w:r>
    </w:p>
    <w:p w14:paraId="06D69869" w14:textId="76FE0243" w:rsidR="00494065" w:rsidRDefault="00494065" w:rsidP="002D5EAA">
      <w:r>
        <w:t>For patients with COPD,</w:t>
      </w:r>
      <w:r w:rsidRPr="00D3101F">
        <w:t xml:space="preserve"> </w:t>
      </w:r>
      <w:r>
        <w:t>we have very low confidence that HFCWO device therapy is associated with less improvement in breathlessness and cough compared to intrapulmonary percussive ventilation.</w:t>
      </w:r>
      <w:r w:rsidRPr="00D3101F">
        <w:t xml:space="preserve"> </w:t>
      </w:r>
      <w:r>
        <w:t>There is no evidence regarding other outcomes.</w:t>
      </w:r>
    </w:p>
    <w:p w14:paraId="71A1BB8C" w14:textId="29BF7BF5" w:rsidR="00494065" w:rsidRDefault="00494065" w:rsidP="002D5EAA">
      <w:r>
        <w:t xml:space="preserve">For patients with </w:t>
      </w:r>
      <w:r w:rsidRPr="00D3101F">
        <w:t>pulmonary complications from neuromuscular disease</w:t>
      </w:r>
      <w:r>
        <w:t>, we have very low confidence that HFCWO device therapy improves symptoms of breathlessness compared to no treatment</w:t>
      </w:r>
      <w:r w:rsidR="00D97C3F">
        <w:t xml:space="preserve"> or to standard chest physiotherapy.</w:t>
      </w:r>
      <w:r w:rsidDel="00D97C3F">
        <w:t xml:space="preserve"> </w:t>
      </w:r>
      <w:r w:rsidR="00D97C3F">
        <w:t xml:space="preserve">One </w:t>
      </w:r>
      <w:r>
        <w:t>study only included patients with ALS</w:t>
      </w:r>
      <w:r w:rsidR="00D97C3F">
        <w:t xml:space="preserve"> receiving HFCWO devices compared to no treatment, and the study that included children with neuromuscular disease likely had too few participants to identify whether there was a benefit to using HFCWO devices compared to standard chest physiotherapy</w:t>
      </w:r>
      <w:r>
        <w:t xml:space="preserve">. We have very low confidence that HFCWO device therapy does not improve day or night </w:t>
      </w:r>
      <w:r w:rsidR="00487490">
        <w:t>cough,</w:t>
      </w:r>
      <w:r>
        <w:t xml:space="preserve"> or dyspnea compared to receiving no treatment for patients with ALS. There is no evidence regarding other outcomes </w:t>
      </w:r>
      <w:r w:rsidR="001314C7">
        <w:t>f</w:t>
      </w:r>
      <w:r>
        <w:t>or other neuromuscular diseases resulting in chronic lung disease.</w:t>
      </w:r>
    </w:p>
    <w:p w14:paraId="264C92A2" w14:textId="1E318599" w:rsidR="00494065" w:rsidRDefault="00494065" w:rsidP="002D5EAA">
      <w:r>
        <w:t xml:space="preserve">We identified few reports of adverse events or </w:t>
      </w:r>
      <w:r w:rsidR="00536952">
        <w:rPr>
          <w:rFonts w:ascii="Calibri" w:eastAsia="Calibri" w:hAnsi="Calibri" w:cs="Arial"/>
        </w:rPr>
        <w:t>device-related</w:t>
      </w:r>
      <w:r w:rsidR="00536952">
        <w:t xml:space="preserve"> </w:t>
      </w:r>
      <w:r>
        <w:t xml:space="preserve">harms of HFCWO devices in the </w:t>
      </w:r>
      <w:r w:rsidR="001314C7">
        <w:t xml:space="preserve">reviewed </w:t>
      </w:r>
      <w:r>
        <w:t>studies and the FDA’s database for adverse event reporting for devices.</w:t>
      </w:r>
    </w:p>
    <w:p w14:paraId="62A20FA4" w14:textId="77777777" w:rsidR="00494065" w:rsidRDefault="00494065" w:rsidP="002D5EAA">
      <w:pPr>
        <w:pStyle w:val="Heading1"/>
      </w:pPr>
      <w:bookmarkStart w:id="47" w:name="_Toc72335278"/>
      <w:bookmarkStart w:id="48" w:name="_Toc87358448"/>
      <w:r>
        <w:t>Policy Landscape</w:t>
      </w:r>
      <w:bookmarkEnd w:id="47"/>
      <w:bookmarkEnd w:id="48"/>
    </w:p>
    <w:p w14:paraId="7E3EE8A8" w14:textId="77777777" w:rsidR="00494065" w:rsidRDefault="00494065" w:rsidP="002D5EAA">
      <w:pPr>
        <w:pStyle w:val="Heading2"/>
      </w:pPr>
      <w:bookmarkStart w:id="49" w:name="_Toc72335279"/>
      <w:bookmarkStart w:id="50" w:name="_Toc87358449"/>
      <w:r>
        <w:t>Payer Coverage Policies</w:t>
      </w:r>
      <w:bookmarkEnd w:id="49"/>
      <w:bookmarkEnd w:id="50"/>
    </w:p>
    <w:p w14:paraId="4E706C51" w14:textId="1A82A33C" w:rsidR="00494065" w:rsidRDefault="00494065" w:rsidP="002D5EAA">
      <w:r>
        <w:t>We identified HFCWO device coverage policies for Washington State’s Medicaid program, a local coverage determination from Medicare, and 4 private payers. Medicare’s local coverage determination and all 4 private payer policies require documentation that standard treatments, such as chest physiotherapy, have failed or are not tolerated before covering HFCWO devices; these policies cover HFCWO devices for patients with cystic fibrosis and bronchiectasis, but coverage for neuromuscular diseases with pulmonary complications varies.</w:t>
      </w:r>
      <w:r w:rsidR="001314C7">
        <w:t xml:space="preserve"> None of these policies cover HFCWO devices for patients with </w:t>
      </w:r>
      <w:r w:rsidR="00CC7696">
        <w:t>COPD</w:t>
      </w:r>
      <w:r w:rsidR="0039754F">
        <w:t xml:space="preserve"> except when there is comorbid bronchiectasis</w:t>
      </w:r>
      <w:r w:rsidR="001314C7">
        <w:t>.</w:t>
      </w:r>
    </w:p>
    <w:p w14:paraId="49F83FDC" w14:textId="77777777" w:rsidR="00494065" w:rsidRDefault="00494065" w:rsidP="002D5EAA">
      <w:pPr>
        <w:pStyle w:val="H3NoBK"/>
      </w:pPr>
      <w:r>
        <w:t>Medicaid</w:t>
      </w:r>
    </w:p>
    <w:p w14:paraId="53B6ABFE" w14:textId="0392BD5D" w:rsidR="00494065" w:rsidRDefault="00494065" w:rsidP="002D5EAA">
      <w:r>
        <w:t>The Washington Health Care Authority’s (HCA) policy for respiratory care considers chest physiotherapy to be the standard of care for secretion clearance, but states that there are situations in which conventional chest physiotherapy is unavailable, ineffective, or not tolerated.</w:t>
      </w:r>
      <w:r w:rsidRPr="00AF6B3B">
        <w:rPr>
          <w:noProof/>
          <w:vertAlign w:val="superscript"/>
        </w:rPr>
        <w:t>26</w:t>
      </w:r>
      <w:r>
        <w:t xml:space="preserve"> The </w:t>
      </w:r>
      <w:r w:rsidRPr="00504D81">
        <w:t xml:space="preserve">HCA covers </w:t>
      </w:r>
      <w:r w:rsidR="00CC7696">
        <w:t>HFCWO</w:t>
      </w:r>
      <w:r w:rsidRPr="00C12ADA">
        <w:t xml:space="preserve"> air-pulse generator system</w:t>
      </w:r>
      <w:r w:rsidR="00CC7696">
        <w:t>s</w:t>
      </w:r>
      <w:r w:rsidRPr="00C12ADA">
        <w:t xml:space="preserve"> when medically necessary</w:t>
      </w:r>
      <w:r w:rsidRPr="00504D81">
        <w:t xml:space="preserve"> for a person with a diagnosis characterized by excessive mucus production and difficulty clearing secretions</w:t>
      </w:r>
      <w:r>
        <w:t>.</w:t>
      </w:r>
      <w:r w:rsidRPr="00AF6B3B">
        <w:rPr>
          <w:noProof/>
          <w:vertAlign w:val="superscript"/>
        </w:rPr>
        <w:t>26</w:t>
      </w:r>
      <w:r>
        <w:t xml:space="preserve"> Other airway</w:t>
      </w:r>
      <w:r w:rsidR="00CC7696">
        <w:t>-</w:t>
      </w:r>
      <w:r>
        <w:t xml:space="preserve">clearance devices covered by the HCA include mechanical percussors, oscillatory positive expiratory pressure devices, positive expiratory pressure devices, and cough stimulating devices, including alternating positive and negative </w:t>
      </w:r>
      <w:r>
        <w:lastRenderedPageBreak/>
        <w:t>airway pressure devices, and replacement batteries.</w:t>
      </w:r>
      <w:r w:rsidRPr="00AF6B3B">
        <w:rPr>
          <w:noProof/>
          <w:vertAlign w:val="superscript"/>
        </w:rPr>
        <w:t>26</w:t>
      </w:r>
      <w:r>
        <w:t xml:space="preserve"> Prior authorization is required, and the policy also states that the rental of a HFCWO device and generator includes all repairs and replacements, and that the manufacturer will replace the vest according to changes in user’s size during the rental and purchase period.</w:t>
      </w:r>
      <w:r w:rsidRPr="00AF6B3B">
        <w:rPr>
          <w:noProof/>
          <w:vertAlign w:val="superscript"/>
        </w:rPr>
        <w:t>26</w:t>
      </w:r>
      <w:r>
        <w:t xml:space="preserve"> The HFCWO device is considered to be purchased after 12 months of rental, and there is a limit of 1 HFCWO device per client, per lifetime.</w:t>
      </w:r>
      <w:r w:rsidRPr="00420292">
        <w:rPr>
          <w:noProof/>
          <w:vertAlign w:val="superscript"/>
        </w:rPr>
        <w:t>24</w:t>
      </w:r>
      <w:r>
        <w:t xml:space="preserve"> The fee schedule, which was last updated in October 2020, lists the maximum allowable monthly rental fee for a HFCWO device (</w:t>
      </w:r>
      <w:r w:rsidR="001314C7">
        <w:t>HCPCS</w:t>
      </w:r>
      <w:r>
        <w:t xml:space="preserve"> </w:t>
      </w:r>
      <w:r w:rsidRPr="00C12ADA">
        <w:rPr>
          <w:rFonts w:ascii="Calibri" w:eastAsia="Times New Roman" w:hAnsi="Calibri" w:cs="Calibri"/>
          <w:color w:val="000000"/>
        </w:rPr>
        <w:t>E0483</w:t>
      </w:r>
      <w:r>
        <w:rPr>
          <w:rFonts w:ascii="Calibri" w:eastAsia="Times New Roman" w:hAnsi="Calibri" w:cs="Calibri"/>
          <w:color w:val="000000"/>
        </w:rPr>
        <w:t>) as $1,224.07, and the maximum allowable fee for replacement parts (</w:t>
      </w:r>
      <w:r w:rsidR="00015262">
        <w:rPr>
          <w:rFonts w:ascii="Calibri" w:eastAsia="Times New Roman" w:hAnsi="Calibri" w:cs="Calibri"/>
          <w:color w:val="000000"/>
        </w:rPr>
        <w:t>HCPCS</w:t>
      </w:r>
      <w:r>
        <w:rPr>
          <w:rFonts w:ascii="Calibri" w:eastAsia="Times New Roman" w:hAnsi="Calibri" w:cs="Calibri"/>
          <w:color w:val="000000"/>
        </w:rPr>
        <w:t xml:space="preserve"> A7025) as $465.90.</w:t>
      </w:r>
      <w:r w:rsidRPr="00AF6B3B">
        <w:rPr>
          <w:rFonts w:ascii="Calibri" w:eastAsia="Times New Roman" w:hAnsi="Calibri" w:cs="Calibri"/>
          <w:noProof/>
          <w:color w:val="000000"/>
          <w:vertAlign w:val="superscript"/>
        </w:rPr>
        <w:t>27</w:t>
      </w:r>
    </w:p>
    <w:p w14:paraId="21F11DA5" w14:textId="77777777" w:rsidR="00494065" w:rsidRDefault="00494065" w:rsidP="002D5EAA">
      <w:pPr>
        <w:pStyle w:val="H3NoBK"/>
      </w:pPr>
      <w:r>
        <w:t>Medicare</w:t>
      </w:r>
    </w:p>
    <w:p w14:paraId="3A0B0BC6" w14:textId="77777777" w:rsidR="00494065" w:rsidRDefault="00494065" w:rsidP="002D5EAA">
      <w:r>
        <w:t>The local coverage determination for HFCWO devices (L33785) for Medicare, last updated in 2020, provides the following criteria for medical necessity</w:t>
      </w:r>
      <w:r w:rsidRPr="00AF6B3B">
        <w:rPr>
          <w:noProof/>
          <w:vertAlign w:val="superscript"/>
        </w:rPr>
        <w:t>28</w:t>
      </w:r>
      <w:r>
        <w:t>:</w:t>
      </w:r>
    </w:p>
    <w:p w14:paraId="54CF73AF" w14:textId="77777777" w:rsidR="00494065" w:rsidRDefault="00494065" w:rsidP="002D5EAA">
      <w:pPr>
        <w:pStyle w:val="ListParagraph"/>
        <w:numPr>
          <w:ilvl w:val="0"/>
          <w:numId w:val="13"/>
        </w:numPr>
      </w:pPr>
      <w:r w:rsidRPr="009642FB">
        <w:t>There is a diagnosis of cystic fibrosis</w:t>
      </w:r>
      <w:r>
        <w:t xml:space="preserve">; or </w:t>
      </w:r>
    </w:p>
    <w:p w14:paraId="3595E8BA" w14:textId="77777777" w:rsidR="00494065" w:rsidRDefault="00494065" w:rsidP="002D5EAA">
      <w:pPr>
        <w:pStyle w:val="ListParagraph"/>
        <w:numPr>
          <w:ilvl w:val="0"/>
          <w:numId w:val="13"/>
        </w:numPr>
      </w:pPr>
      <w:r w:rsidRPr="009642FB">
        <w:t xml:space="preserve">There is a diagnosis of bronchiectasis </w:t>
      </w:r>
      <w:r>
        <w:t>that</w:t>
      </w:r>
      <w:r w:rsidRPr="009642FB">
        <w:t xml:space="preserve"> has been confirmed by a high resolution, spiral, or standard CT sca</w:t>
      </w:r>
      <w:r>
        <w:t>n and which is characterized by daily productive cough for at least 6 continuous months and frequent exacerbations requiring antibiotic therapy (2 or more times per year); c</w:t>
      </w:r>
      <w:r w:rsidRPr="009642FB">
        <w:t>hronic bronchitis and</w:t>
      </w:r>
      <w:r>
        <w:t xml:space="preserve"> COPD </w:t>
      </w:r>
      <w:r w:rsidRPr="009642FB">
        <w:t>in the absence of a confirmed diagnosis of bronchiectasis do not meet this criterion</w:t>
      </w:r>
      <w:r>
        <w:t xml:space="preserve">; or </w:t>
      </w:r>
    </w:p>
    <w:p w14:paraId="530DED7A" w14:textId="77777777" w:rsidR="00494065" w:rsidRDefault="00494065" w:rsidP="002D5EAA">
      <w:pPr>
        <w:pStyle w:val="ListParagraph"/>
        <w:numPr>
          <w:ilvl w:val="0"/>
          <w:numId w:val="13"/>
        </w:numPr>
      </w:pPr>
      <w:r w:rsidRPr="009642FB">
        <w:t>The beneficiary has one of the following neuromuscular disease diagnoses</w:t>
      </w:r>
      <w:r>
        <w:t>: post-polio; acid maltase deficiency; anterior horn cell diseases; multiple sclerosis; quadriplegia; hereditary muscular dystrophy; myotonic disorders; other myopathies; or paralysis of the diaphragm; and</w:t>
      </w:r>
    </w:p>
    <w:p w14:paraId="585C4D37" w14:textId="77777777" w:rsidR="00494065" w:rsidRDefault="00494065" w:rsidP="002D5EAA">
      <w:pPr>
        <w:pStyle w:val="ListParagraph"/>
        <w:numPr>
          <w:ilvl w:val="0"/>
          <w:numId w:val="13"/>
        </w:numPr>
      </w:pPr>
      <w:r w:rsidRPr="009642FB">
        <w:t>There must be well-documented failure of standard treatments to adequately mobilize retained secretions.</w:t>
      </w:r>
    </w:p>
    <w:p w14:paraId="680B2666" w14:textId="77777777" w:rsidR="00494065" w:rsidRDefault="00494065" w:rsidP="002D5EAA">
      <w:pPr>
        <w:pStyle w:val="ListParagraph"/>
        <w:numPr>
          <w:ilvl w:val="0"/>
          <w:numId w:val="13"/>
        </w:numPr>
      </w:pPr>
      <w:r w:rsidRPr="00BF1FF6">
        <w:t>It is not reasonable and necessary for a beneficiary to use both a HFCWO device and a mechanical in-exsufflation device</w:t>
      </w:r>
      <w:r>
        <w:t>.</w:t>
      </w:r>
    </w:p>
    <w:p w14:paraId="0ECCF4B8" w14:textId="19EC7FE4" w:rsidR="00494065" w:rsidRDefault="00494065" w:rsidP="002D5EAA">
      <w:pPr>
        <w:pStyle w:val="ListParagraph"/>
        <w:numPr>
          <w:ilvl w:val="0"/>
          <w:numId w:val="13"/>
        </w:numPr>
      </w:pPr>
      <w:r w:rsidRPr="00EF04F7">
        <w:t xml:space="preserve">Replacement supplies, </w:t>
      </w:r>
      <w:r w:rsidR="00015262">
        <w:t xml:space="preserve">HCPCS </w:t>
      </w:r>
      <w:r w:rsidRPr="00EF04F7">
        <w:t xml:space="preserve">A7025 and A7026, used with beneficiary owned equipment, are covered if the beneficiary meets the criteria listed above for the base device, </w:t>
      </w:r>
      <w:r w:rsidR="00015262">
        <w:t xml:space="preserve">HCPCS </w:t>
      </w:r>
      <w:r w:rsidRPr="00EF04F7">
        <w:t>E0483. If these criteria are not met</w:t>
      </w:r>
      <w:r w:rsidR="00015262">
        <w:t>, the</w:t>
      </w:r>
      <w:r w:rsidRPr="00EF04F7">
        <w:t xml:space="preserve"> claim will be denied as not reasonable and necessary.</w:t>
      </w:r>
    </w:p>
    <w:p w14:paraId="67D4EC44" w14:textId="77777777" w:rsidR="00494065" w:rsidRDefault="00494065" w:rsidP="002D5EAA">
      <w:pPr>
        <w:pStyle w:val="H3NoBK"/>
      </w:pPr>
      <w:r>
        <w:t xml:space="preserve">Private </w:t>
      </w:r>
      <w:r w:rsidRPr="00981F05">
        <w:t>Payers</w:t>
      </w:r>
    </w:p>
    <w:p w14:paraId="6E78DA19" w14:textId="2F774452" w:rsidR="00494065" w:rsidRDefault="00494065" w:rsidP="002D5EAA">
      <w:r>
        <w:t xml:space="preserve">Aetna updated </w:t>
      </w:r>
      <w:r w:rsidR="00015262">
        <w:t>its</w:t>
      </w:r>
      <w:r>
        <w:t xml:space="preserve"> policy for HFCWO devices in March 2021 and anticipates </w:t>
      </w:r>
      <w:r w:rsidR="00015262">
        <w:t>re-</w:t>
      </w:r>
      <w:r>
        <w:t>review in January 2022. This policy provides the following criteria for medical necessity</w:t>
      </w:r>
      <w:r w:rsidRPr="00AF6B3B">
        <w:rPr>
          <w:noProof/>
          <w:vertAlign w:val="superscript"/>
        </w:rPr>
        <w:t>29</w:t>
      </w:r>
      <w:r>
        <w:t>:</w:t>
      </w:r>
    </w:p>
    <w:p w14:paraId="2D53D26A" w14:textId="77777777" w:rsidR="00494065" w:rsidRDefault="00494065" w:rsidP="002D5EAA">
      <w:pPr>
        <w:pStyle w:val="ListParagraph"/>
        <w:numPr>
          <w:ilvl w:val="0"/>
          <w:numId w:val="11"/>
        </w:numPr>
      </w:pPr>
      <w:r>
        <w:t>Patient has a well-</w:t>
      </w:r>
      <w:r w:rsidRPr="00CC44F7">
        <w:t>documented failure of standard treatments to adequately mobilize retained secretions</w:t>
      </w:r>
      <w:r>
        <w:t xml:space="preserve">; and </w:t>
      </w:r>
    </w:p>
    <w:p w14:paraId="03BC048D" w14:textId="77777777" w:rsidR="00494065" w:rsidRDefault="00494065" w:rsidP="002D5EAA">
      <w:pPr>
        <w:pStyle w:val="ListParagraph"/>
        <w:numPr>
          <w:ilvl w:val="0"/>
          <w:numId w:val="11"/>
        </w:numPr>
      </w:pPr>
      <w:r>
        <w:t xml:space="preserve">Patient has been diagnosed with bronchiectasis </w:t>
      </w:r>
      <w:r w:rsidRPr="00CC44F7">
        <w:t>confirmed by CT scan, characterized by daily productive cough for at least 6 continuous months or by frequent (i.e., more than 2 times</w:t>
      </w:r>
      <w:r>
        <w:t xml:space="preserve"> per </w:t>
      </w:r>
      <w:r w:rsidRPr="00CC44F7">
        <w:t>year) exacerbations requiring antibiotic therapy;</w:t>
      </w:r>
      <w:r>
        <w:t xml:space="preserve"> or</w:t>
      </w:r>
    </w:p>
    <w:p w14:paraId="5F07591B" w14:textId="77777777" w:rsidR="00494065" w:rsidRDefault="00494065" w:rsidP="002D5EAA">
      <w:pPr>
        <w:pStyle w:val="ListParagraph"/>
        <w:numPr>
          <w:ilvl w:val="0"/>
          <w:numId w:val="11"/>
        </w:numPr>
      </w:pPr>
      <w:r>
        <w:t>Patient has been diagnosed with cystic fibrosis or immotile cilia syndrome; or</w:t>
      </w:r>
    </w:p>
    <w:p w14:paraId="37F25061" w14:textId="77777777" w:rsidR="00494065" w:rsidRDefault="00494065" w:rsidP="002D5EAA">
      <w:pPr>
        <w:pStyle w:val="ListParagraph"/>
        <w:numPr>
          <w:ilvl w:val="0"/>
          <w:numId w:val="11"/>
        </w:numPr>
      </w:pPr>
      <w:r>
        <w:t>Patient has been diagnosed with 1 of the following neuromuscular diseases: acid maltase deficiency; anterior horn cell diseases, including amyotrophic lateral sclerosis; hereditary muscular dystrophy; multiple sclerosis; myotonic disorders; other myopathies; paralysis of the diaphragm; post-polio; or quadriplegia regardless of underlying etiology.</w:t>
      </w:r>
    </w:p>
    <w:p w14:paraId="66025E78" w14:textId="77777777" w:rsidR="00494065" w:rsidRDefault="00494065" w:rsidP="002D5EAA">
      <w:pPr>
        <w:pStyle w:val="ListParagraph"/>
        <w:numPr>
          <w:ilvl w:val="0"/>
          <w:numId w:val="11"/>
        </w:numPr>
      </w:pPr>
      <w:r>
        <w:t>Lung transplant recipients, within the first 6 months post-operatively, who are unable to tolerate standard chest physiotherapy.</w:t>
      </w:r>
    </w:p>
    <w:p w14:paraId="03EF1B82" w14:textId="3658CDD7" w:rsidR="00494065" w:rsidRDefault="00494065" w:rsidP="002D5EAA">
      <w:pPr>
        <w:pStyle w:val="ListParagraph"/>
        <w:numPr>
          <w:ilvl w:val="0"/>
          <w:numId w:val="11"/>
        </w:numPr>
      </w:pPr>
      <w:r w:rsidRPr="00CC44F7">
        <w:lastRenderedPageBreak/>
        <w:t xml:space="preserve">Aetna considers continuous high-frequency </w:t>
      </w:r>
      <w:r w:rsidR="00015262">
        <w:t xml:space="preserve">chest wall </w:t>
      </w:r>
      <w:r w:rsidRPr="00CC44F7">
        <w:t>oscillation therapy for the treatment of bronchitis, and secretion-induced atelectasis</w:t>
      </w:r>
      <w:r w:rsidR="00015262">
        <w:t xml:space="preserve"> to be</w:t>
      </w:r>
      <w:r w:rsidRPr="00CC44F7">
        <w:t xml:space="preserve"> experimental and investigational because there is insufficient evidence </w:t>
      </w:r>
      <w:r w:rsidR="00015262">
        <w:t>of</w:t>
      </w:r>
      <w:r w:rsidRPr="00CC44F7">
        <w:t xml:space="preserve"> effectiveness</w:t>
      </w:r>
      <w:r>
        <w:t>.</w:t>
      </w:r>
    </w:p>
    <w:p w14:paraId="06FEEBA6" w14:textId="77777777" w:rsidR="00494065" w:rsidRDefault="00494065" w:rsidP="002D5EAA">
      <w:pPr>
        <w:pStyle w:val="ListParagraph"/>
        <w:numPr>
          <w:ilvl w:val="0"/>
          <w:numId w:val="11"/>
        </w:numPr>
      </w:pPr>
      <w:r w:rsidRPr="00CC44F7">
        <w:t>Aetna considers high-frequency chest compression systems experimental and investigational for other indications in members who do not meet medical necessity criteria above (e.g., alpha 1antitrypsin deficiency, cerebral palsy, childhood atelectasis, chronic inflammatory demyelinating polyneuropathy, coma, Cri-du-Chat syndrome, individuals with acute pneumonic respiratory failure receiving mechanical ventilation, interstitial lung disease, kyphosis, leukodystrophy, protein alveolar proteinosis, scoliosis, stiff-person (stiff-man) syndrome, and Zellweger syndrome; not an all-inclusive list) because their effectiveness for these indications has not been established.</w:t>
      </w:r>
    </w:p>
    <w:p w14:paraId="7CA2F33A" w14:textId="0D84C5B9" w:rsidR="00494065" w:rsidRDefault="00494065" w:rsidP="002D5EAA">
      <w:r>
        <w:t xml:space="preserve">Cigna updated </w:t>
      </w:r>
      <w:r w:rsidR="00015262">
        <w:t>its</w:t>
      </w:r>
      <w:r>
        <w:t xml:space="preserve"> policy for HFCWO devices in March 2021 and anticipates reviewing this policy in September 2021. This policy provides the following criteria for medical necessity</w:t>
      </w:r>
      <w:r w:rsidRPr="00AF6B3B">
        <w:rPr>
          <w:noProof/>
          <w:vertAlign w:val="superscript"/>
        </w:rPr>
        <w:t>30</w:t>
      </w:r>
      <w:r>
        <w:t>:</w:t>
      </w:r>
    </w:p>
    <w:p w14:paraId="1259F38E" w14:textId="39A20C12" w:rsidR="00494065" w:rsidRDefault="00494065" w:rsidP="002D5EAA">
      <w:pPr>
        <w:pStyle w:val="ListParagraph"/>
        <w:numPr>
          <w:ilvl w:val="0"/>
          <w:numId w:val="10"/>
        </w:numPr>
      </w:pPr>
      <w:r>
        <w:t>Patient has been diagnosed with cystic fibrosis and there is a failure, intolerance, or contraindication to home chest physiotherapy</w:t>
      </w:r>
      <w:r w:rsidR="00F746EB">
        <w:t>,</w:t>
      </w:r>
      <w:r>
        <w:t xml:space="preserve"> or it cannot be provided; or</w:t>
      </w:r>
    </w:p>
    <w:p w14:paraId="1FE14F40" w14:textId="57838184" w:rsidR="00494065" w:rsidRDefault="00494065" w:rsidP="002D5EAA">
      <w:pPr>
        <w:pStyle w:val="ListParagraph"/>
        <w:numPr>
          <w:ilvl w:val="0"/>
          <w:numId w:val="10"/>
        </w:numPr>
      </w:pPr>
      <w:r>
        <w:t xml:space="preserve">Patient has been diagnosed with </w:t>
      </w:r>
      <w:r w:rsidRPr="00564356">
        <w:t>bronchiectasis confirmed by high-resolution computed tomography</w:t>
      </w:r>
      <w:r>
        <w:t xml:space="preserve">; has daily productive cough for at least 6 months or requires antibiotic treatment of exacerbations 2 or more times per year; and </w:t>
      </w:r>
      <w:r w:rsidRPr="00564356">
        <w:t>failure of standard treatments (e.g.</w:t>
      </w:r>
      <w:r w:rsidR="0027576A">
        <w:t>,</w:t>
      </w:r>
      <w:r w:rsidRPr="00564356">
        <w:t xml:space="preserve"> pharmacotherapy, postural drainage, chest percussion, vibration) to mobilize secretions</w:t>
      </w:r>
      <w:r>
        <w:t>; or</w:t>
      </w:r>
    </w:p>
    <w:p w14:paraId="21AA1ABA" w14:textId="77777777" w:rsidR="00494065" w:rsidRDefault="00494065" w:rsidP="002D5EAA">
      <w:pPr>
        <w:pStyle w:val="ListParagraph"/>
        <w:numPr>
          <w:ilvl w:val="0"/>
          <w:numId w:val="10"/>
        </w:numPr>
      </w:pPr>
      <w:r>
        <w:t xml:space="preserve">Patient has been diagnosed with neuromuscular disease; that </w:t>
      </w:r>
      <w:r w:rsidRPr="00564356">
        <w:t>disease is characterized by excessive mucus production, infection and difficulty clearing secretions</w:t>
      </w:r>
      <w:r>
        <w:t xml:space="preserve">; and there is a failure, intolerance, or contraindication to standard treatment </w:t>
      </w:r>
      <w:r w:rsidRPr="00564356">
        <w:t>(e.g., pharmacotherapy, postural drainage, daily chest percussion)</w:t>
      </w:r>
      <w:r>
        <w:t xml:space="preserve"> and </w:t>
      </w:r>
      <w:r w:rsidRPr="00564356">
        <w:t>standard airway clearance device (e.g., mechanical percussors, positive expiratory pressure device)</w:t>
      </w:r>
      <w:r>
        <w:t>.</w:t>
      </w:r>
    </w:p>
    <w:p w14:paraId="15D00832" w14:textId="07DD7AC4" w:rsidR="00494065" w:rsidRDefault="00494065" w:rsidP="002D5EAA">
      <w:r>
        <w:t xml:space="preserve">Moda updated </w:t>
      </w:r>
      <w:r w:rsidR="00015262">
        <w:t>its</w:t>
      </w:r>
      <w:r>
        <w:t xml:space="preserve"> policy for HFCWO devices in March 2021, and considers airway oscillating devices, mechanical percussors, positive expiration masks to be medically necessary to assist in mobilizing respiratory tract secretions for patients with cystic fibrosis, chronic bronchitis, bronchiectasis, immotile cilia syndrome, or asthma. Their policy requires prior authorization and provides the following criteria for medical necessity</w:t>
      </w:r>
      <w:r w:rsidRPr="00AF6B3B">
        <w:rPr>
          <w:noProof/>
          <w:vertAlign w:val="superscript"/>
        </w:rPr>
        <w:t>31</w:t>
      </w:r>
      <w:r>
        <w:t>:</w:t>
      </w:r>
    </w:p>
    <w:p w14:paraId="68D72999" w14:textId="77777777" w:rsidR="00494065" w:rsidRDefault="00494065" w:rsidP="002D5EAA">
      <w:pPr>
        <w:pStyle w:val="ListParagraph"/>
        <w:numPr>
          <w:ilvl w:val="0"/>
          <w:numId w:val="9"/>
        </w:numPr>
      </w:pPr>
      <w:r>
        <w:t>Face-to-face visit with provider within 6 months prior to the request;</w:t>
      </w:r>
    </w:p>
    <w:p w14:paraId="2163BEB5" w14:textId="77777777" w:rsidR="00494065" w:rsidRDefault="00494065" w:rsidP="002D5EAA">
      <w:pPr>
        <w:pStyle w:val="ListParagraph"/>
        <w:numPr>
          <w:ilvl w:val="0"/>
          <w:numId w:val="9"/>
        </w:numPr>
      </w:pPr>
      <w:r>
        <w:t>Documentation of failure of standard treatments to adequately mobilize retained secretions;</w:t>
      </w:r>
    </w:p>
    <w:p w14:paraId="0A97DD5B" w14:textId="77777777" w:rsidR="00494065" w:rsidRDefault="00494065" w:rsidP="002D5EAA">
      <w:pPr>
        <w:pStyle w:val="ListParagraph"/>
        <w:numPr>
          <w:ilvl w:val="0"/>
          <w:numId w:val="9"/>
        </w:numPr>
      </w:pPr>
      <w:r>
        <w:t>Cannot request both HFCWO and mechanical in-exsufflation device; and</w:t>
      </w:r>
    </w:p>
    <w:p w14:paraId="7F1396FD" w14:textId="77777777" w:rsidR="00494065" w:rsidRDefault="00494065" w:rsidP="002D5EAA">
      <w:pPr>
        <w:pStyle w:val="ListParagraph"/>
        <w:numPr>
          <w:ilvl w:val="0"/>
          <w:numId w:val="9"/>
        </w:numPr>
      </w:pPr>
      <w:r>
        <w:t>One or more of the following conditions are met:</w:t>
      </w:r>
    </w:p>
    <w:p w14:paraId="2D946B30" w14:textId="77777777" w:rsidR="00494065" w:rsidRDefault="00494065" w:rsidP="002D5EAA">
      <w:pPr>
        <w:pStyle w:val="ListParagraph"/>
        <w:numPr>
          <w:ilvl w:val="1"/>
          <w:numId w:val="9"/>
        </w:numPr>
      </w:pPr>
      <w:r>
        <w:t xml:space="preserve">A </w:t>
      </w:r>
      <w:r w:rsidRPr="0013321F">
        <w:t>high resolution, spiral, or standard CT scan documentation of bronchiectasis that is characterized by 1 or more of the following</w:t>
      </w:r>
      <w:r>
        <w:t xml:space="preserve">: at least 6 months of daily productive cough, or frequent exacerbations requiring antibiotic therapy (i.e., more than 2 times per year); </w:t>
      </w:r>
    </w:p>
    <w:p w14:paraId="31E0CCE8" w14:textId="18B5DB6B" w:rsidR="00494065" w:rsidRDefault="00494065" w:rsidP="002D5EAA">
      <w:pPr>
        <w:pStyle w:val="ListParagraph"/>
        <w:numPr>
          <w:ilvl w:val="1"/>
          <w:numId w:val="9"/>
        </w:numPr>
      </w:pPr>
      <w:r>
        <w:t xml:space="preserve">The patient does not have chronic bronchitis and </w:t>
      </w:r>
      <w:r w:rsidR="00CC7696">
        <w:t>COPD</w:t>
      </w:r>
      <w:r>
        <w:t xml:space="preserve"> in the absence of confirmed diagnosis of bronchiectasis</w:t>
      </w:r>
    </w:p>
    <w:p w14:paraId="1821AA2A" w14:textId="77777777" w:rsidR="00494065" w:rsidRDefault="00494065" w:rsidP="002D5EAA">
      <w:pPr>
        <w:pStyle w:val="ListParagraph"/>
        <w:numPr>
          <w:ilvl w:val="1"/>
          <w:numId w:val="9"/>
        </w:numPr>
      </w:pPr>
      <w:r>
        <w:t>Cystic fibrosis or immotile cilia syndrome</w:t>
      </w:r>
    </w:p>
    <w:p w14:paraId="5E89C47A" w14:textId="77777777" w:rsidR="00494065" w:rsidRDefault="00494065" w:rsidP="002D5EAA">
      <w:pPr>
        <w:pStyle w:val="ListParagraph"/>
        <w:numPr>
          <w:ilvl w:val="1"/>
          <w:numId w:val="9"/>
        </w:numPr>
      </w:pPr>
      <w:r>
        <w:t xml:space="preserve">The patient has one of the following neuromuscular diseases: acid maltase deficiency; anterior horn cell diseases, including amyotrophic lateral sclerosis; hereditary muscular dystrophy; multiple sclerosis; myotonic disorders; other myopathies; paralysis of the </w:t>
      </w:r>
      <w:r>
        <w:lastRenderedPageBreak/>
        <w:t>diaphragm; post-polio; quadriplegia regardless of etiology; lung transplant recipients who are unable to tolerate standard chest physiotherapy, and who have submitted a request within the first 6 months post-operatively.</w:t>
      </w:r>
    </w:p>
    <w:p w14:paraId="66437780" w14:textId="13AF5949" w:rsidR="00494065" w:rsidRDefault="00494065" w:rsidP="002D5EAA">
      <w:pPr>
        <w:pStyle w:val="ListParagraph"/>
        <w:numPr>
          <w:ilvl w:val="0"/>
          <w:numId w:val="9"/>
        </w:numPr>
      </w:pPr>
      <w:r>
        <w:t>Indications for which HFCWO is considered investigational include a</w:t>
      </w:r>
      <w:r w:rsidRPr="0013321F">
        <w:t>lpha 1-antitrypsin deficiency, childhood atelectasis, cerebral palsy, coma, kyphosis, leukodystrophy, scolios</w:t>
      </w:r>
      <w:r>
        <w:t>is, and stiff-person</w:t>
      </w:r>
      <w:r w:rsidRPr="0013321F">
        <w:t xml:space="preserve"> syndrome</w:t>
      </w:r>
      <w:r>
        <w:t>.</w:t>
      </w:r>
    </w:p>
    <w:p w14:paraId="454C5B04" w14:textId="49010EF3" w:rsidR="00494065" w:rsidRDefault="00494065" w:rsidP="002D5EAA">
      <w:r>
        <w:t>Moda’s policy specifically names the following devices but notes that the list is not all-inclusive: Frequencer, SmartVest, MedPulse Respiratory Vest System, The Vest Airway Clearance System, ABI Vest, Respin11 Bronchial Clearance System, and InCourage Vest/System.</w:t>
      </w:r>
      <w:r w:rsidRPr="00AF6B3B">
        <w:rPr>
          <w:noProof/>
          <w:vertAlign w:val="superscript"/>
        </w:rPr>
        <w:t>31</w:t>
      </w:r>
    </w:p>
    <w:p w14:paraId="1D4C896A" w14:textId="48A75A6A" w:rsidR="00494065" w:rsidRDefault="00494065" w:rsidP="002D5EAA">
      <w:r>
        <w:t>Regence BlueCross BlueShield updated their policy for oscillatory devices in July 2020 and anticipates starting a new review for their policy in June 2021. This policy required prior authorization and provides the following criteria for medical necessity for use of HFCWO devices</w:t>
      </w:r>
      <w:r w:rsidRPr="00AF6B3B">
        <w:rPr>
          <w:noProof/>
          <w:vertAlign w:val="superscript"/>
        </w:rPr>
        <w:t>32</w:t>
      </w:r>
      <w:r>
        <w:t>:</w:t>
      </w:r>
    </w:p>
    <w:p w14:paraId="1C405CA2" w14:textId="77777777" w:rsidR="00494065" w:rsidRDefault="00494065" w:rsidP="002D5EAA">
      <w:pPr>
        <w:pStyle w:val="ListParagraph"/>
        <w:numPr>
          <w:ilvl w:val="0"/>
          <w:numId w:val="8"/>
        </w:numPr>
      </w:pPr>
      <w:r>
        <w:t>Among patients with cystic fibrosis: demonstrated need for airway clearance and documentation that standard chest physiotherapy has failed, is not tolerated, or cannot be performed. Failure is defined as continued frequent severe exacerbations of respiratory distress.</w:t>
      </w:r>
    </w:p>
    <w:p w14:paraId="6C2E845F" w14:textId="77777777" w:rsidR="00494065" w:rsidRDefault="00494065" w:rsidP="002D5EAA">
      <w:pPr>
        <w:pStyle w:val="ListParagraph"/>
        <w:numPr>
          <w:ilvl w:val="0"/>
          <w:numId w:val="8"/>
        </w:numPr>
      </w:pPr>
      <w:r>
        <w:t>Among patients with chronic diffuse bronchiectasis: demonstrated need for airway clearance; documentation that standard chest physiotherapy has failed, is not tolerated, or cannot be performed; and high resolution or spiral chest tomography scan to document bronchiectasis, plus either daily productive cough for at least 6 continuous months, or exacerbations requiring antibiotic therapy 3 or more times per year.</w:t>
      </w:r>
    </w:p>
    <w:p w14:paraId="4F992254" w14:textId="5744820D" w:rsidR="00494065" w:rsidRDefault="00494065" w:rsidP="002D5EAA">
      <w:pPr>
        <w:pStyle w:val="ListParagraph"/>
        <w:numPr>
          <w:ilvl w:val="0"/>
          <w:numId w:val="8"/>
        </w:numPr>
      </w:pPr>
      <w:r>
        <w:t>Among patients with COPD or conditions associated with other neuromuscular disorders</w:t>
      </w:r>
      <w:r w:rsidR="007A147E">
        <w:t>,</w:t>
      </w:r>
      <w:r>
        <w:t xml:space="preserve"> HFCWO devices are considered investigational.</w:t>
      </w:r>
    </w:p>
    <w:p w14:paraId="40C6C70F" w14:textId="77777777" w:rsidR="00494065" w:rsidRPr="00C2689F" w:rsidRDefault="00494065" w:rsidP="002D5EAA">
      <w:pPr>
        <w:pStyle w:val="H2NoBK"/>
      </w:pPr>
      <w:bookmarkStart w:id="51" w:name="_Toc72335280"/>
      <w:bookmarkStart w:id="52" w:name="_Toc87358450"/>
      <w:r>
        <w:t>Evidence-based Guidelines and Recommendations</w:t>
      </w:r>
      <w:bookmarkEnd w:id="51"/>
      <w:bookmarkEnd w:id="52"/>
    </w:p>
    <w:p w14:paraId="24CF5C6C" w14:textId="77777777" w:rsidR="00494065" w:rsidRDefault="00494065" w:rsidP="002D5EAA">
      <w:pPr>
        <w:pStyle w:val="H4NoBK"/>
      </w:pPr>
      <w:r>
        <w:t>National Institute for Health Care and Excellence (NICE)</w:t>
      </w:r>
    </w:p>
    <w:p w14:paraId="42196A22" w14:textId="089D39DA" w:rsidR="00494065" w:rsidRDefault="00494065" w:rsidP="002D5EAA">
      <w:r>
        <w:t>The NICE guidelines published in 2017 for the diagnosis, treatment, and management of cystic fibrosis explicitly state that HFCWO devices should not be offered as an airway clearance technique for people with cystic fibrosis except in exceptional clinical circumstances.</w:t>
      </w:r>
      <w:r w:rsidRPr="00AF6B3B">
        <w:rPr>
          <w:noProof/>
          <w:vertAlign w:val="superscript"/>
        </w:rPr>
        <w:t>33</w:t>
      </w:r>
      <w:r>
        <w:t xml:space="preserve"> There is a special cystic fibrosis team that decides when circumstances are exceptional; otherwise, the guidance states that based on published evidence, HFCWO is not as effective as other airway clearance techniques.</w:t>
      </w:r>
      <w:r w:rsidRPr="00AF6B3B">
        <w:rPr>
          <w:noProof/>
          <w:vertAlign w:val="superscript"/>
        </w:rPr>
        <w:t>33</w:t>
      </w:r>
    </w:p>
    <w:p w14:paraId="64097E74" w14:textId="77777777" w:rsidR="00494065" w:rsidRDefault="00494065" w:rsidP="002D5EAA">
      <w:r>
        <w:t>We did not identify any NICE guidelines for the diagnosis, treatment, and management of bronchiectasis, COPD, or neuromuscular diseases that explicitly included HFCWO devices in the recommendations sections.</w:t>
      </w:r>
    </w:p>
    <w:p w14:paraId="5B451BC1" w14:textId="77777777" w:rsidR="00494065" w:rsidRDefault="00494065" w:rsidP="002D5EAA">
      <w:pPr>
        <w:pStyle w:val="H4NoBK"/>
      </w:pPr>
      <w:r>
        <w:t>European Respiratory Society</w:t>
      </w:r>
    </w:p>
    <w:p w14:paraId="05469F5F" w14:textId="77779049" w:rsidR="00494065" w:rsidRPr="00D34239" w:rsidRDefault="00494065" w:rsidP="002D5EAA">
      <w:r>
        <w:t xml:space="preserve">The European Respiratory Society published guidelines in 2017 for the management of adult bronchiectasis </w:t>
      </w:r>
      <w:r w:rsidDel="00067513">
        <w:t xml:space="preserve">from determinations made </w:t>
      </w:r>
      <w:r>
        <w:t>by a task force comprised of respiratory medicine, microbiology, physiotherapy, thoracic surgery, primary care, and patient advocates.</w:t>
      </w:r>
      <w:r w:rsidRPr="00AF6B3B">
        <w:rPr>
          <w:noProof/>
          <w:vertAlign w:val="superscript"/>
        </w:rPr>
        <w:t>34</w:t>
      </w:r>
      <w:r>
        <w:t xml:space="preserve"> Systematic reviews of published evidence were conducted, reviewed, and debated by this task force during 4 in-person meetings that took place over 21 months, with additional communication by email and teleconference when drafting the final recommendations.</w:t>
      </w:r>
      <w:r w:rsidRPr="00AF6B3B">
        <w:rPr>
          <w:noProof/>
          <w:vertAlign w:val="superscript"/>
        </w:rPr>
        <w:t>34</w:t>
      </w:r>
      <w:r>
        <w:t xml:space="preserve"> Any task force members with conflicts of interest were forced to abstain from all voting activities during the process of developing </w:t>
      </w:r>
      <w:r>
        <w:lastRenderedPageBreak/>
        <w:t>recommendations.</w:t>
      </w:r>
      <w:r w:rsidRPr="00AF6B3B">
        <w:rPr>
          <w:noProof/>
          <w:vertAlign w:val="superscript"/>
        </w:rPr>
        <w:t>34</w:t>
      </w:r>
      <w:r>
        <w:t xml:space="preserve"> The guideline recommends that patients with bronchiectasis be taught to use an airway clearance technique 1 to 2 times daily by a trained physiotherapist, as a weak recommendation based on low quality of evidence.</w:t>
      </w:r>
      <w:r w:rsidRPr="00AF6B3B">
        <w:rPr>
          <w:noProof/>
          <w:vertAlign w:val="superscript"/>
        </w:rPr>
        <w:t>34</w:t>
      </w:r>
      <w:r>
        <w:t xml:space="preserve"> HFCWO therapy was one of multiple airway clearance techniques that the task force considered while making this recommendation, but there was no statement of which airway clearance technique might be superior to others.</w:t>
      </w:r>
      <w:r w:rsidRPr="00AF6B3B">
        <w:rPr>
          <w:noProof/>
          <w:vertAlign w:val="superscript"/>
        </w:rPr>
        <w:t>34</w:t>
      </w:r>
      <w:r>
        <w:t xml:space="preserve"> There was a strong recommendation for use of pulmonary rehabilitation in patients with impaired exercise capacity.</w:t>
      </w:r>
      <w:r w:rsidRPr="00AF6B3B">
        <w:rPr>
          <w:noProof/>
          <w:vertAlign w:val="superscript"/>
        </w:rPr>
        <w:t>34</w:t>
      </w:r>
    </w:p>
    <w:p w14:paraId="015CB457" w14:textId="77777777" w:rsidR="00494065" w:rsidRDefault="00494065" w:rsidP="002D5EAA">
      <w:pPr>
        <w:pStyle w:val="H4NoBK"/>
      </w:pPr>
      <w:r w:rsidRPr="00C2689F">
        <w:t>European Neuromuscular Centre (ENMC)</w:t>
      </w:r>
    </w:p>
    <w:p w14:paraId="5C7F2341" w14:textId="5E957487" w:rsidR="00494065" w:rsidRPr="00C2689F" w:rsidRDefault="00494065" w:rsidP="002D5EAA">
      <w:r>
        <w:t>ENMC convened a meeting in March 2017 with 21 internationally recognized experts in airway clearance techniques for patients with neuromuscular disorders.</w:t>
      </w:r>
      <w:r w:rsidRPr="00AF6B3B">
        <w:rPr>
          <w:noProof/>
          <w:vertAlign w:val="superscript"/>
        </w:rPr>
        <w:t>35</w:t>
      </w:r>
      <w:r>
        <w:t xml:space="preserve"> Several of the participating experts had received funding, honoraria, or expenses for travel paid for by manufacturers of devices that assist in airway clearance.</w:t>
      </w:r>
      <w:r w:rsidRPr="00AF6B3B">
        <w:rPr>
          <w:noProof/>
          <w:vertAlign w:val="superscript"/>
        </w:rPr>
        <w:t>35</w:t>
      </w:r>
      <w:r>
        <w:t xml:space="preserve"> HFCWO devices were addressed in the review that the experts published after the meeting in the section related to peripheral airway clearance techniques, which also included discussion of intrapulmonary percussive ventilation, manual chest compression, and chest wall strapping.</w:t>
      </w:r>
      <w:r w:rsidRPr="00AF6B3B">
        <w:rPr>
          <w:noProof/>
          <w:vertAlign w:val="superscript"/>
        </w:rPr>
        <w:t>35</w:t>
      </w:r>
      <w:r>
        <w:t xml:space="preserve"> Other sections of the review included information about manually assisted cough, assisted inspiration and expiration, mechanical insufflation-exsufflation.</w:t>
      </w:r>
      <w:r w:rsidRPr="00AF6B3B">
        <w:rPr>
          <w:noProof/>
          <w:vertAlign w:val="superscript"/>
        </w:rPr>
        <w:t>35</w:t>
      </w:r>
      <w:r>
        <w:t xml:space="preserve"> The authors concluded that peripheral airway clearance techniques such as HFCWO</w:t>
      </w:r>
      <w:r w:rsidR="00067513">
        <w:t xml:space="preserve"> therapy</w:t>
      </w:r>
      <w:r>
        <w:t xml:space="preserve"> may be effective, and should be considered for use in management of chronic lung disease associated with neuromuscular disorders alongside manually assisted cough or other equipment to clear secretions from airways.</w:t>
      </w:r>
      <w:r w:rsidRPr="00AF6B3B">
        <w:rPr>
          <w:noProof/>
          <w:vertAlign w:val="superscript"/>
        </w:rPr>
        <w:t>35</w:t>
      </w:r>
      <w:r>
        <w:t xml:space="preserve"> The authors noted that HFCWO devices are expensive in comparison to other available devices and techniques.</w:t>
      </w:r>
      <w:r w:rsidRPr="00AF6B3B">
        <w:rPr>
          <w:noProof/>
          <w:vertAlign w:val="superscript"/>
        </w:rPr>
        <w:t>35</w:t>
      </w:r>
    </w:p>
    <w:p w14:paraId="1478508E" w14:textId="77777777" w:rsidR="00494065" w:rsidRDefault="00494065" w:rsidP="002D5EAA">
      <w:pPr>
        <w:pStyle w:val="H4NoBK"/>
      </w:pPr>
      <w:r>
        <w:t>American College of Chest Physicians</w:t>
      </w:r>
    </w:p>
    <w:p w14:paraId="66B711A7" w14:textId="70B93DED" w:rsidR="00494065" w:rsidRDefault="00494065" w:rsidP="002D5EAA">
      <w:r>
        <w:t>The American College of Chest Physicians published an expert panel report in 2018 on treating cough due to non</w:t>
      </w:r>
      <w:r w:rsidR="00DC478A">
        <w:rPr>
          <w:rFonts w:ascii="Calibri" w:eastAsia="Calibri" w:hAnsi="Calibri" w:cs="Arial"/>
          <w:color w:val="0070C0"/>
          <w:u w:val="single"/>
        </w:rPr>
        <w:t>–</w:t>
      </w:r>
      <w:r>
        <w:t xml:space="preserve">cystic fibrosis </w:t>
      </w:r>
      <w:r w:rsidR="00DC478A">
        <w:t xml:space="preserve">bronchiectasis </w:t>
      </w:r>
      <w:r>
        <w:t>and cystic fibrosis bronchiectasis with nonpharma</w:t>
      </w:r>
      <w:r w:rsidR="00067513">
        <w:t>co</w:t>
      </w:r>
      <w:r>
        <w:t>logical airway clearance after conducting a systematic review of published evidence.</w:t>
      </w:r>
      <w:r w:rsidRPr="00AF6B3B">
        <w:rPr>
          <w:noProof/>
          <w:vertAlign w:val="superscript"/>
        </w:rPr>
        <w:t>36</w:t>
      </w:r>
      <w:r>
        <w:t xml:space="preserve"> The authors were unable to make recommendations due to insufficient evidence, but provided the following consensus-based suggestions</w:t>
      </w:r>
      <w:r w:rsidRPr="00AF6B3B">
        <w:rPr>
          <w:noProof/>
          <w:vertAlign w:val="superscript"/>
        </w:rPr>
        <w:t>36</w:t>
      </w:r>
      <w:r>
        <w:t xml:space="preserve">: </w:t>
      </w:r>
    </w:p>
    <w:p w14:paraId="182D2B1B" w14:textId="77777777" w:rsidR="00494065" w:rsidRDefault="00494065" w:rsidP="002D5EAA">
      <w:pPr>
        <w:pStyle w:val="ListParagraph"/>
        <w:numPr>
          <w:ilvl w:val="0"/>
          <w:numId w:val="16"/>
        </w:numPr>
      </w:pPr>
      <w:r w:rsidRPr="003801E5">
        <w:t>For children and adults with productive cough due to bronchiectasis related to any cause, we suggest that they be taught airway clearance techniques by professionals with advanced training in airway clearance techniques.</w:t>
      </w:r>
    </w:p>
    <w:p w14:paraId="17DB72D1" w14:textId="77777777" w:rsidR="00494065" w:rsidRDefault="00494065" w:rsidP="002D5EAA">
      <w:pPr>
        <w:pStyle w:val="ListParagraph"/>
        <w:numPr>
          <w:ilvl w:val="0"/>
          <w:numId w:val="16"/>
        </w:numPr>
      </w:pPr>
      <w:r w:rsidRPr="003801E5">
        <w:t>For children and adults with productive cough due to bronchiectasis related to any cause, we suggest that the frequency of airway clearance should be determined by disease severity and amount of secretions.</w:t>
      </w:r>
    </w:p>
    <w:p w14:paraId="58D084C1" w14:textId="77777777" w:rsidR="00494065" w:rsidRPr="003801E5" w:rsidRDefault="00494065" w:rsidP="002D5EAA">
      <w:pPr>
        <w:pStyle w:val="ListParagraph"/>
        <w:numPr>
          <w:ilvl w:val="0"/>
          <w:numId w:val="16"/>
        </w:numPr>
      </w:pPr>
      <w:r w:rsidRPr="003801E5">
        <w:t>For children and adults with productive cough due to bronchiectasis related to any cause, we suggest that airway clearance techniques are individualized as there are many different techniques.</w:t>
      </w:r>
    </w:p>
    <w:p w14:paraId="5281CF3B" w14:textId="77777777" w:rsidR="00494065" w:rsidRDefault="00494065" w:rsidP="002D5EAA">
      <w:pPr>
        <w:pStyle w:val="H4NoBK"/>
      </w:pPr>
      <w:r>
        <w:t>American Association for Respiratory Care (AARC)</w:t>
      </w:r>
    </w:p>
    <w:p w14:paraId="58F7F295" w14:textId="77777777" w:rsidR="00494065" w:rsidRDefault="00494065" w:rsidP="002D5EAA">
      <w:r>
        <w:t>AARC published clinical practice guidelines about the effectiveness of nonpharmacologic airway clearance therapies in hospitalized patients with impaired secretion clearance, based on a systematic review of published studies.</w:t>
      </w:r>
      <w:r w:rsidRPr="00AF6B3B">
        <w:rPr>
          <w:noProof/>
          <w:vertAlign w:val="superscript"/>
        </w:rPr>
        <w:t>37</w:t>
      </w:r>
      <w:r>
        <w:t xml:space="preserve"> The guidelines provided focused recommendations for </w:t>
      </w:r>
      <w:r w:rsidRPr="00C039C9">
        <w:t xml:space="preserve">adult and pediatric patients </w:t>
      </w:r>
      <w:r>
        <w:t xml:space="preserve">without cystic fibrosis; </w:t>
      </w:r>
      <w:r w:rsidRPr="00C039C9">
        <w:t xml:space="preserve">adult and pediatric patients </w:t>
      </w:r>
      <w:r>
        <w:t xml:space="preserve">with </w:t>
      </w:r>
      <w:r w:rsidRPr="00C039C9">
        <w:t>neuromuscular disease, respiratory mus</w:t>
      </w:r>
      <w:r>
        <w:t>cle weakness, or impaired cough; and p</w:t>
      </w:r>
      <w:r w:rsidRPr="00C039C9">
        <w:t>ostoperative adult and pediatric patients</w:t>
      </w:r>
      <w:r>
        <w:t>.</w:t>
      </w:r>
      <w:r w:rsidRPr="00AF6B3B">
        <w:rPr>
          <w:noProof/>
          <w:vertAlign w:val="superscript"/>
        </w:rPr>
        <w:t>37</w:t>
      </w:r>
      <w:r>
        <w:t xml:space="preserve"> These guidelines note that HFCWO was not recommended for adult and pediatric patients with neuromuscular disease, </w:t>
      </w:r>
      <w:r w:rsidRPr="00C039C9">
        <w:lastRenderedPageBreak/>
        <w:t>respiratory mus</w:t>
      </w:r>
      <w:r>
        <w:t>cle weakness, or impaired cough, due to insufficient evidence.</w:t>
      </w:r>
      <w:r w:rsidRPr="00AF6B3B">
        <w:rPr>
          <w:noProof/>
          <w:vertAlign w:val="superscript"/>
        </w:rPr>
        <w:t>37</w:t>
      </w:r>
      <w:r>
        <w:t xml:space="preserve"> Airway clearance techniques were not recommended for routine treatment of COPD or post-operative care.</w:t>
      </w:r>
      <w:r w:rsidRPr="00AF6B3B">
        <w:rPr>
          <w:noProof/>
          <w:vertAlign w:val="superscript"/>
        </w:rPr>
        <w:t>37</w:t>
      </w:r>
      <w:r>
        <w:t xml:space="preserve"> The authors propose the following process questions when considering the use of airway clearance techniques in these populations</w:t>
      </w:r>
      <w:r w:rsidRPr="00AF6B3B">
        <w:rPr>
          <w:noProof/>
          <w:vertAlign w:val="superscript"/>
        </w:rPr>
        <w:t>37</w:t>
      </w:r>
      <w:r>
        <w:t xml:space="preserve">: </w:t>
      </w:r>
    </w:p>
    <w:p w14:paraId="3B222A67" w14:textId="77777777" w:rsidR="00494065" w:rsidRDefault="00494065" w:rsidP="002D5EAA">
      <w:pPr>
        <w:pStyle w:val="ListParagraph"/>
        <w:numPr>
          <w:ilvl w:val="0"/>
          <w:numId w:val="14"/>
        </w:numPr>
      </w:pPr>
      <w:r w:rsidRPr="002059B0">
        <w:t>Does the patient have difficulty clearing airway secretions? Are retained secretions affecting gas exchange or lung mechanics?</w:t>
      </w:r>
      <w:r>
        <w:t xml:space="preserve"> Focus on patient’s level of difficulty for mobilizing and expectorating secretions.</w:t>
      </w:r>
    </w:p>
    <w:p w14:paraId="28C176F4" w14:textId="77777777" w:rsidR="00494065" w:rsidRDefault="00494065" w:rsidP="002D5EAA">
      <w:pPr>
        <w:pStyle w:val="ListParagraph"/>
        <w:numPr>
          <w:ilvl w:val="0"/>
          <w:numId w:val="14"/>
        </w:numPr>
      </w:pPr>
      <w:r w:rsidRPr="002059B0">
        <w:t>Which therapy is likely to provide the greatest benefit with the least harm?</w:t>
      </w:r>
    </w:p>
    <w:p w14:paraId="20FD37B3" w14:textId="77777777" w:rsidR="00494065" w:rsidRDefault="00494065" w:rsidP="002D5EAA">
      <w:pPr>
        <w:pStyle w:val="ListParagraph"/>
        <w:numPr>
          <w:ilvl w:val="0"/>
          <w:numId w:val="14"/>
        </w:numPr>
      </w:pPr>
      <w:r>
        <w:t>What is the cost of the therapy in terms of the device cost and clinician time to apply or supervise the therapy? The authors note that this is especially relevant for devices or therapies to be used at home.</w:t>
      </w:r>
    </w:p>
    <w:p w14:paraId="2D4E8553" w14:textId="634C35CB" w:rsidR="00494065" w:rsidRPr="00C039C9" w:rsidRDefault="00494065" w:rsidP="002D5EAA">
      <w:pPr>
        <w:pStyle w:val="ListParagraph"/>
        <w:numPr>
          <w:ilvl w:val="0"/>
          <w:numId w:val="14"/>
        </w:numPr>
      </w:pPr>
      <w:r w:rsidRPr="002059B0">
        <w:t xml:space="preserve">What factors are important to the patient </w:t>
      </w:r>
      <w:r w:rsidR="008844AF" w:rsidRPr="002059B0">
        <w:t>about</w:t>
      </w:r>
      <w:r w:rsidRPr="002059B0">
        <w:t xml:space="preserve"> performing airway clearance therapy? </w:t>
      </w:r>
      <w:r>
        <w:t>This</w:t>
      </w:r>
      <w:r w:rsidRPr="002059B0">
        <w:t xml:space="preserve"> is an important consideration</w:t>
      </w:r>
      <w:r>
        <w:t>, given the lack of high</w:t>
      </w:r>
      <w:r w:rsidR="008844AF">
        <w:t>-</w:t>
      </w:r>
      <w:r>
        <w:t>quality evidence that any one technique is more effective than other techniques.</w:t>
      </w:r>
    </w:p>
    <w:p w14:paraId="385D9CF1" w14:textId="77777777" w:rsidR="00494065" w:rsidRDefault="00494065" w:rsidP="002D5EAA">
      <w:pPr>
        <w:pStyle w:val="H2NoBK"/>
      </w:pPr>
      <w:bookmarkStart w:id="53" w:name="_Toc72335281"/>
      <w:bookmarkStart w:id="54" w:name="_Toc87358451"/>
      <w:r>
        <w:t>Recommendations and Guidelines from Professional Societies</w:t>
      </w:r>
      <w:bookmarkEnd w:id="53"/>
      <w:bookmarkEnd w:id="54"/>
    </w:p>
    <w:p w14:paraId="7A5A9094" w14:textId="77777777" w:rsidR="00494065" w:rsidRDefault="00494065" w:rsidP="002D5EAA">
      <w:pPr>
        <w:pStyle w:val="H4NoBK"/>
      </w:pPr>
      <w:r>
        <w:t>American Thoracic Society</w:t>
      </w:r>
    </w:p>
    <w:p w14:paraId="7F698575" w14:textId="77777777" w:rsidR="00494065" w:rsidRPr="000D4E8C" w:rsidRDefault="00494065" w:rsidP="002D5EAA">
      <w:r>
        <w:t>The American Thoracic Society published a clinical practice guideline in 2011 for the diagnosis and management of stable COPD in partnership with the American College of Physician, American College of Chest Physicians, and European Respiratory Society.</w:t>
      </w:r>
      <w:r w:rsidRPr="00AF6B3B">
        <w:rPr>
          <w:noProof/>
          <w:vertAlign w:val="superscript"/>
        </w:rPr>
        <w:t>38</w:t>
      </w:r>
      <w:r>
        <w:t xml:space="preserve"> This guideline did not consider oscillation devices as part of standard management of COPD.</w:t>
      </w:r>
      <w:r w:rsidRPr="00AF6B3B">
        <w:rPr>
          <w:noProof/>
          <w:vertAlign w:val="superscript"/>
        </w:rPr>
        <w:t>38</w:t>
      </w:r>
    </w:p>
    <w:p w14:paraId="0E31D7E9" w14:textId="6D01D496" w:rsidR="00494065" w:rsidRDefault="00494065" w:rsidP="002D5EAA">
      <w:pPr>
        <w:pStyle w:val="H2NoBK"/>
      </w:pPr>
      <w:bookmarkStart w:id="55" w:name="_Toc72335282"/>
      <w:bookmarkStart w:id="56" w:name="_Toc87358452"/>
      <w:r>
        <w:t xml:space="preserve">Recommendations </w:t>
      </w:r>
      <w:r w:rsidR="001D24DF">
        <w:t>from</w:t>
      </w:r>
      <w:r>
        <w:t xml:space="preserve"> Advocacy Organizations</w:t>
      </w:r>
      <w:bookmarkEnd w:id="55"/>
      <w:bookmarkEnd w:id="56"/>
    </w:p>
    <w:p w14:paraId="2934C99B" w14:textId="77777777" w:rsidR="00494065" w:rsidRDefault="00494065" w:rsidP="002D5EAA">
      <w:pPr>
        <w:pStyle w:val="H4NoBK"/>
      </w:pPr>
      <w:r>
        <w:t>American Lung Association</w:t>
      </w:r>
    </w:p>
    <w:p w14:paraId="69270F7B" w14:textId="77777777" w:rsidR="00494065" w:rsidRPr="004608B1" w:rsidRDefault="00494065" w:rsidP="002D5EAA">
      <w:r>
        <w:t>The American Lung Association does not list HFCWO devices as part of the management and treatment of cystic fibrosis, bronchiectasis, or COPD.</w:t>
      </w:r>
      <w:r w:rsidRPr="00AF6B3B">
        <w:rPr>
          <w:noProof/>
          <w:vertAlign w:val="superscript"/>
        </w:rPr>
        <w:t>39-41</w:t>
      </w:r>
    </w:p>
    <w:p w14:paraId="1A89C92A" w14:textId="77777777" w:rsidR="00494065" w:rsidRDefault="00494065" w:rsidP="002D5EAA">
      <w:pPr>
        <w:pStyle w:val="H4NoBK"/>
      </w:pPr>
      <w:r>
        <w:t>Cystic Fibrosis Foundation</w:t>
      </w:r>
    </w:p>
    <w:p w14:paraId="32F6FDD1" w14:textId="77777777" w:rsidR="00494065" w:rsidRDefault="00494065" w:rsidP="002D5EAA">
      <w:r>
        <w:t>The Cystic Fibrosis Foundation promotes the use of clinical practice guidelines from a systematic review of the evidence that the foundation commissioned in 2009 to compare airway clearance techniques and devices.</w:t>
      </w:r>
      <w:r w:rsidRPr="00AF6B3B">
        <w:rPr>
          <w:noProof/>
          <w:vertAlign w:val="superscript"/>
        </w:rPr>
        <w:t>42</w:t>
      </w:r>
      <w:r>
        <w:t xml:space="preserve"> The review concluded that airway clearance should be part of managing cystic fibrosis to maintain lung function and improve quality of life, and assessed that this could provide a moderate net benefit based on fair quality body of evidence.</w:t>
      </w:r>
      <w:r w:rsidRPr="00AF6B3B">
        <w:rPr>
          <w:noProof/>
          <w:vertAlign w:val="superscript"/>
        </w:rPr>
        <w:t>43</w:t>
      </w:r>
      <w:r>
        <w:t xml:space="preserve"> No airway clearance technique or device was found to be superior to others, and the authors recommended that airway clearance technique be individualized to the patient in consideration of age, preference, and history of adverse events.</w:t>
      </w:r>
      <w:r w:rsidRPr="00AF6B3B">
        <w:rPr>
          <w:noProof/>
          <w:vertAlign w:val="superscript"/>
        </w:rPr>
        <w:t>43</w:t>
      </w:r>
    </w:p>
    <w:p w14:paraId="4873FF2F" w14:textId="77777777" w:rsidR="00494065" w:rsidRDefault="00494065">
      <w:pPr>
        <w:spacing w:after="160"/>
        <w:rPr>
          <w:rFonts w:ascii="Cambria" w:eastAsiaTheme="majorEastAsia" w:hAnsi="Cambria" w:cstheme="majorBidi"/>
          <w:b/>
          <w:color w:val="244061"/>
          <w:sz w:val="32"/>
          <w:szCs w:val="32"/>
        </w:rPr>
      </w:pPr>
      <w:r>
        <w:br w:type="page"/>
      </w:r>
    </w:p>
    <w:p w14:paraId="25119A1F" w14:textId="77777777" w:rsidR="00494065" w:rsidRDefault="00494065" w:rsidP="002D5EAA">
      <w:pPr>
        <w:pStyle w:val="H1NoBK"/>
      </w:pPr>
      <w:bookmarkStart w:id="57" w:name="_Toc72335283"/>
      <w:bookmarkStart w:id="58" w:name="_Toc87358453"/>
      <w:r>
        <w:lastRenderedPageBreak/>
        <w:t>References</w:t>
      </w:r>
      <w:bookmarkEnd w:id="57"/>
      <w:bookmarkEnd w:id="58"/>
    </w:p>
    <w:p w14:paraId="2F526E41" w14:textId="77777777" w:rsidR="00494065" w:rsidRPr="008B676E" w:rsidRDefault="00494065" w:rsidP="002D5EAA">
      <w:pPr>
        <w:pStyle w:val="EndNoteBibliography"/>
        <w:framePr w:hSpace="0" w:wrap="auto" w:vAnchor="margin" w:hAnchor="text" w:yAlign="inline"/>
        <w:spacing w:after="0"/>
        <w:ind w:left="720" w:hanging="720"/>
      </w:pPr>
      <w:r w:rsidRPr="008B676E">
        <w:t>1.</w:t>
      </w:r>
      <w:r w:rsidRPr="008B676E">
        <w:tab/>
        <w:t xml:space="preserve">Rogers DF, Barnes PJ. Treatment of airway mucus hypersecretion. </w:t>
      </w:r>
      <w:r w:rsidRPr="008B676E">
        <w:rPr>
          <w:i/>
        </w:rPr>
        <w:t xml:space="preserve">Ann Med. </w:t>
      </w:r>
      <w:r w:rsidRPr="008B676E">
        <w:t>2006;38(2):116-125. doi: 10.1080/07853890600585795.</w:t>
      </w:r>
    </w:p>
    <w:p w14:paraId="085C8909" w14:textId="77777777" w:rsidR="00494065" w:rsidRPr="008B676E" w:rsidRDefault="00494065" w:rsidP="002D5EAA">
      <w:pPr>
        <w:pStyle w:val="EndNoteBibliography"/>
        <w:framePr w:hSpace="0" w:wrap="auto" w:vAnchor="margin" w:hAnchor="text" w:yAlign="inline"/>
        <w:spacing w:after="0"/>
        <w:ind w:left="720" w:hanging="720"/>
      </w:pPr>
      <w:r w:rsidRPr="008B676E">
        <w:t>2.</w:t>
      </w:r>
      <w:r w:rsidRPr="008B676E">
        <w:tab/>
        <w:t xml:space="preserve">Centers for Disease Control and Prevention. Chronic obstructive pulmonary disease (COPD). 2021; </w:t>
      </w:r>
      <w:r w:rsidRPr="00494065">
        <w:t>https://www.cdc.gov/copd/index.html</w:t>
      </w:r>
      <w:r w:rsidRPr="008B676E">
        <w:t>. Accessed May 3, 2021.</w:t>
      </w:r>
    </w:p>
    <w:p w14:paraId="6101D471" w14:textId="77777777" w:rsidR="00494065" w:rsidRPr="008B676E" w:rsidRDefault="00494065" w:rsidP="002D5EAA">
      <w:pPr>
        <w:pStyle w:val="EndNoteBibliography"/>
        <w:framePr w:hSpace="0" w:wrap="auto" w:vAnchor="margin" w:hAnchor="text" w:yAlign="inline"/>
        <w:spacing w:after="0"/>
        <w:ind w:left="720" w:hanging="720"/>
      </w:pPr>
      <w:r w:rsidRPr="008B676E">
        <w:t>3.</w:t>
      </w:r>
      <w:r w:rsidRPr="008B676E">
        <w:tab/>
        <w:t xml:space="preserve">Centers for Disease Control and Prevention. Cystic fibrosis. 2021; </w:t>
      </w:r>
      <w:r w:rsidRPr="00494065">
        <w:t>https://www.cdc.gov/genomics/disease/cystic_fibrosis.htm</w:t>
      </w:r>
      <w:r w:rsidRPr="008B676E">
        <w:t>. Accessed May 3, 2021.</w:t>
      </w:r>
    </w:p>
    <w:p w14:paraId="1E3FD968" w14:textId="77777777" w:rsidR="00494065" w:rsidRPr="008B676E" w:rsidRDefault="00494065" w:rsidP="002D5EAA">
      <w:pPr>
        <w:pStyle w:val="EndNoteBibliography"/>
        <w:framePr w:hSpace="0" w:wrap="auto" w:vAnchor="margin" w:hAnchor="text" w:yAlign="inline"/>
        <w:spacing w:after="0"/>
        <w:ind w:left="720" w:hanging="720"/>
      </w:pPr>
      <w:r w:rsidRPr="008B676E">
        <w:t>4.</w:t>
      </w:r>
      <w:r w:rsidRPr="008B676E">
        <w:tab/>
        <w:t xml:space="preserve">Weycker D, Hansen GL, Seifer FD. Prevalence and incidence of noncystic fibrosis bronchiectasis among US adults in 2013. </w:t>
      </w:r>
      <w:r w:rsidRPr="008B676E">
        <w:rPr>
          <w:i/>
        </w:rPr>
        <w:t xml:space="preserve">Chron Respir Dis. </w:t>
      </w:r>
      <w:r w:rsidRPr="008B676E">
        <w:t>2017;14(4):377-384. doi: 10.1177/1479972317709649.</w:t>
      </w:r>
    </w:p>
    <w:p w14:paraId="128422E8" w14:textId="77777777" w:rsidR="00494065" w:rsidRPr="008B676E" w:rsidRDefault="00494065" w:rsidP="002D5EAA">
      <w:pPr>
        <w:pStyle w:val="EndNoteBibliography"/>
        <w:framePr w:hSpace="0" w:wrap="auto" w:vAnchor="margin" w:hAnchor="text" w:yAlign="inline"/>
        <w:spacing w:after="0"/>
        <w:ind w:left="720" w:hanging="720"/>
      </w:pPr>
      <w:r w:rsidRPr="008B676E">
        <w:t>5.</w:t>
      </w:r>
      <w:r w:rsidRPr="008B676E">
        <w:tab/>
        <w:t xml:space="preserve">Konstan M, Berger M. Current understanding of the inflammatory process in cystic fibrosis: onset and etiology. </w:t>
      </w:r>
      <w:r w:rsidRPr="008B676E">
        <w:rPr>
          <w:i/>
        </w:rPr>
        <w:t xml:space="preserve">Pediatr Pulmonol. </w:t>
      </w:r>
      <w:r w:rsidRPr="008B676E">
        <w:t>1997;24(2):137-142.</w:t>
      </w:r>
    </w:p>
    <w:p w14:paraId="723BD3A1" w14:textId="77777777" w:rsidR="00494065" w:rsidRPr="008B676E" w:rsidRDefault="00494065" w:rsidP="002D5EAA">
      <w:pPr>
        <w:pStyle w:val="EndNoteBibliography"/>
        <w:framePr w:hSpace="0" w:wrap="auto" w:vAnchor="margin" w:hAnchor="text" w:yAlign="inline"/>
        <w:spacing w:after="0"/>
        <w:ind w:left="720" w:hanging="720"/>
      </w:pPr>
      <w:r w:rsidRPr="008B676E">
        <w:t>6.</w:t>
      </w:r>
      <w:r w:rsidRPr="008B676E">
        <w:tab/>
        <w:t xml:space="preserve">Morrison L, Milroy S. Oscillating devices for airway clearance in people with cystic fibrosis. </w:t>
      </w:r>
      <w:r w:rsidRPr="008B676E">
        <w:rPr>
          <w:i/>
        </w:rPr>
        <w:t xml:space="preserve">The Cochrane database of systematic reviews. </w:t>
      </w:r>
      <w:r w:rsidRPr="008B676E">
        <w:t xml:space="preserve">2020;4:CD006842. doi: </w:t>
      </w:r>
      <w:r w:rsidRPr="00494065">
        <w:t>https://dx.doi.org/10.1002/14651858.CD006842.pub5</w:t>
      </w:r>
      <w:r w:rsidRPr="008B676E">
        <w:t>.</w:t>
      </w:r>
    </w:p>
    <w:p w14:paraId="7C32ADE9" w14:textId="77777777" w:rsidR="00494065" w:rsidRPr="008B676E" w:rsidRDefault="00494065" w:rsidP="002D5EAA">
      <w:pPr>
        <w:pStyle w:val="EndNoteBibliography"/>
        <w:framePr w:hSpace="0" w:wrap="auto" w:vAnchor="margin" w:hAnchor="text" w:yAlign="inline"/>
        <w:spacing w:after="0"/>
        <w:ind w:left="720" w:hanging="720"/>
      </w:pPr>
      <w:r w:rsidRPr="008B676E">
        <w:t>7.</w:t>
      </w:r>
      <w:r w:rsidRPr="008B676E">
        <w:tab/>
        <w:t xml:space="preserve">Dymedso. Frequencer. 2021; </w:t>
      </w:r>
      <w:r w:rsidRPr="00494065">
        <w:t>https://dymedso.com/frequencer/</w:t>
      </w:r>
      <w:r w:rsidRPr="008B676E">
        <w:t>. Accessed April 21, 2021.</w:t>
      </w:r>
    </w:p>
    <w:p w14:paraId="3F46CF89" w14:textId="2B35587C" w:rsidR="00494065" w:rsidRPr="008B676E" w:rsidRDefault="00494065" w:rsidP="002D5EAA">
      <w:pPr>
        <w:pStyle w:val="EndNoteBibliography"/>
        <w:framePr w:hSpace="0" w:wrap="auto" w:vAnchor="margin" w:hAnchor="text" w:yAlign="inline"/>
        <w:spacing w:after="0"/>
        <w:ind w:left="720" w:hanging="720"/>
      </w:pPr>
      <w:r w:rsidRPr="008B676E">
        <w:t>8.</w:t>
      </w:r>
      <w:r w:rsidRPr="008B676E">
        <w:tab/>
        <w:t xml:space="preserve">US Food and Drug Administration. Dymedso Frequencer V2 and Frequencer V2x airway clearance device. 2011; </w:t>
      </w:r>
      <w:r w:rsidRPr="00494065">
        <w:t>https://www.accessdata.fda.gov/cdrh_docs/pdf10/K103176.pdf</w:t>
      </w:r>
      <w:r w:rsidRPr="008B676E">
        <w:t>. Accessed April 22, 2021.</w:t>
      </w:r>
    </w:p>
    <w:p w14:paraId="1A949968" w14:textId="77777777" w:rsidR="00494065" w:rsidRPr="008B676E" w:rsidRDefault="00494065" w:rsidP="002D5EAA">
      <w:pPr>
        <w:pStyle w:val="EndNoteBibliography"/>
        <w:framePr w:hSpace="0" w:wrap="auto" w:vAnchor="margin" w:hAnchor="text" w:yAlign="inline"/>
        <w:spacing w:after="0"/>
        <w:ind w:left="720" w:hanging="720"/>
      </w:pPr>
      <w:r w:rsidRPr="008B676E">
        <w:t>9.</w:t>
      </w:r>
      <w:r w:rsidRPr="008B676E">
        <w:tab/>
        <w:t xml:space="preserve">Electromed Inc. The smart shoice for HFCWO therapy. 2021; </w:t>
      </w:r>
      <w:r w:rsidRPr="00494065">
        <w:t>https://smartvest.com/smart-choice-for-hfcwo-therapy/?gclid=EAIaIQobChMIz92Cqb-K7gIV2zizAB01yAGgEAAYASAAEgJoaPD_BwE</w:t>
      </w:r>
      <w:r w:rsidRPr="008B676E">
        <w:t>. Accessed April 21, 2021.</w:t>
      </w:r>
    </w:p>
    <w:p w14:paraId="51CDEE11" w14:textId="1471FF0A" w:rsidR="00494065" w:rsidRPr="008B676E" w:rsidRDefault="00494065" w:rsidP="002D5EAA">
      <w:pPr>
        <w:pStyle w:val="EndNoteBibliography"/>
        <w:framePr w:hSpace="0" w:wrap="auto" w:vAnchor="margin" w:hAnchor="text" w:yAlign="inline"/>
        <w:spacing w:after="0"/>
        <w:ind w:left="720" w:hanging="720"/>
      </w:pPr>
      <w:r w:rsidRPr="008B676E">
        <w:t>10.</w:t>
      </w:r>
      <w:r w:rsidRPr="008B676E">
        <w:tab/>
        <w:t xml:space="preserve">US Food and Drug Administration. Special 510(k) summary. 2013; </w:t>
      </w:r>
      <w:r w:rsidRPr="00494065">
        <w:t>https://www.accessdata.fda.gov/cdrh_docs/pdf13/K132794.pdf</w:t>
      </w:r>
      <w:r w:rsidRPr="008B676E">
        <w:t>. Accessed April 22, 2021.</w:t>
      </w:r>
    </w:p>
    <w:p w14:paraId="6432E05C" w14:textId="77777777" w:rsidR="00494065" w:rsidRPr="008B676E" w:rsidRDefault="00494065" w:rsidP="002D5EAA">
      <w:pPr>
        <w:pStyle w:val="EndNoteBibliography"/>
        <w:framePr w:hSpace="0" w:wrap="auto" w:vAnchor="margin" w:hAnchor="text" w:yAlign="inline"/>
        <w:spacing w:after="0"/>
        <w:ind w:left="720" w:hanging="720"/>
      </w:pPr>
      <w:r w:rsidRPr="008B676E">
        <w:t>11.</w:t>
      </w:r>
      <w:r w:rsidRPr="008B676E">
        <w:tab/>
        <w:t>Hill-Rom Inc. The Vest airway clearance system, model 105. 2021. Accessed April 21, 2021.</w:t>
      </w:r>
    </w:p>
    <w:p w14:paraId="0ED60FA1" w14:textId="04786BDD" w:rsidR="00494065" w:rsidRPr="008B676E" w:rsidRDefault="00494065" w:rsidP="002D5EAA">
      <w:pPr>
        <w:pStyle w:val="EndNoteBibliography"/>
        <w:framePr w:hSpace="0" w:wrap="auto" w:vAnchor="margin" w:hAnchor="text" w:yAlign="inline"/>
        <w:spacing w:after="0"/>
        <w:ind w:left="720" w:hanging="720"/>
      </w:pPr>
      <w:r w:rsidRPr="008B676E">
        <w:t>12.</w:t>
      </w:r>
      <w:r w:rsidRPr="008B676E">
        <w:tab/>
        <w:t xml:space="preserve">US Food and Drug Administration. 510(k) summary of safety and effetiveness. 2013; </w:t>
      </w:r>
      <w:r w:rsidRPr="00494065">
        <w:t>https://www.accessdata.fda.gov/cdrh_docs/pdf12/K122480.pdf</w:t>
      </w:r>
      <w:r w:rsidRPr="008B676E">
        <w:t>. Accessed April 22, 2021.</w:t>
      </w:r>
    </w:p>
    <w:p w14:paraId="45223DAC" w14:textId="77777777" w:rsidR="00494065" w:rsidRPr="008B676E" w:rsidRDefault="00494065" w:rsidP="002D5EAA">
      <w:pPr>
        <w:pStyle w:val="EndNoteBibliography"/>
        <w:framePr w:hSpace="0" w:wrap="auto" w:vAnchor="margin" w:hAnchor="text" w:yAlign="inline"/>
        <w:spacing w:after="0"/>
        <w:ind w:left="720" w:hanging="720"/>
      </w:pPr>
      <w:r w:rsidRPr="008B676E">
        <w:t>13.</w:t>
      </w:r>
      <w:r w:rsidRPr="008B676E">
        <w:tab/>
        <w:t xml:space="preserve">respInnovation. RespIn 11 bronical clearance system. 2021; </w:t>
      </w:r>
      <w:r w:rsidRPr="00494065">
        <w:t>http://respin11.com/index.php/respin/respin-11</w:t>
      </w:r>
      <w:r w:rsidRPr="008B676E">
        <w:t>. Accessed April 21, 2021.</w:t>
      </w:r>
    </w:p>
    <w:p w14:paraId="4DA4D370" w14:textId="04CD8C9F" w:rsidR="00494065" w:rsidRPr="008B676E" w:rsidRDefault="00494065" w:rsidP="002D5EAA">
      <w:pPr>
        <w:pStyle w:val="EndNoteBibliography"/>
        <w:framePr w:hSpace="0" w:wrap="auto" w:vAnchor="margin" w:hAnchor="text" w:yAlign="inline"/>
        <w:spacing w:after="0"/>
        <w:ind w:left="720" w:hanging="720"/>
      </w:pPr>
      <w:r w:rsidRPr="008B676E">
        <w:t>14.</w:t>
      </w:r>
      <w:r w:rsidRPr="008B676E">
        <w:tab/>
        <w:t xml:space="preserve">US Food and Drug Administration. Premarket notification 510(k). 2012; </w:t>
      </w:r>
      <w:r w:rsidRPr="00494065">
        <w:t>https://www.accessdata.fda.gov/cdrh_docs/pdf12/K121170.pdf</w:t>
      </w:r>
      <w:r w:rsidRPr="008B676E">
        <w:t>. Accessed April 22, 2021.</w:t>
      </w:r>
    </w:p>
    <w:p w14:paraId="4750555D" w14:textId="43FAD9BA" w:rsidR="00494065" w:rsidRPr="008B676E" w:rsidRDefault="00494065" w:rsidP="002D5EAA">
      <w:pPr>
        <w:pStyle w:val="EndNoteBibliography"/>
        <w:framePr w:hSpace="0" w:wrap="auto" w:vAnchor="margin" w:hAnchor="text" w:yAlign="inline"/>
        <w:spacing w:after="0"/>
        <w:ind w:left="720" w:hanging="720"/>
      </w:pPr>
      <w:r w:rsidRPr="008B676E">
        <w:t>15.</w:t>
      </w:r>
      <w:r w:rsidRPr="008B676E">
        <w:tab/>
        <w:t>Philips, RespirTech. InCourage system airwa</w:t>
      </w:r>
      <w:r w:rsidR="00300765">
        <w:t>y</w:t>
      </w:r>
      <w:r w:rsidRPr="008B676E">
        <w:t xml:space="preserve"> clearance device. 2021; </w:t>
      </w:r>
      <w:r w:rsidRPr="00494065">
        <w:t>https://www.usa.philips.com/healthcare/product/HC500055/incourage-system-airway-clearance-device</w:t>
      </w:r>
      <w:r w:rsidRPr="008B676E">
        <w:t>. Accessed April 22, 2021.</w:t>
      </w:r>
    </w:p>
    <w:p w14:paraId="6FE7BD47" w14:textId="5D4C2B05" w:rsidR="00494065" w:rsidRPr="008B676E" w:rsidRDefault="00494065" w:rsidP="002D5EAA">
      <w:pPr>
        <w:pStyle w:val="EndNoteBibliography"/>
        <w:framePr w:hSpace="0" w:wrap="auto" w:vAnchor="margin" w:hAnchor="text" w:yAlign="inline"/>
        <w:spacing w:after="0"/>
        <w:ind w:left="720" w:hanging="720"/>
      </w:pPr>
      <w:r w:rsidRPr="008B676E">
        <w:t>16.</w:t>
      </w:r>
      <w:r w:rsidRPr="008B676E">
        <w:tab/>
        <w:t xml:space="preserve">US Food and Drug Administration. 510(k) summary of safety and effectiveness. 2005; </w:t>
      </w:r>
      <w:r w:rsidRPr="00494065">
        <w:t>https://www.accessdata.fda.gov/cdrh_docs/pdf5/K051383.pdf</w:t>
      </w:r>
      <w:r w:rsidRPr="008B676E">
        <w:t>. Accessed April 22, 2021.</w:t>
      </w:r>
    </w:p>
    <w:p w14:paraId="28554D99" w14:textId="77777777" w:rsidR="00494065" w:rsidRPr="008B676E" w:rsidRDefault="00494065" w:rsidP="002D5EAA">
      <w:pPr>
        <w:pStyle w:val="EndNoteBibliography"/>
        <w:framePr w:hSpace="0" w:wrap="auto" w:vAnchor="margin" w:hAnchor="text" w:yAlign="inline"/>
        <w:spacing w:after="0"/>
        <w:ind w:left="720" w:hanging="720"/>
      </w:pPr>
      <w:r w:rsidRPr="008B676E">
        <w:t>17.</w:t>
      </w:r>
      <w:r w:rsidRPr="008B676E">
        <w:tab/>
        <w:t xml:space="preserve">International Biophysics Corportation. AffloVest mobile mechanial HFCWO vest therapy. 2020; </w:t>
      </w:r>
      <w:r w:rsidRPr="00494065">
        <w:t>https://www.afflovest.com/</w:t>
      </w:r>
      <w:r w:rsidRPr="008B676E">
        <w:t>. Accessed Aprik 22, 2021.</w:t>
      </w:r>
    </w:p>
    <w:p w14:paraId="6B8EA359" w14:textId="75E6371B" w:rsidR="00494065" w:rsidRPr="008B676E" w:rsidRDefault="00494065" w:rsidP="002D5EAA">
      <w:pPr>
        <w:pStyle w:val="EndNoteBibliography"/>
        <w:framePr w:hSpace="0" w:wrap="auto" w:vAnchor="margin" w:hAnchor="text" w:yAlign="inline"/>
        <w:spacing w:after="0"/>
        <w:ind w:left="720" w:hanging="720"/>
      </w:pPr>
      <w:r w:rsidRPr="008B676E">
        <w:t>18.</w:t>
      </w:r>
      <w:r w:rsidRPr="008B676E">
        <w:tab/>
        <w:t xml:space="preserve">Lee AL, Burge AT, Holland AE. Airway clearance techniques for bronchiectasis. </w:t>
      </w:r>
      <w:r w:rsidRPr="008B676E">
        <w:rPr>
          <w:i/>
        </w:rPr>
        <w:t xml:space="preserve">Cochrane </w:t>
      </w:r>
      <w:r w:rsidR="00CD2D56">
        <w:rPr>
          <w:i/>
        </w:rPr>
        <w:t>D</w:t>
      </w:r>
      <w:r w:rsidRPr="008B676E">
        <w:rPr>
          <w:i/>
        </w:rPr>
        <w:t xml:space="preserve">atabase </w:t>
      </w:r>
      <w:r w:rsidR="00CD2D56">
        <w:rPr>
          <w:i/>
        </w:rPr>
        <w:t>S</w:t>
      </w:r>
      <w:r w:rsidRPr="008B676E">
        <w:rPr>
          <w:i/>
        </w:rPr>
        <w:t xml:space="preserve">yst </w:t>
      </w:r>
      <w:r w:rsidR="00CD2D56">
        <w:rPr>
          <w:i/>
        </w:rPr>
        <w:t>R</w:t>
      </w:r>
      <w:r w:rsidRPr="008B676E">
        <w:rPr>
          <w:i/>
        </w:rPr>
        <w:t>ev</w:t>
      </w:r>
      <w:r w:rsidR="00CD2D56">
        <w:rPr>
          <w:i/>
        </w:rPr>
        <w:t>s</w:t>
      </w:r>
      <w:r w:rsidRPr="008B676E">
        <w:rPr>
          <w:i/>
        </w:rPr>
        <w:t xml:space="preserve">. </w:t>
      </w:r>
      <w:r w:rsidRPr="008B676E">
        <w:t xml:space="preserve">2015(11):CD008351. doi: </w:t>
      </w:r>
      <w:r w:rsidRPr="00494065">
        <w:t>10.1002/14651858.CD008351.pub3</w:t>
      </w:r>
      <w:r w:rsidRPr="008B676E">
        <w:t>.</w:t>
      </w:r>
    </w:p>
    <w:p w14:paraId="5A1D7315" w14:textId="0214BEC8" w:rsidR="00494065" w:rsidRPr="008B676E" w:rsidRDefault="00494065" w:rsidP="002D5EAA">
      <w:pPr>
        <w:pStyle w:val="EndNoteBibliography"/>
        <w:framePr w:hSpace="0" w:wrap="auto" w:vAnchor="margin" w:hAnchor="text" w:yAlign="inline"/>
        <w:spacing w:after="0"/>
        <w:ind w:left="720" w:hanging="720"/>
      </w:pPr>
      <w:r w:rsidRPr="008B676E">
        <w:t>19.</w:t>
      </w:r>
      <w:r w:rsidRPr="008B676E">
        <w:tab/>
        <w:t xml:space="preserve">Nicolini A, Grecchi B, Banfi P. Effectiveness of two high frequency chest wall oscillation techniques in patients with bronchiectasis: a randomized controlled preliminary study. </w:t>
      </w:r>
      <w:r w:rsidRPr="008B676E">
        <w:rPr>
          <w:i/>
        </w:rPr>
        <w:t xml:space="preserve">Panminerva </w:t>
      </w:r>
      <w:r w:rsidR="0073059D">
        <w:rPr>
          <w:i/>
        </w:rPr>
        <w:t>M</w:t>
      </w:r>
      <w:r w:rsidRPr="008B676E">
        <w:rPr>
          <w:i/>
        </w:rPr>
        <w:t xml:space="preserve">ed. </w:t>
      </w:r>
      <w:r w:rsidRPr="008B676E">
        <w:t xml:space="preserve">2020. doi: </w:t>
      </w:r>
      <w:r w:rsidRPr="00494065">
        <w:t>10.23736/S0031-0808.20.03735-0</w:t>
      </w:r>
      <w:r w:rsidRPr="008B676E">
        <w:t>.</w:t>
      </w:r>
    </w:p>
    <w:p w14:paraId="36D4E03F" w14:textId="70E7A218" w:rsidR="00494065" w:rsidRPr="008B676E" w:rsidRDefault="00494065" w:rsidP="002D5EAA">
      <w:pPr>
        <w:pStyle w:val="EndNoteBibliography"/>
        <w:framePr w:hSpace="0" w:wrap="auto" w:vAnchor="margin" w:hAnchor="text" w:yAlign="inline"/>
        <w:spacing w:after="0"/>
        <w:ind w:left="720" w:hanging="720"/>
      </w:pPr>
      <w:r w:rsidRPr="008B676E">
        <w:t>20.</w:t>
      </w:r>
      <w:r w:rsidRPr="008B676E">
        <w:tab/>
        <w:t xml:space="preserve">Nicolini A, Grecchi B, Ferrari-Bravo M, Barlascini C. Safety and effectiveness of the high-frequency chest wall oscillation vs intrapulmonary percussive ventilation in patients with severe COPD. </w:t>
      </w:r>
      <w:r w:rsidRPr="008B676E">
        <w:rPr>
          <w:i/>
        </w:rPr>
        <w:t xml:space="preserve">International journal of chronic obstructive pulmonary disease. </w:t>
      </w:r>
      <w:r w:rsidRPr="008B676E">
        <w:t xml:space="preserve">2018;13:617-625. doi: </w:t>
      </w:r>
      <w:r w:rsidRPr="00494065">
        <w:t>10.2147/COPD.S145440</w:t>
      </w:r>
      <w:r w:rsidRPr="008B676E">
        <w:t>.</w:t>
      </w:r>
    </w:p>
    <w:p w14:paraId="1FAB8EC8" w14:textId="77777777" w:rsidR="00494065" w:rsidRPr="008B676E" w:rsidRDefault="00494065" w:rsidP="002D5EAA">
      <w:pPr>
        <w:pStyle w:val="EndNoteBibliography"/>
        <w:framePr w:hSpace="0" w:wrap="auto" w:vAnchor="margin" w:hAnchor="text" w:yAlign="inline"/>
        <w:spacing w:after="0"/>
        <w:ind w:left="720" w:hanging="720"/>
      </w:pPr>
      <w:r w:rsidRPr="008B676E">
        <w:lastRenderedPageBreak/>
        <w:t>21.</w:t>
      </w:r>
      <w:r w:rsidRPr="008B676E">
        <w:tab/>
        <w:t xml:space="preserve">Lange DJ, Lechtzin N, Davey C, et al. High-frequency chest wall oscillation in ALS: an exploratory randomized, controlled trial. </w:t>
      </w:r>
      <w:r w:rsidRPr="008B676E">
        <w:rPr>
          <w:i/>
        </w:rPr>
        <w:t xml:space="preserve">Neurology. </w:t>
      </w:r>
      <w:r w:rsidRPr="008B676E">
        <w:t>2006;67(6):991-997.</w:t>
      </w:r>
    </w:p>
    <w:p w14:paraId="1391437C" w14:textId="77777777" w:rsidR="00494065" w:rsidRPr="008B676E" w:rsidRDefault="00494065" w:rsidP="002D5EAA">
      <w:pPr>
        <w:pStyle w:val="EndNoteBibliography"/>
        <w:framePr w:hSpace="0" w:wrap="auto" w:vAnchor="margin" w:hAnchor="text" w:yAlign="inline"/>
        <w:spacing w:after="0"/>
        <w:ind w:left="720" w:hanging="720"/>
      </w:pPr>
      <w:r w:rsidRPr="008B676E">
        <w:t>22.</w:t>
      </w:r>
      <w:r w:rsidRPr="008B676E">
        <w:tab/>
        <w:t xml:space="preserve">Clinical Trials Registry. Clinical effectiveness of high frequency chest wall oscillation (HFCWO) in a bronchiectasis population. 2021; </w:t>
      </w:r>
      <w:r w:rsidRPr="00494065">
        <w:t>https://clinicaltrials.gov/ct2/show/NCT04271969</w:t>
      </w:r>
      <w:r w:rsidRPr="008B676E">
        <w:t>. Accessed April 23, 2021.</w:t>
      </w:r>
    </w:p>
    <w:p w14:paraId="46D6A1B2" w14:textId="33D8130A" w:rsidR="00494065" w:rsidRPr="008B676E" w:rsidRDefault="00494065" w:rsidP="002D5EAA">
      <w:pPr>
        <w:pStyle w:val="EndNoteBibliography"/>
        <w:framePr w:hSpace="0" w:wrap="auto" w:vAnchor="margin" w:hAnchor="text" w:yAlign="inline"/>
        <w:spacing w:after="0"/>
        <w:ind w:left="720" w:hanging="720"/>
      </w:pPr>
      <w:r w:rsidRPr="008B676E">
        <w:t>23.</w:t>
      </w:r>
      <w:r w:rsidRPr="008B676E">
        <w:tab/>
        <w:t xml:space="preserve">Nicolini A, Cardini F, Landucci N, Lanata S, Ferrari-Bravo M, Barlascini C. Effectiveness of treatment with high-frequency chest wall oscillation in patients with bronchiectasis. </w:t>
      </w:r>
      <w:r w:rsidRPr="008B676E">
        <w:rPr>
          <w:i/>
        </w:rPr>
        <w:t xml:space="preserve">BMC </w:t>
      </w:r>
      <w:r w:rsidR="0073059D">
        <w:rPr>
          <w:i/>
        </w:rPr>
        <w:t>P</w:t>
      </w:r>
      <w:r w:rsidRPr="008B676E">
        <w:rPr>
          <w:i/>
        </w:rPr>
        <w:t xml:space="preserve">ulm </w:t>
      </w:r>
      <w:r w:rsidR="0073059D">
        <w:rPr>
          <w:i/>
        </w:rPr>
        <w:t>M</w:t>
      </w:r>
      <w:r w:rsidRPr="008B676E">
        <w:rPr>
          <w:i/>
        </w:rPr>
        <w:t xml:space="preserve">ed. </w:t>
      </w:r>
      <w:r w:rsidRPr="008B676E">
        <w:t xml:space="preserve">2013;13:21. doi: </w:t>
      </w:r>
      <w:r w:rsidRPr="00494065">
        <w:t>10.1186/1471-2466-13-21</w:t>
      </w:r>
      <w:r w:rsidRPr="008B676E">
        <w:t>.</w:t>
      </w:r>
    </w:p>
    <w:p w14:paraId="3306059A" w14:textId="77777777" w:rsidR="00494065" w:rsidRPr="008B676E" w:rsidRDefault="00494065" w:rsidP="002D5EAA">
      <w:pPr>
        <w:pStyle w:val="EndNoteBibliography"/>
        <w:framePr w:hSpace="0" w:wrap="auto" w:vAnchor="margin" w:hAnchor="text" w:yAlign="inline"/>
        <w:spacing w:after="0"/>
        <w:ind w:left="720" w:hanging="720"/>
      </w:pPr>
      <w:r w:rsidRPr="008B676E">
        <w:t>24.</w:t>
      </w:r>
      <w:r w:rsidRPr="008B676E">
        <w:tab/>
        <w:t xml:space="preserve">McIlwaine MP, Alarie N, Davidson GF, et al. Long-term multicentre randomised controlled study of high frequency chest wall oscillation versus positive expiratory pressure mask in cystic fibrosis. </w:t>
      </w:r>
      <w:r w:rsidRPr="008B676E">
        <w:rPr>
          <w:i/>
        </w:rPr>
        <w:t xml:space="preserve">Thorax. </w:t>
      </w:r>
      <w:r w:rsidRPr="008B676E">
        <w:t>2013;68(8):746-751. doi: 10.1136/thoraxjnl-2012-202915.</w:t>
      </w:r>
    </w:p>
    <w:p w14:paraId="0911B9EB" w14:textId="77777777" w:rsidR="00494065" w:rsidRPr="008B676E" w:rsidRDefault="00494065" w:rsidP="002D5EAA">
      <w:pPr>
        <w:pStyle w:val="EndNoteBibliography"/>
        <w:framePr w:hSpace="0" w:wrap="auto" w:vAnchor="margin" w:hAnchor="text" w:yAlign="inline"/>
        <w:spacing w:after="0"/>
        <w:ind w:left="720" w:hanging="720"/>
      </w:pPr>
      <w:r w:rsidRPr="008B676E">
        <w:t>25.</w:t>
      </w:r>
      <w:r w:rsidRPr="008B676E">
        <w:tab/>
        <w:t xml:space="preserve">Clinical Trials Registry. A pilot study to evaluate the use of the Vest system for treatment of bronchiectasis patients in the home setting. 2020; </w:t>
      </w:r>
      <w:r w:rsidRPr="00494065">
        <w:t>https://clinicaltrials.gov/ct2/show/NCT04017312</w:t>
      </w:r>
      <w:r w:rsidRPr="008B676E">
        <w:t>. Accessed April 23, 2021.</w:t>
      </w:r>
    </w:p>
    <w:p w14:paraId="08161F1A" w14:textId="77777777" w:rsidR="00494065" w:rsidRPr="008B676E" w:rsidRDefault="00494065" w:rsidP="002D5EAA">
      <w:pPr>
        <w:pStyle w:val="EndNoteBibliography"/>
        <w:framePr w:hSpace="0" w:wrap="auto" w:vAnchor="margin" w:hAnchor="text" w:yAlign="inline"/>
        <w:spacing w:after="0"/>
        <w:ind w:left="720" w:hanging="720"/>
      </w:pPr>
      <w:r w:rsidRPr="008B676E">
        <w:t>26.</w:t>
      </w:r>
      <w:r w:rsidRPr="008B676E">
        <w:tab/>
        <w:t xml:space="preserve">Washington Apple Health (Medicaid). Respiratory care billing guide. 2019; </w:t>
      </w:r>
      <w:r w:rsidRPr="00494065">
        <w:t>https://www.hca.wa.gov/assets/billers-and-providers/Respiratory-care-bi-20190101.pdf</w:t>
      </w:r>
      <w:r w:rsidRPr="008B676E">
        <w:t>.</w:t>
      </w:r>
    </w:p>
    <w:p w14:paraId="53B3DACC" w14:textId="77777777" w:rsidR="00494065" w:rsidRPr="008B676E" w:rsidRDefault="00494065" w:rsidP="002D5EAA">
      <w:pPr>
        <w:pStyle w:val="EndNoteBibliography"/>
        <w:framePr w:hSpace="0" w:wrap="auto" w:vAnchor="margin" w:hAnchor="text" w:yAlign="inline"/>
        <w:spacing w:after="0"/>
        <w:ind w:left="720" w:hanging="720"/>
      </w:pPr>
      <w:r w:rsidRPr="008B676E">
        <w:t>27.</w:t>
      </w:r>
      <w:r w:rsidRPr="008B676E">
        <w:tab/>
        <w:t xml:space="preserve">Washington Health Care Authority. Provider billing guides and fee schedules. 2021; </w:t>
      </w:r>
      <w:r w:rsidRPr="00494065">
        <w:t>https://www.hca.wa.gov/billers-providers-partners/prior-authorization-claims-and-billing/provider-billing-guides-and-fee-schedules</w:t>
      </w:r>
      <w:r w:rsidRPr="008B676E">
        <w:t>. Accessed April 30, 2021.</w:t>
      </w:r>
    </w:p>
    <w:p w14:paraId="35DDA059" w14:textId="035F3D54" w:rsidR="00494065" w:rsidRPr="008B676E" w:rsidRDefault="00494065" w:rsidP="002D5EAA">
      <w:pPr>
        <w:pStyle w:val="EndNoteBibliography"/>
        <w:framePr w:hSpace="0" w:wrap="auto" w:vAnchor="margin" w:hAnchor="text" w:yAlign="inline"/>
        <w:spacing w:after="0"/>
        <w:ind w:left="720" w:hanging="720"/>
      </w:pPr>
      <w:r w:rsidRPr="008B676E">
        <w:t>28.</w:t>
      </w:r>
      <w:r w:rsidRPr="008B676E">
        <w:tab/>
        <w:t xml:space="preserve">Centers for Medicare </w:t>
      </w:r>
      <w:r w:rsidR="0073059D">
        <w:t>&amp;</w:t>
      </w:r>
      <w:r w:rsidRPr="008B676E">
        <w:t xml:space="preserve"> Medicaid Services. Local coverage determination: high frequency chest wall oscillation devices (L33785). 2020; </w:t>
      </w:r>
      <w:r w:rsidRPr="00494065">
        <w:t>https://www.cms.gov/medicare-coverage-database/details/lcd-details.aspx?LCDId=33785</w:t>
      </w:r>
      <w:r w:rsidRPr="008B676E">
        <w:t>. Accessed Arpil 22, 2021.</w:t>
      </w:r>
    </w:p>
    <w:p w14:paraId="125D40D0" w14:textId="77777777" w:rsidR="00494065" w:rsidRPr="008B676E" w:rsidRDefault="00494065" w:rsidP="002D5EAA">
      <w:pPr>
        <w:pStyle w:val="EndNoteBibliography"/>
        <w:framePr w:hSpace="0" w:wrap="auto" w:vAnchor="margin" w:hAnchor="text" w:yAlign="inline"/>
        <w:spacing w:after="0"/>
        <w:ind w:left="720" w:hanging="720"/>
      </w:pPr>
      <w:r w:rsidRPr="008B676E">
        <w:t>29.</w:t>
      </w:r>
      <w:r w:rsidRPr="008B676E">
        <w:tab/>
        <w:t xml:space="preserve">Aetna. Chest physiotheray and airway clearance devices. 2021; </w:t>
      </w:r>
      <w:r w:rsidRPr="00494065">
        <w:t>http://www.aetna.com/cpb/medical/data/1_99/0067.html</w:t>
      </w:r>
      <w:r w:rsidRPr="008B676E">
        <w:t>. Accessed April 22, 2021.</w:t>
      </w:r>
    </w:p>
    <w:p w14:paraId="1E8C342C" w14:textId="77777777" w:rsidR="00494065" w:rsidRPr="008B676E" w:rsidRDefault="00494065" w:rsidP="002D5EAA">
      <w:pPr>
        <w:pStyle w:val="EndNoteBibliography"/>
        <w:framePr w:hSpace="0" w:wrap="auto" w:vAnchor="margin" w:hAnchor="text" w:yAlign="inline"/>
        <w:spacing w:after="0"/>
        <w:ind w:left="720" w:hanging="720"/>
      </w:pPr>
      <w:r w:rsidRPr="008B676E">
        <w:t>30.</w:t>
      </w:r>
      <w:r w:rsidRPr="008B676E">
        <w:tab/>
        <w:t xml:space="preserve">Cigna. Airway clearance devices in the ambulatory setting. 2021; </w:t>
      </w:r>
      <w:r w:rsidRPr="00494065">
        <w:t>https://chk.static.cigna.com/assets/chcp/pdf/coveragePolicies/medical/mm_Future/mm_0069_coveragepositioncriteria_airway_clearance_devices.pdf</w:t>
      </w:r>
      <w:r w:rsidRPr="008B676E">
        <w:t>. Accessed April 22, 2021.</w:t>
      </w:r>
    </w:p>
    <w:p w14:paraId="03BA2FD7" w14:textId="77777777" w:rsidR="00494065" w:rsidRPr="008B676E" w:rsidRDefault="00494065" w:rsidP="002D5EAA">
      <w:pPr>
        <w:pStyle w:val="EndNoteBibliography"/>
        <w:framePr w:hSpace="0" w:wrap="auto" w:vAnchor="margin" w:hAnchor="text" w:yAlign="inline"/>
        <w:spacing w:after="0"/>
        <w:ind w:left="720" w:hanging="720"/>
      </w:pPr>
      <w:r w:rsidRPr="008B676E">
        <w:t>31.</w:t>
      </w:r>
      <w:r w:rsidRPr="008B676E">
        <w:tab/>
        <w:t xml:space="preserve">Moda. High frequency chest wall oscillation devices (HFCWO). 2021; </w:t>
      </w:r>
      <w:r w:rsidRPr="00494065">
        <w:t>https://www.modahealth.com/pdfs/med_criteria/HighFrequencyChestWallOscillationDevices.pdf</w:t>
      </w:r>
      <w:r w:rsidRPr="008B676E">
        <w:t>. Accessed April 22, 2021.</w:t>
      </w:r>
    </w:p>
    <w:p w14:paraId="18C9F2E5" w14:textId="77777777" w:rsidR="00494065" w:rsidRPr="008B676E" w:rsidRDefault="00494065" w:rsidP="002D5EAA">
      <w:pPr>
        <w:pStyle w:val="EndNoteBibliography"/>
        <w:framePr w:hSpace="0" w:wrap="auto" w:vAnchor="margin" w:hAnchor="text" w:yAlign="inline"/>
        <w:spacing w:after="0"/>
        <w:ind w:left="720" w:hanging="720"/>
      </w:pPr>
      <w:r w:rsidRPr="008B676E">
        <w:t>32.</w:t>
      </w:r>
      <w:r w:rsidRPr="008B676E">
        <w:tab/>
        <w:t xml:space="preserve">Regence BlueCross BlueShield. Oscillatory devices for the treatment of cystic fibrosis and other respiratory conditions. 2020; </w:t>
      </w:r>
      <w:r w:rsidRPr="00494065">
        <w:t>http://blue.regence.com/trgmedpol/dme/dme45.pdf</w:t>
      </w:r>
      <w:r w:rsidRPr="008B676E">
        <w:t>. Accessed April 22, 2021.</w:t>
      </w:r>
    </w:p>
    <w:p w14:paraId="1677FFFA" w14:textId="77777777" w:rsidR="00494065" w:rsidRPr="008B676E" w:rsidRDefault="00494065" w:rsidP="002D5EAA">
      <w:pPr>
        <w:pStyle w:val="EndNoteBibliography"/>
        <w:framePr w:hSpace="0" w:wrap="auto" w:vAnchor="margin" w:hAnchor="text" w:yAlign="inline"/>
        <w:spacing w:after="0"/>
        <w:ind w:left="720" w:hanging="720"/>
      </w:pPr>
      <w:r w:rsidRPr="008B676E">
        <w:t>33.</w:t>
      </w:r>
      <w:r w:rsidRPr="008B676E">
        <w:tab/>
        <w:t xml:space="preserve">National Institute for Health and Care Excellence. Cystic fibrosis: diagnosis and management NG78. 2017; </w:t>
      </w:r>
      <w:r w:rsidRPr="00494065">
        <w:t>https://www.nice.org.uk/guidance/ng78/chapter/Recommendations#pulmonary-monitoring-assessment-and-management</w:t>
      </w:r>
      <w:r w:rsidRPr="008B676E">
        <w:t>. Accessed April 30, 2021.</w:t>
      </w:r>
    </w:p>
    <w:p w14:paraId="14A3E9EC" w14:textId="77777777" w:rsidR="00494065" w:rsidRPr="008B676E" w:rsidRDefault="00494065" w:rsidP="002D5EAA">
      <w:pPr>
        <w:pStyle w:val="EndNoteBibliography"/>
        <w:framePr w:hSpace="0" w:wrap="auto" w:vAnchor="margin" w:hAnchor="text" w:yAlign="inline"/>
        <w:spacing w:after="0"/>
        <w:ind w:left="720" w:hanging="720"/>
      </w:pPr>
      <w:r w:rsidRPr="008B676E">
        <w:t>34.</w:t>
      </w:r>
      <w:r w:rsidRPr="008B676E">
        <w:tab/>
        <w:t xml:space="preserve">Polverino E, Goeminne PC, McDonnell MJ, et al. European Respiratory Society guidelines for the management of adult bronchiectasis. </w:t>
      </w:r>
      <w:r w:rsidRPr="008B676E">
        <w:rPr>
          <w:i/>
        </w:rPr>
        <w:t xml:space="preserve">Eur Respir J. </w:t>
      </w:r>
      <w:r w:rsidRPr="008B676E">
        <w:t>2017;50(3). doi: 10.1183/13993003.00629-2017.</w:t>
      </w:r>
    </w:p>
    <w:p w14:paraId="6F51BCE0" w14:textId="77777777" w:rsidR="00494065" w:rsidRPr="008B676E" w:rsidRDefault="00494065" w:rsidP="002D5EAA">
      <w:pPr>
        <w:pStyle w:val="EndNoteBibliography"/>
        <w:framePr w:hSpace="0" w:wrap="auto" w:vAnchor="margin" w:hAnchor="text" w:yAlign="inline"/>
        <w:spacing w:after="0"/>
        <w:ind w:left="720" w:hanging="720"/>
      </w:pPr>
      <w:r w:rsidRPr="008B676E">
        <w:t>35.</w:t>
      </w:r>
      <w:r w:rsidRPr="008B676E">
        <w:tab/>
        <w:t xml:space="preserve">Chatwin M, Toussaint M, Goncalves MR, et al. Airway clearance techniques in neuromuscular disorders: a state of the art review. </w:t>
      </w:r>
      <w:r w:rsidRPr="008B676E">
        <w:rPr>
          <w:i/>
        </w:rPr>
        <w:t xml:space="preserve">Respir Med. </w:t>
      </w:r>
      <w:r w:rsidRPr="008B676E">
        <w:t>2018;136:98-110. doi: 10.1016/j.rmed.2018.01.012.</w:t>
      </w:r>
    </w:p>
    <w:p w14:paraId="2DC7DBC8" w14:textId="77777777" w:rsidR="00494065" w:rsidRPr="008B676E" w:rsidRDefault="00494065" w:rsidP="002D5EAA">
      <w:pPr>
        <w:pStyle w:val="EndNoteBibliography"/>
        <w:framePr w:hSpace="0" w:wrap="auto" w:vAnchor="margin" w:hAnchor="text" w:yAlign="inline"/>
        <w:spacing w:after="0"/>
        <w:ind w:left="720" w:hanging="720"/>
      </w:pPr>
      <w:r w:rsidRPr="008B676E">
        <w:t>36.</w:t>
      </w:r>
      <w:r w:rsidRPr="008B676E">
        <w:tab/>
        <w:t xml:space="preserve">Hill AT, Barker AF, Bolser DC, et al. Treating cough due to non-CF and CF bronchiectasis with nonpharmacological airway clearance: CHEST expert panel report. </w:t>
      </w:r>
      <w:r w:rsidRPr="008B676E">
        <w:rPr>
          <w:i/>
        </w:rPr>
        <w:t xml:space="preserve">Chest. </w:t>
      </w:r>
      <w:r w:rsidRPr="008B676E">
        <w:t>2018;153(4):986-993. doi: 10.1016/j.chest.2018.01.014.</w:t>
      </w:r>
    </w:p>
    <w:p w14:paraId="67474B9D" w14:textId="41482ADB" w:rsidR="00494065" w:rsidRPr="008B676E" w:rsidRDefault="00494065" w:rsidP="002D5EAA">
      <w:pPr>
        <w:pStyle w:val="EndNoteBibliography"/>
        <w:framePr w:hSpace="0" w:wrap="auto" w:vAnchor="margin" w:hAnchor="text" w:yAlign="inline"/>
        <w:spacing w:after="0"/>
        <w:ind w:left="720" w:hanging="720"/>
      </w:pPr>
      <w:r w:rsidRPr="008B676E">
        <w:t>37.</w:t>
      </w:r>
      <w:r w:rsidRPr="008B676E">
        <w:tab/>
        <w:t xml:space="preserve">Strickland SL, Rubin BK, Drescher GS, et al. AARC clinical practice guideline: effectiveness of nonpharmacologic airway clearance therapies in hospitalized patients. </w:t>
      </w:r>
      <w:r w:rsidRPr="008B676E">
        <w:rPr>
          <w:i/>
        </w:rPr>
        <w:t xml:space="preserve">Respir </w:t>
      </w:r>
      <w:r w:rsidR="0073059D">
        <w:rPr>
          <w:i/>
        </w:rPr>
        <w:t>C</w:t>
      </w:r>
      <w:r w:rsidRPr="008B676E">
        <w:rPr>
          <w:i/>
        </w:rPr>
        <w:t xml:space="preserve">are. </w:t>
      </w:r>
      <w:r w:rsidRPr="008B676E">
        <w:t xml:space="preserve">2013;58(12):2187-2193. doi: </w:t>
      </w:r>
      <w:r w:rsidRPr="00494065">
        <w:t>10.4187/respcare.02925</w:t>
      </w:r>
      <w:r w:rsidRPr="008B676E">
        <w:t>.</w:t>
      </w:r>
    </w:p>
    <w:p w14:paraId="352CBC93" w14:textId="77777777" w:rsidR="00494065" w:rsidRPr="008B676E" w:rsidRDefault="00494065" w:rsidP="002D5EAA">
      <w:pPr>
        <w:pStyle w:val="EndNoteBibliography"/>
        <w:framePr w:hSpace="0" w:wrap="auto" w:vAnchor="margin" w:hAnchor="text" w:yAlign="inline"/>
        <w:spacing w:after="0"/>
        <w:ind w:left="720" w:hanging="720"/>
      </w:pPr>
      <w:r w:rsidRPr="008B676E">
        <w:lastRenderedPageBreak/>
        <w:t>38.</w:t>
      </w:r>
      <w:r w:rsidRPr="008B676E">
        <w:tab/>
        <w:t xml:space="preserve">Qaseem A, Wilt T, Weinberger S, et al. Diagnosis and management of stable chronic obstructive pulmonary disease: a clinical practice guideline update from the American College of Physicians, American College of Chest Physicians, American Thoracic Society, and European Respiratory Society. </w:t>
      </w:r>
      <w:r w:rsidRPr="008B676E">
        <w:rPr>
          <w:i/>
        </w:rPr>
        <w:t xml:space="preserve">Ann Intern Med. </w:t>
      </w:r>
      <w:r w:rsidRPr="008B676E">
        <w:t>2011;155:179-191. doi: 10.7326/0003-4819-155-3-201108020-00008.</w:t>
      </w:r>
    </w:p>
    <w:p w14:paraId="104B1485" w14:textId="77777777" w:rsidR="00494065" w:rsidRPr="008B676E" w:rsidRDefault="00494065" w:rsidP="002D5EAA">
      <w:pPr>
        <w:pStyle w:val="EndNoteBibliography"/>
        <w:framePr w:hSpace="0" w:wrap="auto" w:vAnchor="margin" w:hAnchor="text" w:yAlign="inline"/>
        <w:spacing w:after="0"/>
        <w:ind w:left="720" w:hanging="720"/>
      </w:pPr>
      <w:r w:rsidRPr="008B676E">
        <w:t>39.</w:t>
      </w:r>
      <w:r w:rsidRPr="008B676E">
        <w:tab/>
        <w:t xml:space="preserve">American Lung Association. Treating COPD. 2021; </w:t>
      </w:r>
      <w:r w:rsidRPr="00494065">
        <w:t>https://www.lung.org/lung-health-diseases/lung-disease-lookup/copd/treating</w:t>
      </w:r>
      <w:r w:rsidRPr="008B676E">
        <w:t>. Accessed April 30, 2021.</w:t>
      </w:r>
    </w:p>
    <w:p w14:paraId="2B5EDFE0" w14:textId="77777777" w:rsidR="00494065" w:rsidRPr="008B676E" w:rsidRDefault="00494065" w:rsidP="002D5EAA">
      <w:pPr>
        <w:pStyle w:val="EndNoteBibliography"/>
        <w:framePr w:hSpace="0" w:wrap="auto" w:vAnchor="margin" w:hAnchor="text" w:yAlign="inline"/>
        <w:spacing w:after="0"/>
        <w:ind w:left="720" w:hanging="720"/>
      </w:pPr>
      <w:r w:rsidRPr="008B676E">
        <w:t>40.</w:t>
      </w:r>
      <w:r w:rsidRPr="008B676E">
        <w:tab/>
        <w:t xml:space="preserve">American Lung Association. Treating and managing bronchiectasis. 2021; </w:t>
      </w:r>
      <w:r w:rsidRPr="00494065">
        <w:t>https://www.lung.org/lung-health-diseases/lung-disease-lookup/bronchiectasis/treating-and-managing</w:t>
      </w:r>
      <w:r w:rsidRPr="008B676E">
        <w:t>. Accessed April 30, 2021.</w:t>
      </w:r>
    </w:p>
    <w:p w14:paraId="71BF58A2" w14:textId="77777777" w:rsidR="00494065" w:rsidRPr="008B676E" w:rsidRDefault="00494065" w:rsidP="002D5EAA">
      <w:pPr>
        <w:pStyle w:val="EndNoteBibliography"/>
        <w:framePr w:hSpace="0" w:wrap="auto" w:vAnchor="margin" w:hAnchor="text" w:yAlign="inline"/>
        <w:spacing w:after="0"/>
        <w:ind w:left="720" w:hanging="720"/>
      </w:pPr>
      <w:r w:rsidRPr="008B676E">
        <w:t>41.</w:t>
      </w:r>
      <w:r w:rsidRPr="008B676E">
        <w:tab/>
        <w:t xml:space="preserve">American Lung Association. Treating and managing cystic fibrosis. 2021; </w:t>
      </w:r>
      <w:r w:rsidRPr="00494065">
        <w:t>https://www.lung.org/lung-health-diseases/lung-disease-lookup/cystic-fibrosis/treating-and-managing</w:t>
      </w:r>
      <w:r w:rsidRPr="008B676E">
        <w:t>. Accessed April 30, 2021.</w:t>
      </w:r>
    </w:p>
    <w:p w14:paraId="54B82AE6" w14:textId="77777777" w:rsidR="00494065" w:rsidRPr="008B676E" w:rsidRDefault="00494065" w:rsidP="002D5EAA">
      <w:pPr>
        <w:pStyle w:val="EndNoteBibliography"/>
        <w:framePr w:hSpace="0" w:wrap="auto" w:vAnchor="margin" w:hAnchor="text" w:yAlign="inline"/>
        <w:spacing w:after="0"/>
        <w:ind w:left="720" w:hanging="720"/>
      </w:pPr>
      <w:r w:rsidRPr="008B676E">
        <w:t>42.</w:t>
      </w:r>
      <w:r w:rsidRPr="008B676E">
        <w:tab/>
        <w:t xml:space="preserve">O'Conner M, O'Sullivan B, Cystic Fibrosis Foundation. Cystic fibrosis airway clearance therapies clinical care guidelines. 2019; </w:t>
      </w:r>
      <w:r w:rsidRPr="00494065">
        <w:t>https://www.cff.org/Care/Clinical-Care-Guidelines/Respiratory-Clinical-Care-Guidelines/CF-Airway-Clearance-Therapies-Clinical-Care-Guidelines/</w:t>
      </w:r>
      <w:r w:rsidRPr="008B676E">
        <w:t>. Accessed April 19, 2021.</w:t>
      </w:r>
    </w:p>
    <w:p w14:paraId="385290B2" w14:textId="656403B2" w:rsidR="00494065" w:rsidRDefault="00494065" w:rsidP="00201554">
      <w:pPr>
        <w:pStyle w:val="EndNoteBibliography"/>
        <w:framePr w:hSpace="0" w:wrap="auto" w:vAnchor="margin" w:hAnchor="text" w:yAlign="inline"/>
        <w:spacing w:after="0"/>
        <w:ind w:left="720" w:hanging="720"/>
      </w:pPr>
      <w:r w:rsidRPr="008B676E">
        <w:t>43.</w:t>
      </w:r>
      <w:r w:rsidRPr="008B676E">
        <w:tab/>
        <w:t xml:space="preserve">Flume PA, Robinson KA, O'Sullivan BP, et al. Cystic fibrosis pulmonary guidelines: airway clearance therapies. </w:t>
      </w:r>
      <w:r w:rsidRPr="00201554">
        <w:t xml:space="preserve">Respir </w:t>
      </w:r>
      <w:r w:rsidR="0073059D" w:rsidRPr="00201554">
        <w:t>C</w:t>
      </w:r>
      <w:r w:rsidRPr="00201554">
        <w:t xml:space="preserve">are. </w:t>
      </w:r>
      <w:r w:rsidRPr="008B676E">
        <w:t>2009;54(4):522-537.</w:t>
      </w:r>
    </w:p>
    <w:p w14:paraId="3D0C858A" w14:textId="43406822" w:rsidR="00201554" w:rsidRPr="00201554" w:rsidRDefault="00201554" w:rsidP="00201554">
      <w:pPr>
        <w:pStyle w:val="EndNoteBibliography"/>
        <w:framePr w:hSpace="0" w:wrap="auto" w:vAnchor="margin" w:hAnchor="text" w:yAlign="inline"/>
        <w:spacing w:after="0"/>
        <w:ind w:left="720" w:hanging="720"/>
      </w:pPr>
      <w:r>
        <w:t xml:space="preserve">44. </w:t>
      </w:r>
      <w:r>
        <w:tab/>
      </w:r>
      <w:r w:rsidRPr="00201554">
        <w:t xml:space="preserve">Yuan N, Kane P, Shelton K, Matel J, Becker BC, Moss RB. Safety, tolerability, and efficacy of high-frequency chest wall oscillation in pediatric patients with cerebral palsy and neuromuscular diseases: an exploratory randomized controlled trial. </w:t>
      </w:r>
      <w:r w:rsidRPr="00201554">
        <w:rPr>
          <w:i/>
          <w:iCs/>
        </w:rPr>
        <w:t>J Child Neurol</w:t>
      </w:r>
      <w:r w:rsidRPr="00201554">
        <w:t xml:space="preserve">. 2010;25(7):815-821. doi: </w:t>
      </w:r>
      <w:hyperlink r:id="rId14" w:history="1">
        <w:r w:rsidRPr="00201554">
          <w:t>https://dx.doi.org/10.1177/0883073809350223</w:t>
        </w:r>
      </w:hyperlink>
      <w:r w:rsidRPr="00201554">
        <w:t>.</w:t>
      </w:r>
    </w:p>
    <w:p w14:paraId="5285E005" w14:textId="77777777" w:rsidR="00494065" w:rsidRDefault="00494065" w:rsidP="002D5EAA"/>
    <w:p w14:paraId="74EFF41C" w14:textId="77777777" w:rsidR="00494065" w:rsidRPr="00AB44E8" w:rsidRDefault="00494065" w:rsidP="002D5EAA"/>
    <w:p w14:paraId="3474BD46" w14:textId="77777777" w:rsidR="00494065" w:rsidRDefault="00494065" w:rsidP="002D5EAA">
      <w:r w:rsidRPr="00AB44E8">
        <w:rPr>
          <w:rFonts w:ascii="Calibri" w:eastAsia="Calibri" w:hAnsi="Calibri" w:cs="Arial"/>
          <w:noProof/>
          <w:szCs w:val="24"/>
        </w:rPr>
        <mc:AlternateContent>
          <mc:Choice Requires="wps">
            <w:drawing>
              <wp:inline distT="0" distB="0" distL="0" distR="0" wp14:anchorId="762E66FA" wp14:editId="6D3180C0">
                <wp:extent cx="5943600" cy="1619206"/>
                <wp:effectExtent l="19050" t="19050" r="38100" b="3873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19206"/>
                        </a:xfrm>
                        <a:prstGeom prst="rect">
                          <a:avLst/>
                        </a:prstGeom>
                        <a:solidFill>
                          <a:srgbClr val="FFFFFF">
                            <a:alpha val="0"/>
                          </a:srgbClr>
                        </a:solidFill>
                        <a:ln w="63500" cmpd="thickThin">
                          <a:solidFill>
                            <a:srgbClr val="365F9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3AF3E1" w14:textId="77777777" w:rsidR="00DC68A4" w:rsidRPr="00F53E70" w:rsidRDefault="00DC68A4" w:rsidP="002D5EAA">
                            <w:pPr>
                              <w:rPr>
                                <w:sz w:val="20"/>
                                <w:szCs w:val="20"/>
                              </w:rPr>
                            </w:pPr>
                            <w:r w:rsidRPr="00F53E70">
                              <w:rPr>
                                <w:sz w:val="20"/>
                                <w:szCs w:val="20"/>
                              </w:rPr>
                              <w:t xml:space="preserve">Coverage guidance is prepared by the Health Evidence Review Commission (HERC), HERC staff, and subcommittee members. The evidence summary is prepared by the Center for Evidence-based Policy at Oregon Health &amp; Science University (the Center). This document is intended to guide public and private purchasers in Oregon in making informed decisions about health care services. </w:t>
                            </w:r>
                          </w:p>
                          <w:p w14:paraId="43AAFEDE" w14:textId="77777777" w:rsidR="00DC68A4" w:rsidRPr="00F53E70" w:rsidRDefault="00DC68A4" w:rsidP="002D5EAA">
                            <w:pPr>
                              <w:rPr>
                                <w:bCs/>
                                <w:sz w:val="20"/>
                                <w:szCs w:val="20"/>
                              </w:rPr>
                            </w:pPr>
                            <w:r w:rsidRPr="00F53E70">
                              <w:rPr>
                                <w:sz w:val="20"/>
                                <w:szCs w:val="20"/>
                              </w:rPr>
                              <w:t>The Center is not engaged in rendering any clinical, legal, business or other professional advice. The statements in this document do not represent official policy positions of the Center. R</w:t>
                            </w:r>
                            <w:r w:rsidRPr="00F53E70">
                              <w:rPr>
                                <w:bCs/>
                                <w:sz w:val="20"/>
                                <w:szCs w:val="20"/>
                              </w:rPr>
                              <w:t>esearchers involved in preparing this document have no affiliations or financial involvement that conflict with material presented in this document.</w:t>
                            </w:r>
                          </w:p>
                        </w:txbxContent>
                      </wps:txbx>
                      <wps:bodyPr rot="0" vert="horz" wrap="square" lIns="91440" tIns="45720" rIns="91440" bIns="45720" anchor="t" anchorCtr="0" upright="1">
                        <a:noAutofit/>
                      </wps:bodyPr>
                    </wps:wsp>
                  </a:graphicData>
                </a:graphic>
              </wp:inline>
            </w:drawing>
          </mc:Choice>
          <mc:Fallback>
            <w:pict>
              <v:shapetype w14:anchorId="762E66FA" id="_x0000_t202" coordsize="21600,21600" o:spt="202" path="m,l,21600r21600,l21600,xe">
                <v:stroke joinstyle="miter"/>
                <v:path gradientshapeok="t" o:connecttype="rect"/>
              </v:shapetype>
              <v:shape id="Text Box 3" o:spid="_x0000_s1026" type="#_x0000_t202" style="width:46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" strokecolor="#365f91" strokeweight="5pt">
                <v:fill opacity="0"/>
                <v:stroke linestyle="thickThin"/>
                <v:shadow color="#868686"/>
                <v:textbox>
                  <w:txbxContent>
                    <w:p w14:paraId="6F3AF3E1" w14:textId="77777777" w:rsidR="00DC68A4" w:rsidRPr="00F53E70" w:rsidRDefault="00DC68A4" w:rsidP="002D5EAA">
                      <w:pPr>
                        <w:rPr>
                          <w:sz w:val="20"/>
                          <w:szCs w:val="20"/>
                        </w:rPr>
                      </w:pPr>
                      <w:r w:rsidRPr="00F53E70">
                        <w:rPr>
                          <w:sz w:val="20"/>
                          <w:szCs w:val="20"/>
                        </w:rPr>
                        <w:t xml:space="preserve">Coverage guidance is prepared by the Health Evidence Review Commission (HERC), HERC staff, and subcommittee members. The evidence summary is prepared by the Center for Evidence-based Policy at Oregon Health &amp; Science University (the Center). This document is intended to guide public and private purchasers in Oregon in making informed decisions about health care services. </w:t>
                      </w:r>
                    </w:p>
                    <w:p w14:paraId="43AAFEDE" w14:textId="77777777" w:rsidR="00DC68A4" w:rsidRPr="00F53E70" w:rsidRDefault="00DC68A4" w:rsidP="002D5EAA">
                      <w:pPr>
                        <w:rPr>
                          <w:bCs/>
                          <w:sz w:val="20"/>
                          <w:szCs w:val="20"/>
                        </w:rPr>
                      </w:pPr>
                      <w:r w:rsidRPr="00F53E70">
                        <w:rPr>
                          <w:sz w:val="20"/>
                          <w:szCs w:val="20"/>
                        </w:rPr>
                        <w:t>The Center is not engaged in rendering any clinical, legal, business or other professional advice. The statements in this document do not represent official policy positions of the Center. R</w:t>
                      </w:r>
                      <w:r w:rsidRPr="00F53E70">
                        <w:rPr>
                          <w:bCs/>
                          <w:sz w:val="20"/>
                          <w:szCs w:val="20"/>
                        </w:rPr>
                        <w:t>esearchers involved in preparing this document have no affiliations or financial involvement that conflict with material presented in this document.</w:t>
                      </w:r>
                    </w:p>
                  </w:txbxContent>
                </v:textbox>
                <w10:anchorlock/>
              </v:shape>
            </w:pict>
          </mc:Fallback>
        </mc:AlternateContent>
      </w:r>
    </w:p>
    <w:p w14:paraId="7D8DFDDE" w14:textId="77777777" w:rsidR="00494065" w:rsidRDefault="00494065" w:rsidP="002D5EAA"/>
    <w:p w14:paraId="4B512CE0" w14:textId="2BCE6CFC" w:rsidR="00494065" w:rsidRDefault="00494065" w:rsidP="002D5EAA">
      <w:pPr>
        <w:spacing w:after="0" w:line="240" w:lineRule="auto"/>
      </w:pPr>
      <w:r w:rsidRPr="0010673D">
        <w:t>Suggested citation</w:t>
      </w:r>
      <w:r w:rsidRPr="00CC6A66">
        <w:t xml:space="preserve">: </w:t>
      </w:r>
      <w:r>
        <w:t>Godlewski B,</w:t>
      </w:r>
      <w:r w:rsidR="004C229C">
        <w:t xml:space="preserve"> Durbin S,</w:t>
      </w:r>
      <w:r w:rsidRPr="00CC6A66">
        <w:t xml:space="preserve"> King V</w:t>
      </w:r>
      <w:r w:rsidR="006B77D7">
        <w:t>J</w:t>
      </w:r>
      <w:r w:rsidRPr="00CC6A66">
        <w:t xml:space="preserve">, &amp; </w:t>
      </w:r>
      <w:r>
        <w:t xml:space="preserve">Smits A, Walker E, Gingerich J. </w:t>
      </w:r>
      <w:r w:rsidRPr="005645D5">
        <w:rPr>
          <w:i/>
        </w:rPr>
        <w:t xml:space="preserve">Coverage guidance: </w:t>
      </w:r>
      <w:r>
        <w:rPr>
          <w:i/>
        </w:rPr>
        <w:t>high</w:t>
      </w:r>
      <w:r w:rsidR="00101CCF">
        <w:rPr>
          <w:i/>
        </w:rPr>
        <w:t>-</w:t>
      </w:r>
      <w:r>
        <w:rPr>
          <w:i/>
        </w:rPr>
        <w:t>frequency chest wall oscillation devices</w:t>
      </w:r>
      <w:r w:rsidRPr="002C3E46">
        <w:t>. Portland, OR: Center for Evidence-based Policy, O</w:t>
      </w:r>
      <w:r>
        <w:t>regon Health &amp; Science University</w:t>
      </w:r>
      <w:r w:rsidR="006B77D7">
        <w:t xml:space="preserve">; </w:t>
      </w:r>
      <w:r w:rsidR="006B77D7" w:rsidRPr="00D72A42">
        <w:t>202</w:t>
      </w:r>
      <w:r w:rsidR="0000482E">
        <w:t>2</w:t>
      </w:r>
      <w:r w:rsidR="006B77D7" w:rsidRPr="00D72A42">
        <w:t>.</w:t>
      </w:r>
    </w:p>
    <w:p w14:paraId="043377B4" w14:textId="77777777" w:rsidR="00494065" w:rsidRDefault="00494065" w:rsidP="002D5EAA"/>
    <w:p w14:paraId="4583DE33" w14:textId="77777777" w:rsidR="00494065" w:rsidRDefault="00494065" w:rsidP="002D5EAA">
      <w:r>
        <w:br w:type="page"/>
      </w:r>
    </w:p>
    <w:p w14:paraId="6EF03200" w14:textId="77777777" w:rsidR="00494065" w:rsidRDefault="00494065" w:rsidP="002D5EAA">
      <w:pPr>
        <w:pStyle w:val="H1NoBK"/>
      </w:pPr>
      <w:bookmarkStart w:id="59" w:name="_Toc72335284"/>
      <w:bookmarkStart w:id="60" w:name="_Toc87358454"/>
      <w:r>
        <w:lastRenderedPageBreak/>
        <w:t>Appendix A. GRADE Table Element Descriptions</w:t>
      </w:r>
      <w:bookmarkEnd w:id="59"/>
      <w:bookmarkEnd w:id="60"/>
    </w:p>
    <w:tbl>
      <w:tblPr>
        <w:tblpPr w:bottomFromText="72" w:vertAnchor="text" w:horzAnchor="margin" w:tblpY="11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0"/>
        <w:gridCol w:w="7400"/>
      </w:tblGrid>
      <w:tr w:rsidR="00494065" w:rsidRPr="00513588" w14:paraId="57026657" w14:textId="77777777" w:rsidTr="002D5EAA">
        <w:trPr>
          <w:trHeight w:val="79"/>
          <w:tblHeader/>
        </w:trPr>
        <w:tc>
          <w:tcPr>
            <w:tcW w:w="1043" w:type="pct"/>
            <w:shd w:val="clear" w:color="auto" w:fill="CFDDED"/>
            <w:vAlign w:val="center"/>
          </w:tcPr>
          <w:p w14:paraId="0FBB2449" w14:textId="77777777" w:rsidR="00494065" w:rsidRPr="00A86AC4" w:rsidRDefault="00494065" w:rsidP="002D5EAA">
            <w:pPr>
              <w:spacing w:after="0" w:line="276" w:lineRule="auto"/>
              <w:rPr>
                <w:rFonts w:eastAsia="Calibri" w:cs="Arial"/>
                <w:b/>
                <w:sz w:val="24"/>
                <w:szCs w:val="24"/>
              </w:rPr>
            </w:pPr>
            <w:r w:rsidRPr="00A86AC4">
              <w:rPr>
                <w:rFonts w:eastAsia="Calibri" w:cs="Arial"/>
                <w:b/>
                <w:sz w:val="24"/>
                <w:szCs w:val="24"/>
              </w:rPr>
              <w:t>Element</w:t>
            </w:r>
          </w:p>
        </w:tc>
        <w:tc>
          <w:tcPr>
            <w:tcW w:w="3957" w:type="pct"/>
            <w:shd w:val="clear" w:color="auto" w:fill="CFDDED"/>
            <w:vAlign w:val="center"/>
          </w:tcPr>
          <w:p w14:paraId="196BC8C8" w14:textId="77777777" w:rsidR="00494065" w:rsidRPr="00A86AC4" w:rsidRDefault="00494065" w:rsidP="002D5EAA">
            <w:pPr>
              <w:spacing w:after="0" w:line="276" w:lineRule="auto"/>
              <w:rPr>
                <w:rFonts w:eastAsia="Calibri" w:cs="Arial"/>
                <w:b/>
                <w:sz w:val="24"/>
                <w:szCs w:val="24"/>
              </w:rPr>
            </w:pPr>
            <w:r w:rsidRPr="00A86AC4">
              <w:rPr>
                <w:rFonts w:eastAsia="Calibri" w:cs="Arial"/>
                <w:b/>
                <w:sz w:val="24"/>
                <w:szCs w:val="24"/>
              </w:rPr>
              <w:t>Description</w:t>
            </w:r>
          </w:p>
        </w:tc>
      </w:tr>
      <w:tr w:rsidR="00494065" w:rsidRPr="00513588" w14:paraId="6C699189" w14:textId="77777777" w:rsidTr="002D5EAA">
        <w:trPr>
          <w:trHeight w:val="334"/>
        </w:trPr>
        <w:tc>
          <w:tcPr>
            <w:tcW w:w="1043" w:type="pct"/>
          </w:tcPr>
          <w:p w14:paraId="121CEE9A" w14:textId="77777777" w:rsidR="00494065" w:rsidRPr="00513588" w:rsidRDefault="00494065" w:rsidP="002D5EAA">
            <w:pPr>
              <w:spacing w:before="20" w:after="20"/>
              <w:rPr>
                <w:rFonts w:ascii="Calibri" w:eastAsia="Calibri" w:hAnsi="Calibri" w:cs="Arial"/>
                <w:sz w:val="20"/>
                <w:szCs w:val="20"/>
              </w:rPr>
            </w:pPr>
            <w:r w:rsidRPr="00513588">
              <w:rPr>
                <w:rFonts w:ascii="Calibri" w:eastAsia="Calibri" w:hAnsi="Calibri" w:cs="Arial"/>
                <w:sz w:val="20"/>
                <w:szCs w:val="20"/>
              </w:rPr>
              <w:t>Balance of benefits and harms</w:t>
            </w:r>
          </w:p>
        </w:tc>
        <w:tc>
          <w:tcPr>
            <w:tcW w:w="3957" w:type="pct"/>
          </w:tcPr>
          <w:p w14:paraId="7AFA38FF" w14:textId="77777777" w:rsidR="00494065" w:rsidRPr="00513588" w:rsidRDefault="00494065" w:rsidP="002D5EAA">
            <w:pPr>
              <w:spacing w:before="20" w:after="20"/>
              <w:rPr>
                <w:rFonts w:ascii="Calibri" w:eastAsia="Calibri" w:hAnsi="Calibri" w:cs="Arial"/>
                <w:sz w:val="20"/>
                <w:szCs w:val="20"/>
              </w:rPr>
            </w:pPr>
            <w:r w:rsidRPr="00513588">
              <w:rPr>
                <w:rFonts w:ascii="Calibri" w:eastAsia="Calibri" w:hAnsi="Calibri" w:cs="Arial"/>
                <w:sz w:val="20"/>
                <w:szCs w:val="20"/>
              </w:rPr>
              <w:t>The larger the difference between the desirable and undesirable effects, the higher the likelihood that a strong recommendation is warranted. An estimate that is not statistically significant or has a confidence interval crossing a predetermined clinical decision threshold will be downgraded.</w:t>
            </w:r>
          </w:p>
        </w:tc>
      </w:tr>
      <w:tr w:rsidR="00494065" w:rsidRPr="00513588" w14:paraId="200E8EDD" w14:textId="77777777" w:rsidTr="002D5EAA">
        <w:trPr>
          <w:trHeight w:val="164"/>
        </w:trPr>
        <w:tc>
          <w:tcPr>
            <w:tcW w:w="1043" w:type="pct"/>
          </w:tcPr>
          <w:p w14:paraId="29011B33" w14:textId="77777777" w:rsidR="00494065" w:rsidRPr="00513588" w:rsidRDefault="00494065" w:rsidP="002D5EAA">
            <w:pPr>
              <w:spacing w:before="20" w:after="20"/>
              <w:rPr>
                <w:rFonts w:ascii="Calibri" w:eastAsia="Calibri" w:hAnsi="Calibri" w:cs="Arial"/>
                <w:sz w:val="20"/>
                <w:szCs w:val="20"/>
              </w:rPr>
            </w:pPr>
            <w:r w:rsidRPr="00513588">
              <w:rPr>
                <w:rFonts w:ascii="Calibri" w:eastAsia="Calibri" w:hAnsi="Calibri" w:cs="Arial"/>
                <w:sz w:val="20"/>
                <w:szCs w:val="20"/>
              </w:rPr>
              <w:t>Quality of evidence</w:t>
            </w:r>
          </w:p>
        </w:tc>
        <w:tc>
          <w:tcPr>
            <w:tcW w:w="3957" w:type="pct"/>
          </w:tcPr>
          <w:p w14:paraId="2A7D32B2" w14:textId="77777777" w:rsidR="00494065" w:rsidRPr="00513588" w:rsidRDefault="00494065" w:rsidP="002D5EAA">
            <w:pPr>
              <w:spacing w:before="20" w:after="20"/>
              <w:rPr>
                <w:rFonts w:ascii="Calibri" w:eastAsia="Calibri" w:hAnsi="Calibri" w:cs="Arial"/>
                <w:sz w:val="20"/>
                <w:szCs w:val="20"/>
              </w:rPr>
            </w:pPr>
            <w:r w:rsidRPr="00513588">
              <w:rPr>
                <w:rFonts w:ascii="Calibri" w:eastAsia="Calibri" w:hAnsi="Calibri" w:cs="Arial"/>
                <w:sz w:val="20"/>
                <w:szCs w:val="20"/>
              </w:rPr>
              <w:t>The higher the quality of evidence, the higher the likelihood that a strong recommendation is warranted</w:t>
            </w:r>
          </w:p>
        </w:tc>
      </w:tr>
      <w:tr w:rsidR="00494065" w:rsidRPr="00513588" w14:paraId="2DD5CB14" w14:textId="77777777" w:rsidTr="002D5EAA">
        <w:trPr>
          <w:trHeight w:val="249"/>
        </w:trPr>
        <w:tc>
          <w:tcPr>
            <w:tcW w:w="1043" w:type="pct"/>
          </w:tcPr>
          <w:p w14:paraId="698B709A" w14:textId="77777777" w:rsidR="00494065" w:rsidRPr="00513588" w:rsidRDefault="00494065" w:rsidP="002D5EAA">
            <w:pPr>
              <w:spacing w:before="20" w:after="20"/>
              <w:rPr>
                <w:rFonts w:ascii="Calibri" w:eastAsia="Calibri" w:hAnsi="Calibri" w:cs="Arial"/>
                <w:sz w:val="20"/>
                <w:szCs w:val="20"/>
              </w:rPr>
            </w:pPr>
            <w:r w:rsidRPr="00513588">
              <w:rPr>
                <w:rFonts w:ascii="Calibri" w:eastAsia="Calibri" w:hAnsi="Calibri" w:cs="Arial"/>
                <w:sz w:val="20"/>
                <w:szCs w:val="20"/>
              </w:rPr>
              <w:t>Resource allocation</w:t>
            </w:r>
          </w:p>
        </w:tc>
        <w:tc>
          <w:tcPr>
            <w:tcW w:w="3957" w:type="pct"/>
          </w:tcPr>
          <w:p w14:paraId="256BA641" w14:textId="77777777" w:rsidR="00494065" w:rsidRPr="00513588" w:rsidRDefault="00494065" w:rsidP="002D5EAA">
            <w:pPr>
              <w:spacing w:before="20" w:after="20"/>
              <w:rPr>
                <w:rFonts w:ascii="Calibri" w:eastAsia="Calibri" w:hAnsi="Calibri" w:cs="Arial"/>
                <w:sz w:val="20"/>
                <w:szCs w:val="20"/>
              </w:rPr>
            </w:pPr>
            <w:r w:rsidRPr="00513588">
              <w:rPr>
                <w:rFonts w:ascii="Calibri" w:eastAsia="Calibri" w:hAnsi="Calibri" w:cs="Arial"/>
                <w:sz w:val="20"/>
                <w:szCs w:val="20"/>
              </w:rPr>
              <w:t>The higher the costs of an intervention—that is, the greater the resources consumed in the absence of likely cost offsets—the lower the likelihood that a strong recommendation is warranted</w:t>
            </w:r>
          </w:p>
        </w:tc>
      </w:tr>
      <w:tr w:rsidR="00494065" w:rsidRPr="00513588" w14:paraId="5C4B0F91" w14:textId="77777777" w:rsidTr="002D5EAA">
        <w:trPr>
          <w:trHeight w:val="249"/>
        </w:trPr>
        <w:tc>
          <w:tcPr>
            <w:tcW w:w="1043" w:type="pct"/>
          </w:tcPr>
          <w:p w14:paraId="7DDC9255" w14:textId="77777777" w:rsidR="00494065" w:rsidRPr="00513588" w:rsidRDefault="00494065" w:rsidP="002D5EAA">
            <w:pPr>
              <w:spacing w:before="20" w:after="20"/>
              <w:rPr>
                <w:rFonts w:ascii="Calibri" w:eastAsia="Calibri" w:hAnsi="Calibri" w:cs="Arial"/>
                <w:sz w:val="20"/>
                <w:szCs w:val="20"/>
              </w:rPr>
            </w:pPr>
            <w:r w:rsidRPr="00513588">
              <w:rPr>
                <w:rFonts w:ascii="Calibri" w:eastAsia="Calibri" w:hAnsi="Calibri" w:cs="Arial"/>
                <w:sz w:val="20"/>
                <w:szCs w:val="20"/>
              </w:rPr>
              <w:t>Values and preferences</w:t>
            </w:r>
          </w:p>
        </w:tc>
        <w:tc>
          <w:tcPr>
            <w:tcW w:w="3957" w:type="pct"/>
          </w:tcPr>
          <w:p w14:paraId="11E6BF71" w14:textId="77777777" w:rsidR="00494065" w:rsidRPr="00513588" w:rsidRDefault="00494065" w:rsidP="002D5EAA">
            <w:pPr>
              <w:spacing w:before="20" w:after="20"/>
              <w:rPr>
                <w:rFonts w:ascii="Calibri" w:eastAsia="Calibri" w:hAnsi="Calibri" w:cs="Arial"/>
                <w:sz w:val="20"/>
                <w:szCs w:val="20"/>
              </w:rPr>
            </w:pPr>
            <w:r w:rsidRPr="00513588">
              <w:rPr>
                <w:rFonts w:ascii="Calibri" w:eastAsia="Calibri" w:hAnsi="Calibri" w:cs="Arial"/>
                <w:sz w:val="20"/>
                <w:szCs w:val="20"/>
              </w:rPr>
              <w:t>The more values and preferences vary, or the greater the uncertainty in values and preferences, the higher the likelihood that a weak recommendation is warranted</w:t>
            </w:r>
          </w:p>
        </w:tc>
      </w:tr>
      <w:tr w:rsidR="00494065" w:rsidRPr="00513588" w14:paraId="5C2CCA68" w14:textId="77777777" w:rsidTr="002D5EAA">
        <w:trPr>
          <w:trHeight w:val="249"/>
        </w:trPr>
        <w:tc>
          <w:tcPr>
            <w:tcW w:w="1043" w:type="pct"/>
          </w:tcPr>
          <w:p w14:paraId="46A10C63" w14:textId="77777777" w:rsidR="00494065" w:rsidRPr="00513588" w:rsidRDefault="00494065" w:rsidP="002D5EAA">
            <w:pPr>
              <w:spacing w:before="20" w:after="20"/>
              <w:rPr>
                <w:rFonts w:ascii="Calibri" w:eastAsia="Calibri" w:hAnsi="Calibri" w:cs="Arial"/>
                <w:sz w:val="20"/>
                <w:szCs w:val="20"/>
              </w:rPr>
            </w:pPr>
            <w:r w:rsidRPr="00513588">
              <w:rPr>
                <w:rFonts w:ascii="Calibri" w:eastAsia="Calibri" w:hAnsi="Calibri" w:cs="Arial"/>
                <w:sz w:val="20"/>
                <w:szCs w:val="20"/>
              </w:rPr>
              <w:t>Other considerations</w:t>
            </w:r>
          </w:p>
        </w:tc>
        <w:tc>
          <w:tcPr>
            <w:tcW w:w="3957" w:type="pct"/>
          </w:tcPr>
          <w:p w14:paraId="2B64FC38" w14:textId="77777777" w:rsidR="00494065" w:rsidRPr="00513588" w:rsidRDefault="00494065" w:rsidP="002D5EAA">
            <w:pPr>
              <w:spacing w:before="20" w:after="20"/>
              <w:rPr>
                <w:rFonts w:ascii="Calibri" w:eastAsia="Calibri" w:hAnsi="Calibri" w:cs="Arial"/>
                <w:sz w:val="20"/>
                <w:szCs w:val="20"/>
              </w:rPr>
            </w:pPr>
            <w:r w:rsidRPr="00513588">
              <w:rPr>
                <w:rFonts w:ascii="Calibri" w:eastAsia="Calibri" w:hAnsi="Calibri" w:cs="Arial"/>
                <w:sz w:val="20"/>
                <w:szCs w:val="20"/>
              </w:rPr>
              <w:t>Other considerations include issues about the implementation and operationalization of the technology or intervention in health systems and practices within Oregon.</w:t>
            </w:r>
          </w:p>
        </w:tc>
      </w:tr>
    </w:tbl>
    <w:p w14:paraId="3D5DDE5C" w14:textId="77777777" w:rsidR="00494065" w:rsidRDefault="00494065" w:rsidP="002D5EAA">
      <w:pPr>
        <w:pStyle w:val="H3NoBK"/>
      </w:pPr>
      <w:r>
        <w:t>Strong recommendation</w:t>
      </w:r>
    </w:p>
    <w:p w14:paraId="55283C72" w14:textId="77777777" w:rsidR="00494065" w:rsidRDefault="00494065" w:rsidP="002D5EAA">
      <w:r w:rsidRPr="00AB44E8">
        <w:rPr>
          <w:b/>
          <w:i/>
        </w:rPr>
        <w:t>In Favor:</w:t>
      </w:r>
      <w:r>
        <w:t xml:space="preserve"> The subcommittee concludes that the desirable effects of adherence to a recommendation outweigh the undesirable effects, considering the balance of benefits and harms, resource allocation, values and preferences and other factors.</w:t>
      </w:r>
    </w:p>
    <w:p w14:paraId="03A3D721" w14:textId="77777777" w:rsidR="00494065" w:rsidRDefault="00494065" w:rsidP="002D5EAA">
      <w:r w:rsidRPr="00AB44E8">
        <w:rPr>
          <w:b/>
          <w:i/>
        </w:rPr>
        <w:t>Against:</w:t>
      </w:r>
      <w:r>
        <w:t xml:space="preserve"> The subcommittee concludes that the undesirable effects of adherence to a recommendation outweigh the desirable effects, considering the balance of benefits and harms, resource allocation, values and preferences and other factors.</w:t>
      </w:r>
    </w:p>
    <w:p w14:paraId="3F80CE2D" w14:textId="77777777" w:rsidR="00494065" w:rsidRDefault="00494065" w:rsidP="002D5EAA">
      <w:pPr>
        <w:pStyle w:val="H3NoBK"/>
      </w:pPr>
      <w:r>
        <w:t>Weak recommendation</w:t>
      </w:r>
    </w:p>
    <w:p w14:paraId="4B726F3C" w14:textId="77777777" w:rsidR="00494065" w:rsidRDefault="00494065" w:rsidP="002D5EAA">
      <w:r w:rsidRPr="00AB44E8">
        <w:rPr>
          <w:b/>
          <w:i/>
        </w:rPr>
        <w:t>In Favor:</w:t>
      </w:r>
      <w:r>
        <w:t xml:space="preserve"> The subcommittee concludes that the desirable effects of adherence to a recommendation probably outweigh the undesirable effects, considering the balance of benefits and harms, resource allocation, values and preferences and other factors., but further research or additional information could lead to a different conclusion. </w:t>
      </w:r>
    </w:p>
    <w:p w14:paraId="0022374E" w14:textId="77777777" w:rsidR="00494065" w:rsidRDefault="00494065" w:rsidP="002D5EAA">
      <w:r w:rsidRPr="00AB44E8">
        <w:rPr>
          <w:b/>
          <w:i/>
        </w:rPr>
        <w:t>Against:</w:t>
      </w:r>
      <w:r w:rsidRPr="00AB44E8">
        <w:rPr>
          <w:b/>
        </w:rPr>
        <w:t xml:space="preserve"> </w:t>
      </w:r>
      <w:r>
        <w:t xml:space="preserve">The subcommittee concludes that the undesirable effects of adherence to a recommendation probably outweigh the desirable effects, considering the balance of benefits and harms, cost and resource allocation, and values and preferences, but further research or additional information could lead to a different conclusion. </w:t>
      </w:r>
    </w:p>
    <w:p w14:paraId="3BB04B08" w14:textId="77777777" w:rsidR="00494065" w:rsidRDefault="00494065" w:rsidP="002D5EAA">
      <w:pPr>
        <w:pStyle w:val="H3NoBK"/>
      </w:pPr>
      <w:r>
        <w:t>Confidence in estimate rating across studies for the intervention/outcome</w:t>
      </w:r>
    </w:p>
    <w:p w14:paraId="753B4560" w14:textId="77777777" w:rsidR="00494065" w:rsidRDefault="00494065" w:rsidP="002D5EAA">
      <w:r>
        <w:t>Assessment of confidence in estimate includes factors such as risk of bias, precision, directness, consistency and publication bias.</w:t>
      </w:r>
    </w:p>
    <w:p w14:paraId="7DE1696F" w14:textId="77777777" w:rsidR="00494065" w:rsidRDefault="00494065" w:rsidP="002D5EAA">
      <w:r w:rsidRPr="00AB44E8">
        <w:rPr>
          <w:b/>
          <w:i/>
        </w:rPr>
        <w:t>High:</w:t>
      </w:r>
      <w:r>
        <w:t xml:space="preserve"> The subcommittee is very confident that the true effect lies close to that of the estimate of the effect. Typical sets of studies are RCTs with few or no limitations and the estimate of effect is likely stable.</w:t>
      </w:r>
    </w:p>
    <w:p w14:paraId="4B96C760" w14:textId="77777777" w:rsidR="00494065" w:rsidRDefault="00494065" w:rsidP="002D5EAA">
      <w:r w:rsidRPr="00AB44E8">
        <w:rPr>
          <w:b/>
          <w:i/>
        </w:rPr>
        <w:lastRenderedPageBreak/>
        <w:t>Moderate:</w:t>
      </w:r>
      <w:r>
        <w:t xml:space="preserve"> The subcommittee is moderately confident in the estimate of effect: The true effect is likely to be close to the estimate of the effect, but there is a possibility that it is substantially different. Typical sets of studies are RCTs with some limitations or well-performed nonrandomized studies with additional strengths that guard against potential bias and have large estimates of effects.</w:t>
      </w:r>
    </w:p>
    <w:p w14:paraId="726B980C" w14:textId="77777777" w:rsidR="00494065" w:rsidRDefault="00494065" w:rsidP="002D5EAA">
      <w:r w:rsidRPr="00AB44E8">
        <w:rPr>
          <w:b/>
          <w:i/>
        </w:rPr>
        <w:t>Low:</w:t>
      </w:r>
      <w:r>
        <w:t xml:space="preserve"> The subcommittee’s confidence in the estimate of effect is limited: The true effect may be substantially different from the estimate of the effect. Typical sets of studies are RCTs with serious limitations or nonrandomized studies without special strengths.</w:t>
      </w:r>
    </w:p>
    <w:p w14:paraId="24B4ECF6" w14:textId="77777777" w:rsidR="00494065" w:rsidRDefault="00494065" w:rsidP="002D5EAA">
      <w:r w:rsidRPr="00AB44E8">
        <w:rPr>
          <w:b/>
          <w:i/>
        </w:rPr>
        <w:t>Very low:</w:t>
      </w:r>
      <w:r>
        <w:t xml:space="preserve"> The subcommittee has very little confidence in the estimate of effect: The true effect is likely to be substantially different from the estimate of effect. Typical sets of studies are nonrandomized studies with serious limitations or inconsistent results across studies. </w:t>
      </w:r>
      <w:r>
        <w:br w:type="page"/>
      </w:r>
    </w:p>
    <w:tbl>
      <w:tblPr>
        <w:tblpPr w:leftFromText="180" w:rightFromText="180" w:horzAnchor="margin" w:tblpY="625"/>
        <w:tblW w:w="5062" w:type="pct"/>
        <w:tblLook w:val="04A0" w:firstRow="1" w:lastRow="0" w:firstColumn="1" w:lastColumn="0" w:noHBand="0" w:noVBand="1"/>
      </w:tblPr>
      <w:tblGrid>
        <w:gridCol w:w="957"/>
        <w:gridCol w:w="1055"/>
        <w:gridCol w:w="873"/>
        <w:gridCol w:w="1452"/>
        <w:gridCol w:w="1327"/>
        <w:gridCol w:w="1285"/>
        <w:gridCol w:w="1000"/>
        <w:gridCol w:w="1509"/>
        <w:gridCol w:w="8"/>
      </w:tblGrid>
      <w:tr w:rsidR="00494065" w:rsidRPr="009D1392" w14:paraId="531F2660" w14:textId="77777777" w:rsidTr="0029564F">
        <w:trPr>
          <w:tblHeader/>
        </w:trPr>
        <w:tc>
          <w:tcPr>
            <w:tcW w:w="5000" w:type="pct"/>
            <w:gridSpan w:val="9"/>
            <w:tcBorders>
              <w:top w:val="single" w:sz="4" w:space="0" w:color="auto"/>
              <w:left w:val="single" w:sz="4" w:space="0" w:color="auto"/>
              <w:bottom w:val="single" w:sz="4" w:space="0" w:color="auto"/>
              <w:right w:val="single" w:sz="4" w:space="0" w:color="auto"/>
            </w:tcBorders>
            <w:shd w:val="clear" w:color="auto" w:fill="275C9D"/>
            <w:vAlign w:val="center"/>
            <w:hideMark/>
          </w:tcPr>
          <w:p w14:paraId="4BF362B9" w14:textId="77777777" w:rsidR="00494065" w:rsidRPr="0029564F" w:rsidRDefault="00494065" w:rsidP="002D5EAA">
            <w:pPr>
              <w:spacing w:after="60" w:line="276" w:lineRule="auto"/>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lastRenderedPageBreak/>
              <w:t>Certainty Assessment (Confidence in Estimate of Effect) for Cystic Fibrosis</w:t>
            </w:r>
          </w:p>
        </w:tc>
      </w:tr>
      <w:tr w:rsidR="00494065" w:rsidRPr="009D1392" w14:paraId="536A4B60" w14:textId="77777777" w:rsidTr="0029564F">
        <w:trPr>
          <w:gridAfter w:val="1"/>
          <w:wAfter w:w="5" w:type="pct"/>
          <w:tblHeader/>
        </w:trPr>
        <w:tc>
          <w:tcPr>
            <w:tcW w:w="506" w:type="pct"/>
            <w:tcBorders>
              <w:top w:val="single" w:sz="4" w:space="0" w:color="auto"/>
              <w:left w:val="single" w:sz="4" w:space="0" w:color="auto"/>
              <w:bottom w:val="single" w:sz="4" w:space="0" w:color="auto"/>
              <w:right w:val="single" w:sz="4" w:space="0" w:color="auto"/>
            </w:tcBorders>
            <w:shd w:val="clear" w:color="auto" w:fill="275C9D"/>
            <w:vAlign w:val="bottom"/>
            <w:hideMark/>
          </w:tcPr>
          <w:p w14:paraId="6D10228A"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No. of Studies</w:t>
            </w:r>
          </w:p>
        </w:tc>
        <w:tc>
          <w:tcPr>
            <w:tcW w:w="557" w:type="pct"/>
            <w:tcBorders>
              <w:top w:val="single" w:sz="4" w:space="0" w:color="auto"/>
              <w:left w:val="single" w:sz="4" w:space="0" w:color="auto"/>
              <w:bottom w:val="single" w:sz="4" w:space="0" w:color="auto"/>
              <w:right w:val="single" w:sz="4" w:space="0" w:color="auto"/>
            </w:tcBorders>
            <w:shd w:val="clear" w:color="auto" w:fill="275C9D"/>
            <w:vAlign w:val="bottom"/>
            <w:hideMark/>
          </w:tcPr>
          <w:p w14:paraId="1F09F707"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Study Design(s)</w:t>
            </w:r>
          </w:p>
        </w:tc>
        <w:tc>
          <w:tcPr>
            <w:tcW w:w="461" w:type="pct"/>
            <w:tcBorders>
              <w:top w:val="single" w:sz="4" w:space="0" w:color="auto"/>
              <w:left w:val="single" w:sz="4" w:space="0" w:color="auto"/>
              <w:bottom w:val="single" w:sz="4" w:space="0" w:color="auto"/>
              <w:right w:val="single" w:sz="4" w:space="0" w:color="auto"/>
            </w:tcBorders>
            <w:shd w:val="clear" w:color="auto" w:fill="275C9D"/>
            <w:vAlign w:val="bottom"/>
            <w:hideMark/>
          </w:tcPr>
          <w:p w14:paraId="5C569AC9"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Risk of Bias</w:t>
            </w:r>
          </w:p>
        </w:tc>
        <w:tc>
          <w:tcPr>
            <w:tcW w:w="767"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017D09A9"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Inconsistency</w:t>
            </w:r>
          </w:p>
        </w:tc>
        <w:tc>
          <w:tcPr>
            <w:tcW w:w="701"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34E83671"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Indirectness</w:t>
            </w:r>
          </w:p>
        </w:tc>
        <w:tc>
          <w:tcPr>
            <w:tcW w:w="679"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4B7D60AC"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Imprecision</w:t>
            </w:r>
          </w:p>
        </w:tc>
        <w:tc>
          <w:tcPr>
            <w:tcW w:w="528"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23F280BD"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Other Factors</w:t>
            </w:r>
          </w:p>
        </w:tc>
        <w:tc>
          <w:tcPr>
            <w:tcW w:w="797"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29419127"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Certainty</w:t>
            </w:r>
          </w:p>
        </w:tc>
      </w:tr>
      <w:tr w:rsidR="00494065" w:rsidRPr="009D1392" w14:paraId="6CEB4017" w14:textId="77777777" w:rsidTr="002D5EAA">
        <w:tc>
          <w:tcPr>
            <w:tcW w:w="5000" w:type="pct"/>
            <w:gridSpan w:val="9"/>
            <w:tcBorders>
              <w:top w:val="single" w:sz="4" w:space="0" w:color="auto"/>
              <w:left w:val="single" w:sz="4" w:space="0" w:color="auto"/>
              <w:bottom w:val="single" w:sz="4" w:space="0" w:color="auto"/>
              <w:right w:val="single" w:sz="4" w:space="0" w:color="auto"/>
            </w:tcBorders>
            <w:shd w:val="clear" w:color="auto" w:fill="CFDDED"/>
            <w:hideMark/>
          </w:tcPr>
          <w:p w14:paraId="2FDA8348" w14:textId="77777777" w:rsidR="00494065" w:rsidRPr="0029564F" w:rsidRDefault="00494065" w:rsidP="002D5EAA">
            <w:pPr>
              <w:spacing w:after="0"/>
              <w:rPr>
                <w:rFonts w:ascii="Calibri" w:hAnsi="Calibri" w:cs="Times New Roman"/>
                <w:b/>
                <w:i/>
                <w:sz w:val="20"/>
                <w:szCs w:val="20"/>
                <w:vertAlign w:val="superscript"/>
              </w:rPr>
            </w:pPr>
            <w:r w:rsidRPr="0029564F">
              <w:rPr>
                <w:rFonts w:ascii="Calibri" w:hAnsi="Calibri" w:cs="Times New Roman"/>
                <w:b/>
                <w:sz w:val="20"/>
                <w:szCs w:val="20"/>
              </w:rPr>
              <w:t>Hospitalizations</w:t>
            </w:r>
          </w:p>
        </w:tc>
      </w:tr>
      <w:tr w:rsidR="00494065" w:rsidRPr="009D1392" w14:paraId="02AFAC1F" w14:textId="77777777" w:rsidTr="002D5EAA">
        <w:trPr>
          <w:gridAfter w:val="1"/>
          <w:wAfter w:w="5" w:type="pct"/>
        </w:trPr>
        <w:tc>
          <w:tcPr>
            <w:tcW w:w="506" w:type="pct"/>
            <w:tcBorders>
              <w:top w:val="single" w:sz="4" w:space="0" w:color="auto"/>
              <w:left w:val="single" w:sz="4" w:space="0" w:color="auto"/>
              <w:bottom w:val="single" w:sz="4" w:space="0" w:color="auto"/>
              <w:right w:val="single" w:sz="4" w:space="0" w:color="auto"/>
            </w:tcBorders>
          </w:tcPr>
          <w:p w14:paraId="18069184" w14:textId="2937C1DC" w:rsidR="00494065" w:rsidRPr="0029564F" w:rsidRDefault="00C049B2" w:rsidP="002D5EAA">
            <w:pPr>
              <w:spacing w:after="60"/>
              <w:rPr>
                <w:rFonts w:ascii="Calibri" w:hAnsi="Calibri" w:cs="Times New Roman"/>
                <w:sz w:val="20"/>
                <w:szCs w:val="20"/>
              </w:rPr>
            </w:pPr>
            <w:r>
              <w:rPr>
                <w:rFonts w:ascii="Calibri" w:hAnsi="Calibri" w:cs="Times New Roman"/>
                <w:sz w:val="20"/>
                <w:szCs w:val="20"/>
              </w:rPr>
              <w:t>1</w:t>
            </w:r>
          </w:p>
        </w:tc>
        <w:tc>
          <w:tcPr>
            <w:tcW w:w="557" w:type="pct"/>
            <w:tcBorders>
              <w:top w:val="single" w:sz="4" w:space="0" w:color="auto"/>
              <w:left w:val="single" w:sz="4" w:space="0" w:color="auto"/>
              <w:bottom w:val="single" w:sz="4" w:space="0" w:color="auto"/>
              <w:right w:val="single" w:sz="4" w:space="0" w:color="auto"/>
            </w:tcBorders>
          </w:tcPr>
          <w:p w14:paraId="4F0942CE" w14:textId="5B14E53E"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RCT</w:t>
            </w:r>
          </w:p>
        </w:tc>
        <w:tc>
          <w:tcPr>
            <w:tcW w:w="461" w:type="pct"/>
            <w:tcBorders>
              <w:top w:val="single" w:sz="4" w:space="0" w:color="auto"/>
              <w:left w:val="single" w:sz="4" w:space="0" w:color="auto"/>
              <w:bottom w:val="single" w:sz="4" w:space="0" w:color="auto"/>
              <w:right w:val="single" w:sz="4" w:space="0" w:color="auto"/>
            </w:tcBorders>
          </w:tcPr>
          <w:p w14:paraId="3154A81C"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767" w:type="pct"/>
            <w:tcBorders>
              <w:top w:val="single" w:sz="4" w:space="0" w:color="auto"/>
              <w:left w:val="single" w:sz="4" w:space="0" w:color="auto"/>
              <w:bottom w:val="single" w:sz="4" w:space="0" w:color="auto"/>
              <w:right w:val="single" w:sz="4" w:space="0" w:color="auto"/>
            </w:tcBorders>
          </w:tcPr>
          <w:p w14:paraId="17C21AC2"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Not serious</w:t>
            </w:r>
          </w:p>
          <w:p w14:paraId="0C893D20" w14:textId="77777777" w:rsidR="00494065" w:rsidRPr="0029564F" w:rsidRDefault="00494065" w:rsidP="002D5EAA">
            <w:pPr>
              <w:spacing w:after="60"/>
              <w:jc w:val="center"/>
              <w:rPr>
                <w:rFonts w:ascii="Calibri" w:hAnsi="Calibri"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14:paraId="07FAB465"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679" w:type="pct"/>
            <w:tcBorders>
              <w:top w:val="single" w:sz="4" w:space="0" w:color="auto"/>
              <w:left w:val="single" w:sz="4" w:space="0" w:color="auto"/>
              <w:bottom w:val="single" w:sz="4" w:space="0" w:color="auto"/>
              <w:right w:val="single" w:sz="4" w:space="0" w:color="auto"/>
            </w:tcBorders>
          </w:tcPr>
          <w:p w14:paraId="37E729E9" w14:textId="4BAB70F0" w:rsidR="00494065" w:rsidRPr="0029564F" w:rsidRDefault="004528E4" w:rsidP="002D5EAA">
            <w:pPr>
              <w:spacing w:after="60"/>
              <w:jc w:val="center"/>
              <w:rPr>
                <w:rFonts w:ascii="Calibri" w:hAnsi="Calibri" w:cs="Times New Roman"/>
                <w:sz w:val="20"/>
                <w:szCs w:val="20"/>
              </w:rPr>
            </w:pPr>
            <w:r>
              <w:rPr>
                <w:rFonts w:ascii="Calibri" w:hAnsi="Calibri" w:cs="Times New Roman"/>
                <w:sz w:val="20"/>
                <w:szCs w:val="20"/>
              </w:rPr>
              <w:t>S</w:t>
            </w:r>
            <w:r w:rsidR="00494065" w:rsidRPr="0029564F">
              <w:rPr>
                <w:rFonts w:ascii="Calibri" w:hAnsi="Calibri" w:cs="Times New Roman"/>
                <w:sz w:val="20"/>
                <w:szCs w:val="20"/>
              </w:rPr>
              <w:t>erious</w:t>
            </w:r>
          </w:p>
          <w:p w14:paraId="3A3F915B" w14:textId="77777777" w:rsidR="00494065" w:rsidRPr="0029564F" w:rsidRDefault="00494065" w:rsidP="002D5EAA">
            <w:pPr>
              <w:spacing w:after="60"/>
              <w:jc w:val="center"/>
              <w:rPr>
                <w:rFonts w:ascii="Calibri" w:hAnsi="Calibri"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tcPr>
          <w:p w14:paraId="33B8355D"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Small samples, short follow-up</w:t>
            </w:r>
          </w:p>
        </w:tc>
        <w:tc>
          <w:tcPr>
            <w:tcW w:w="797" w:type="pct"/>
            <w:tcBorders>
              <w:top w:val="single" w:sz="4" w:space="0" w:color="auto"/>
              <w:left w:val="single" w:sz="4" w:space="0" w:color="auto"/>
              <w:bottom w:val="single" w:sz="4" w:space="0" w:color="auto"/>
              <w:right w:val="single" w:sz="4" w:space="0" w:color="auto"/>
            </w:tcBorders>
          </w:tcPr>
          <w:p w14:paraId="5270545F" w14:textId="77777777" w:rsidR="00714F5D" w:rsidRPr="0029564F" w:rsidRDefault="00714F5D" w:rsidP="00714F5D">
            <w:pPr>
              <w:spacing w:after="60"/>
              <w:jc w:val="center"/>
              <w:rPr>
                <w:rFonts w:ascii="Calibri" w:hAnsi="Calibri" w:cs="Times New Roman"/>
                <w:sz w:val="20"/>
                <w:szCs w:val="20"/>
              </w:rPr>
            </w:pPr>
            <w:r w:rsidRPr="0029564F">
              <w:rPr>
                <w:rFonts w:ascii="Calibri" w:hAnsi="Calibri" w:cs="Times New Roman"/>
                <w:sz w:val="20"/>
                <w:szCs w:val="20"/>
              </w:rPr>
              <w:t xml:space="preserve">Very low </w:t>
            </w:r>
          </w:p>
          <w:p w14:paraId="3F1750AE" w14:textId="77777777" w:rsidR="00842818" w:rsidRDefault="00714F5D" w:rsidP="00714F5D">
            <w:pPr>
              <w:spacing w:after="60"/>
              <w:jc w:val="center"/>
              <w:rPr>
                <w:rFonts w:ascii="Calibri" w:hAnsi="Calibri"/>
                <w:sz w:val="20"/>
                <w:szCs w:val="20"/>
              </w:rPr>
            </w:pPr>
            <w:r w:rsidRPr="0029564F">
              <w:rPr>
                <w:rFonts w:ascii="Calibri" w:hAnsi="Calibri"/>
                <w:sz w:val="20"/>
                <w:szCs w:val="20"/>
              </w:rPr>
              <w:t xml:space="preserve"> ●◌◌◌</w:t>
            </w:r>
          </w:p>
          <w:p w14:paraId="110B89BC" w14:textId="43FB73A8" w:rsidR="00494065" w:rsidRPr="0029564F" w:rsidRDefault="00494065" w:rsidP="002D5EAA">
            <w:pPr>
              <w:spacing w:after="60"/>
              <w:jc w:val="center"/>
              <w:rPr>
                <w:rFonts w:ascii="Calibri" w:hAnsi="Calibri" w:cs="Times New Roman"/>
                <w:sz w:val="20"/>
                <w:szCs w:val="20"/>
              </w:rPr>
            </w:pPr>
          </w:p>
        </w:tc>
      </w:tr>
      <w:tr w:rsidR="00494065" w:rsidRPr="009D1392" w14:paraId="2311A3A0" w14:textId="77777777" w:rsidTr="002D5EAA">
        <w:tc>
          <w:tcPr>
            <w:tcW w:w="5000" w:type="pct"/>
            <w:gridSpan w:val="9"/>
            <w:tcBorders>
              <w:top w:val="single" w:sz="4" w:space="0" w:color="auto"/>
              <w:left w:val="single" w:sz="4" w:space="0" w:color="auto"/>
              <w:bottom w:val="single" w:sz="4" w:space="0" w:color="auto"/>
              <w:right w:val="single" w:sz="4" w:space="0" w:color="auto"/>
            </w:tcBorders>
            <w:shd w:val="clear" w:color="auto" w:fill="CFDDED"/>
            <w:hideMark/>
          </w:tcPr>
          <w:p w14:paraId="286AC4EE"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Mortality</w:t>
            </w:r>
          </w:p>
        </w:tc>
      </w:tr>
      <w:tr w:rsidR="00494065" w:rsidRPr="009D1392" w14:paraId="2BB12AFF" w14:textId="77777777" w:rsidTr="002D5EAA">
        <w:trPr>
          <w:gridAfter w:val="1"/>
          <w:wAfter w:w="5" w:type="pct"/>
        </w:trPr>
        <w:tc>
          <w:tcPr>
            <w:tcW w:w="506" w:type="pct"/>
            <w:tcBorders>
              <w:top w:val="single" w:sz="4" w:space="0" w:color="auto"/>
              <w:left w:val="single" w:sz="4" w:space="0" w:color="auto"/>
              <w:bottom w:val="single" w:sz="4" w:space="0" w:color="auto"/>
              <w:right w:val="single" w:sz="4" w:space="0" w:color="auto"/>
            </w:tcBorders>
          </w:tcPr>
          <w:p w14:paraId="76BEEE57"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57" w:type="pct"/>
            <w:tcBorders>
              <w:top w:val="single" w:sz="4" w:space="0" w:color="auto"/>
              <w:left w:val="single" w:sz="4" w:space="0" w:color="auto"/>
              <w:bottom w:val="single" w:sz="4" w:space="0" w:color="auto"/>
              <w:right w:val="single" w:sz="4" w:space="0" w:color="auto"/>
            </w:tcBorders>
          </w:tcPr>
          <w:p w14:paraId="15CA68CF" w14:textId="77777777" w:rsidR="00494065" w:rsidRPr="0029564F" w:rsidRDefault="00494065" w:rsidP="002D5EAA">
            <w:pPr>
              <w:spacing w:after="60"/>
              <w:rPr>
                <w:rFonts w:ascii="Calibri" w:hAnsi="Calibri"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tcPr>
          <w:p w14:paraId="11238194" w14:textId="77777777" w:rsidR="00494065" w:rsidRPr="0029564F" w:rsidRDefault="00494065" w:rsidP="002D5EAA">
            <w:pPr>
              <w:spacing w:after="60"/>
              <w:jc w:val="center"/>
              <w:rPr>
                <w:rFonts w:ascii="Calibri" w:hAnsi="Calibri" w:cs="Times New Roman"/>
                <w:sz w:val="20"/>
                <w:szCs w:val="20"/>
              </w:rPr>
            </w:pPr>
          </w:p>
        </w:tc>
        <w:tc>
          <w:tcPr>
            <w:tcW w:w="767" w:type="pct"/>
            <w:tcBorders>
              <w:top w:val="single" w:sz="4" w:space="0" w:color="auto"/>
              <w:left w:val="single" w:sz="4" w:space="0" w:color="auto"/>
              <w:bottom w:val="single" w:sz="4" w:space="0" w:color="auto"/>
              <w:right w:val="single" w:sz="4" w:space="0" w:color="auto"/>
            </w:tcBorders>
          </w:tcPr>
          <w:p w14:paraId="1A2EBCF8" w14:textId="77777777" w:rsidR="00494065" w:rsidRPr="0029564F" w:rsidRDefault="00494065" w:rsidP="002D5EAA">
            <w:pPr>
              <w:spacing w:after="60"/>
              <w:jc w:val="center"/>
              <w:rPr>
                <w:rFonts w:ascii="Calibri" w:hAnsi="Calibri"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14:paraId="0E144466" w14:textId="77777777" w:rsidR="00494065" w:rsidRPr="0029564F" w:rsidRDefault="00494065" w:rsidP="002D5EAA">
            <w:pPr>
              <w:spacing w:after="60"/>
              <w:jc w:val="center"/>
              <w:rPr>
                <w:rFonts w:ascii="Calibri" w:hAnsi="Calibri" w:cs="Times New Roman"/>
                <w:sz w:val="20"/>
                <w:szCs w:val="20"/>
              </w:rPr>
            </w:pPr>
          </w:p>
        </w:tc>
        <w:tc>
          <w:tcPr>
            <w:tcW w:w="679" w:type="pct"/>
            <w:tcBorders>
              <w:top w:val="single" w:sz="4" w:space="0" w:color="auto"/>
              <w:left w:val="single" w:sz="4" w:space="0" w:color="auto"/>
              <w:bottom w:val="single" w:sz="4" w:space="0" w:color="auto"/>
              <w:right w:val="single" w:sz="4" w:space="0" w:color="auto"/>
            </w:tcBorders>
          </w:tcPr>
          <w:p w14:paraId="3A90A96A" w14:textId="77777777" w:rsidR="00494065" w:rsidRPr="0029564F" w:rsidRDefault="00494065" w:rsidP="002D5EAA">
            <w:pPr>
              <w:tabs>
                <w:tab w:val="left" w:pos="385"/>
                <w:tab w:val="center" w:pos="534"/>
              </w:tabs>
              <w:spacing w:after="60"/>
              <w:rPr>
                <w:rFonts w:ascii="Calibri" w:hAnsi="Calibri" w:cs="Times New Roman"/>
                <w:sz w:val="20"/>
                <w:szCs w:val="20"/>
              </w:rPr>
            </w:pPr>
            <w:r w:rsidRPr="0029564F">
              <w:rPr>
                <w:rFonts w:ascii="Calibri" w:hAnsi="Calibri" w:cs="Times New Roman"/>
                <w:sz w:val="20"/>
                <w:szCs w:val="20"/>
              </w:rPr>
              <w:tab/>
              <w:t xml:space="preserve"> </w:t>
            </w:r>
          </w:p>
        </w:tc>
        <w:tc>
          <w:tcPr>
            <w:tcW w:w="528" w:type="pct"/>
            <w:tcBorders>
              <w:top w:val="single" w:sz="4" w:space="0" w:color="auto"/>
              <w:left w:val="single" w:sz="4" w:space="0" w:color="auto"/>
              <w:bottom w:val="single" w:sz="4" w:space="0" w:color="auto"/>
              <w:right w:val="single" w:sz="4" w:space="0" w:color="auto"/>
            </w:tcBorders>
          </w:tcPr>
          <w:p w14:paraId="5AC00F5D" w14:textId="77777777" w:rsidR="00494065" w:rsidRPr="0029564F" w:rsidRDefault="00494065" w:rsidP="002D5EAA">
            <w:pPr>
              <w:spacing w:after="60"/>
              <w:jc w:val="center"/>
              <w:rPr>
                <w:rFonts w:ascii="Calibri" w:hAnsi="Calibri" w:cs="Times New Roman"/>
                <w:sz w:val="20"/>
                <w:szCs w:val="20"/>
              </w:rPr>
            </w:pPr>
          </w:p>
        </w:tc>
        <w:tc>
          <w:tcPr>
            <w:tcW w:w="797" w:type="pct"/>
            <w:tcBorders>
              <w:top w:val="single" w:sz="4" w:space="0" w:color="auto"/>
              <w:left w:val="single" w:sz="4" w:space="0" w:color="auto"/>
              <w:bottom w:val="single" w:sz="4" w:space="0" w:color="auto"/>
              <w:right w:val="single" w:sz="4" w:space="0" w:color="auto"/>
            </w:tcBorders>
          </w:tcPr>
          <w:p w14:paraId="151A440C" w14:textId="77777777" w:rsidR="00494065" w:rsidRPr="0029564F" w:rsidRDefault="00494065" w:rsidP="002D5EAA">
            <w:pPr>
              <w:spacing w:after="60"/>
              <w:jc w:val="center"/>
              <w:rPr>
                <w:rFonts w:ascii="Calibri" w:hAnsi="Calibri" w:cs="Times New Roman"/>
                <w:sz w:val="20"/>
                <w:szCs w:val="20"/>
              </w:rPr>
            </w:pPr>
          </w:p>
        </w:tc>
      </w:tr>
      <w:tr w:rsidR="00494065" w:rsidRPr="009D1392" w14:paraId="7D706ECC" w14:textId="77777777" w:rsidTr="002D5EAA">
        <w:tc>
          <w:tcPr>
            <w:tcW w:w="5000" w:type="pct"/>
            <w:gridSpan w:val="9"/>
            <w:tcBorders>
              <w:top w:val="single" w:sz="4" w:space="0" w:color="auto"/>
              <w:left w:val="single" w:sz="4" w:space="0" w:color="auto"/>
              <w:bottom w:val="single" w:sz="4" w:space="0" w:color="auto"/>
              <w:right w:val="single" w:sz="4" w:space="0" w:color="auto"/>
            </w:tcBorders>
            <w:shd w:val="clear" w:color="auto" w:fill="CFDDED"/>
            <w:hideMark/>
          </w:tcPr>
          <w:p w14:paraId="46CB39AD"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Pulmonary Exacerbations Requiring Antibiotics</w:t>
            </w:r>
          </w:p>
        </w:tc>
      </w:tr>
      <w:tr w:rsidR="00494065" w:rsidRPr="009D1392" w14:paraId="1EAD83E6" w14:textId="77777777" w:rsidTr="002D5EAA">
        <w:trPr>
          <w:gridAfter w:val="1"/>
          <w:wAfter w:w="5" w:type="pct"/>
        </w:trPr>
        <w:tc>
          <w:tcPr>
            <w:tcW w:w="506" w:type="pct"/>
            <w:tcBorders>
              <w:top w:val="single" w:sz="4" w:space="0" w:color="auto"/>
              <w:left w:val="single" w:sz="4" w:space="0" w:color="auto"/>
              <w:bottom w:val="single" w:sz="4" w:space="0" w:color="auto"/>
              <w:right w:val="single" w:sz="4" w:space="0" w:color="auto"/>
            </w:tcBorders>
          </w:tcPr>
          <w:p w14:paraId="5D5776DA" w14:textId="77777777" w:rsidR="00494065" w:rsidRPr="0029564F" w:rsidRDefault="00494065" w:rsidP="002D5EAA">
            <w:pPr>
              <w:spacing w:after="0"/>
              <w:rPr>
                <w:rFonts w:ascii="Calibri" w:hAnsi="Calibri" w:cs="Times New Roman"/>
                <w:sz w:val="20"/>
                <w:szCs w:val="20"/>
              </w:rPr>
            </w:pPr>
            <w:r w:rsidRPr="0029564F">
              <w:rPr>
                <w:rFonts w:ascii="Calibri" w:hAnsi="Calibri" w:cs="Times New Roman"/>
                <w:sz w:val="20"/>
                <w:szCs w:val="20"/>
              </w:rPr>
              <w:t>3</w:t>
            </w:r>
          </w:p>
        </w:tc>
        <w:tc>
          <w:tcPr>
            <w:tcW w:w="557" w:type="pct"/>
            <w:tcBorders>
              <w:top w:val="single" w:sz="4" w:space="0" w:color="auto"/>
              <w:left w:val="single" w:sz="4" w:space="0" w:color="auto"/>
              <w:bottom w:val="single" w:sz="4" w:space="0" w:color="auto"/>
              <w:right w:val="single" w:sz="4" w:space="0" w:color="auto"/>
            </w:tcBorders>
          </w:tcPr>
          <w:p w14:paraId="7F777503" w14:textId="621502FB"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RCT</w:t>
            </w:r>
            <w:r w:rsidR="00C049B2">
              <w:rPr>
                <w:rFonts w:ascii="Calibri" w:hAnsi="Calibri" w:cs="Times New Roman"/>
                <w:sz w:val="20"/>
                <w:szCs w:val="20"/>
              </w:rPr>
              <w:t>s</w:t>
            </w:r>
          </w:p>
        </w:tc>
        <w:tc>
          <w:tcPr>
            <w:tcW w:w="461" w:type="pct"/>
            <w:tcBorders>
              <w:top w:val="single" w:sz="4" w:space="0" w:color="auto"/>
              <w:left w:val="single" w:sz="4" w:space="0" w:color="auto"/>
              <w:bottom w:val="single" w:sz="4" w:space="0" w:color="auto"/>
              <w:right w:val="single" w:sz="4" w:space="0" w:color="auto"/>
            </w:tcBorders>
          </w:tcPr>
          <w:p w14:paraId="24D102E8"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767" w:type="pct"/>
            <w:tcBorders>
              <w:top w:val="single" w:sz="4" w:space="0" w:color="auto"/>
              <w:left w:val="single" w:sz="4" w:space="0" w:color="auto"/>
              <w:bottom w:val="single" w:sz="4" w:space="0" w:color="auto"/>
              <w:right w:val="single" w:sz="4" w:space="0" w:color="auto"/>
            </w:tcBorders>
          </w:tcPr>
          <w:p w14:paraId="016939DA"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Not serious</w:t>
            </w:r>
          </w:p>
        </w:tc>
        <w:tc>
          <w:tcPr>
            <w:tcW w:w="701" w:type="pct"/>
            <w:tcBorders>
              <w:top w:val="single" w:sz="4" w:space="0" w:color="auto"/>
              <w:left w:val="single" w:sz="4" w:space="0" w:color="auto"/>
              <w:bottom w:val="single" w:sz="4" w:space="0" w:color="auto"/>
              <w:right w:val="single" w:sz="4" w:space="0" w:color="auto"/>
            </w:tcBorders>
          </w:tcPr>
          <w:p w14:paraId="3CDD232F"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679" w:type="pct"/>
            <w:tcBorders>
              <w:top w:val="single" w:sz="4" w:space="0" w:color="auto"/>
              <w:left w:val="single" w:sz="4" w:space="0" w:color="auto"/>
              <w:bottom w:val="single" w:sz="4" w:space="0" w:color="auto"/>
              <w:right w:val="single" w:sz="4" w:space="0" w:color="auto"/>
            </w:tcBorders>
          </w:tcPr>
          <w:p w14:paraId="0A9B8464"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528" w:type="pct"/>
            <w:tcBorders>
              <w:top w:val="single" w:sz="4" w:space="0" w:color="auto"/>
              <w:left w:val="single" w:sz="4" w:space="0" w:color="auto"/>
              <w:bottom w:val="single" w:sz="4" w:space="0" w:color="auto"/>
              <w:right w:val="single" w:sz="4" w:space="0" w:color="auto"/>
            </w:tcBorders>
          </w:tcPr>
          <w:p w14:paraId="0B32A5C1"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Small samples, short follow-up</w:t>
            </w:r>
          </w:p>
        </w:tc>
        <w:tc>
          <w:tcPr>
            <w:tcW w:w="797" w:type="pct"/>
            <w:tcBorders>
              <w:top w:val="single" w:sz="4" w:space="0" w:color="auto"/>
              <w:left w:val="single" w:sz="4" w:space="0" w:color="auto"/>
              <w:bottom w:val="single" w:sz="4" w:space="0" w:color="auto"/>
              <w:right w:val="single" w:sz="4" w:space="0" w:color="auto"/>
            </w:tcBorders>
          </w:tcPr>
          <w:p w14:paraId="310DA426"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 xml:space="preserve">Very low </w:t>
            </w:r>
          </w:p>
          <w:p w14:paraId="735F00C5"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sz w:val="20"/>
                <w:szCs w:val="20"/>
              </w:rPr>
              <w:t xml:space="preserve"> ●◌◌◌</w:t>
            </w:r>
          </w:p>
        </w:tc>
      </w:tr>
      <w:tr w:rsidR="00494065" w:rsidRPr="009D1392" w14:paraId="69F56E06" w14:textId="77777777" w:rsidTr="002D5EAA">
        <w:tc>
          <w:tcPr>
            <w:tcW w:w="5000" w:type="pct"/>
            <w:gridSpan w:val="9"/>
            <w:tcBorders>
              <w:top w:val="single" w:sz="4" w:space="0" w:color="auto"/>
              <w:left w:val="single" w:sz="4" w:space="0" w:color="auto"/>
              <w:bottom w:val="single" w:sz="4" w:space="0" w:color="auto"/>
              <w:right w:val="single" w:sz="4" w:space="0" w:color="auto"/>
            </w:tcBorders>
            <w:shd w:val="clear" w:color="auto" w:fill="CFDDED"/>
            <w:hideMark/>
          </w:tcPr>
          <w:p w14:paraId="01A9CBA0" w14:textId="77777777" w:rsidR="00494065" w:rsidRPr="0029564F" w:rsidRDefault="00494065" w:rsidP="002D5EAA">
            <w:pPr>
              <w:spacing w:after="0"/>
              <w:rPr>
                <w:rFonts w:ascii="Calibri" w:hAnsi="Calibri" w:cs="Times New Roman"/>
                <w:b/>
                <w:sz w:val="20"/>
                <w:szCs w:val="20"/>
              </w:rPr>
            </w:pPr>
            <w:r w:rsidRPr="0029564F">
              <w:rPr>
                <w:rFonts w:ascii="Calibri" w:hAnsi="Calibri" w:cs="Times New Roman"/>
                <w:b/>
                <w:sz w:val="20"/>
                <w:szCs w:val="20"/>
              </w:rPr>
              <w:t>Exercise Capacity</w:t>
            </w:r>
          </w:p>
        </w:tc>
      </w:tr>
      <w:tr w:rsidR="00494065" w:rsidRPr="009D1392" w14:paraId="7F82BC07" w14:textId="77777777" w:rsidTr="002D5EAA">
        <w:trPr>
          <w:gridAfter w:val="1"/>
          <w:wAfter w:w="5" w:type="pct"/>
        </w:trPr>
        <w:tc>
          <w:tcPr>
            <w:tcW w:w="506" w:type="pct"/>
            <w:tcBorders>
              <w:top w:val="single" w:sz="4" w:space="0" w:color="auto"/>
              <w:left w:val="single" w:sz="4" w:space="0" w:color="auto"/>
              <w:bottom w:val="single" w:sz="4" w:space="0" w:color="auto"/>
              <w:right w:val="single" w:sz="4" w:space="0" w:color="auto"/>
            </w:tcBorders>
          </w:tcPr>
          <w:p w14:paraId="078ABF2A"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57" w:type="pct"/>
            <w:tcBorders>
              <w:top w:val="single" w:sz="4" w:space="0" w:color="auto"/>
              <w:left w:val="single" w:sz="4" w:space="0" w:color="auto"/>
              <w:bottom w:val="single" w:sz="4" w:space="0" w:color="auto"/>
              <w:right w:val="single" w:sz="4" w:space="0" w:color="auto"/>
            </w:tcBorders>
          </w:tcPr>
          <w:p w14:paraId="70D46B2C" w14:textId="77777777" w:rsidR="00494065" w:rsidRPr="0029564F" w:rsidRDefault="00494065" w:rsidP="002D5EAA">
            <w:pPr>
              <w:spacing w:after="60"/>
              <w:rPr>
                <w:rFonts w:ascii="Calibri" w:hAnsi="Calibri"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tcPr>
          <w:p w14:paraId="20206AAD" w14:textId="77777777" w:rsidR="00494065" w:rsidRPr="0029564F" w:rsidRDefault="00494065" w:rsidP="002D5EAA">
            <w:pPr>
              <w:spacing w:after="60"/>
              <w:jc w:val="center"/>
              <w:rPr>
                <w:rFonts w:ascii="Calibri" w:hAnsi="Calibri" w:cs="Times New Roman"/>
                <w:sz w:val="20"/>
                <w:szCs w:val="20"/>
              </w:rPr>
            </w:pPr>
          </w:p>
        </w:tc>
        <w:tc>
          <w:tcPr>
            <w:tcW w:w="767" w:type="pct"/>
            <w:tcBorders>
              <w:top w:val="single" w:sz="4" w:space="0" w:color="auto"/>
              <w:left w:val="single" w:sz="4" w:space="0" w:color="auto"/>
              <w:bottom w:val="single" w:sz="4" w:space="0" w:color="auto"/>
              <w:right w:val="single" w:sz="4" w:space="0" w:color="auto"/>
            </w:tcBorders>
          </w:tcPr>
          <w:p w14:paraId="16A933B6" w14:textId="77777777" w:rsidR="00494065" w:rsidRPr="0029564F" w:rsidRDefault="00494065" w:rsidP="002D5EAA">
            <w:pPr>
              <w:spacing w:after="60"/>
              <w:jc w:val="center"/>
              <w:rPr>
                <w:rFonts w:ascii="Calibri" w:hAnsi="Calibri"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14:paraId="74317DD1" w14:textId="77777777" w:rsidR="00494065" w:rsidRPr="0029564F" w:rsidRDefault="00494065" w:rsidP="002D5EAA">
            <w:pPr>
              <w:spacing w:after="60"/>
              <w:jc w:val="center"/>
              <w:rPr>
                <w:rFonts w:ascii="Calibri" w:hAnsi="Calibri" w:cs="Times New Roman"/>
                <w:sz w:val="20"/>
                <w:szCs w:val="20"/>
              </w:rPr>
            </w:pPr>
          </w:p>
        </w:tc>
        <w:tc>
          <w:tcPr>
            <w:tcW w:w="679" w:type="pct"/>
            <w:tcBorders>
              <w:top w:val="single" w:sz="4" w:space="0" w:color="auto"/>
              <w:left w:val="single" w:sz="4" w:space="0" w:color="auto"/>
              <w:bottom w:val="single" w:sz="4" w:space="0" w:color="auto"/>
              <w:right w:val="single" w:sz="4" w:space="0" w:color="auto"/>
            </w:tcBorders>
          </w:tcPr>
          <w:p w14:paraId="29B4BDAD" w14:textId="77777777" w:rsidR="00494065" w:rsidRPr="0029564F" w:rsidRDefault="00494065" w:rsidP="002D5EAA">
            <w:pPr>
              <w:spacing w:after="60"/>
              <w:jc w:val="center"/>
              <w:rPr>
                <w:rFonts w:ascii="Calibri" w:hAnsi="Calibri"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tcPr>
          <w:p w14:paraId="15DD6E57" w14:textId="77777777" w:rsidR="00494065" w:rsidRPr="0029564F" w:rsidRDefault="00494065" w:rsidP="002D5EAA">
            <w:pPr>
              <w:spacing w:after="60"/>
              <w:jc w:val="center"/>
              <w:rPr>
                <w:rFonts w:ascii="Calibri" w:hAnsi="Calibri" w:cs="Times New Roman"/>
                <w:sz w:val="20"/>
                <w:szCs w:val="20"/>
              </w:rPr>
            </w:pPr>
          </w:p>
        </w:tc>
        <w:tc>
          <w:tcPr>
            <w:tcW w:w="797" w:type="pct"/>
            <w:tcBorders>
              <w:top w:val="single" w:sz="4" w:space="0" w:color="auto"/>
              <w:left w:val="single" w:sz="4" w:space="0" w:color="auto"/>
              <w:bottom w:val="single" w:sz="4" w:space="0" w:color="auto"/>
              <w:right w:val="single" w:sz="4" w:space="0" w:color="auto"/>
            </w:tcBorders>
          </w:tcPr>
          <w:p w14:paraId="6ADEC6EF" w14:textId="77777777" w:rsidR="00494065" w:rsidRPr="0029564F" w:rsidRDefault="00494065" w:rsidP="002D5EAA">
            <w:pPr>
              <w:spacing w:after="60"/>
              <w:jc w:val="center"/>
              <w:rPr>
                <w:rFonts w:ascii="Calibri" w:hAnsi="Calibri" w:cs="Times New Roman"/>
                <w:sz w:val="20"/>
                <w:szCs w:val="20"/>
              </w:rPr>
            </w:pPr>
          </w:p>
        </w:tc>
      </w:tr>
      <w:tr w:rsidR="00494065" w:rsidRPr="009D1392" w14:paraId="68C008B0" w14:textId="77777777" w:rsidTr="002D5EAA">
        <w:tc>
          <w:tcPr>
            <w:tcW w:w="5000" w:type="pct"/>
            <w:gridSpan w:val="9"/>
            <w:tcBorders>
              <w:top w:val="single" w:sz="4" w:space="0" w:color="auto"/>
              <w:left w:val="single" w:sz="4" w:space="0" w:color="auto"/>
              <w:bottom w:val="single" w:sz="4" w:space="0" w:color="auto"/>
              <w:right w:val="single" w:sz="4" w:space="0" w:color="auto"/>
            </w:tcBorders>
            <w:shd w:val="clear" w:color="auto" w:fill="CFDDED"/>
            <w:hideMark/>
          </w:tcPr>
          <w:p w14:paraId="55744676"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Breathlessness or Cough</w:t>
            </w:r>
          </w:p>
        </w:tc>
      </w:tr>
      <w:tr w:rsidR="00494065" w:rsidRPr="009D1392" w14:paraId="5AEBF527" w14:textId="77777777" w:rsidTr="002D5EAA">
        <w:trPr>
          <w:gridAfter w:val="1"/>
          <w:wAfter w:w="5" w:type="pct"/>
        </w:trPr>
        <w:tc>
          <w:tcPr>
            <w:tcW w:w="506" w:type="pct"/>
            <w:tcBorders>
              <w:top w:val="single" w:sz="4" w:space="0" w:color="auto"/>
              <w:left w:val="single" w:sz="4" w:space="0" w:color="auto"/>
              <w:bottom w:val="single" w:sz="4" w:space="0" w:color="auto"/>
              <w:right w:val="single" w:sz="4" w:space="0" w:color="auto"/>
            </w:tcBorders>
          </w:tcPr>
          <w:p w14:paraId="2A1A3064"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57" w:type="pct"/>
            <w:tcBorders>
              <w:top w:val="single" w:sz="4" w:space="0" w:color="auto"/>
              <w:left w:val="single" w:sz="4" w:space="0" w:color="auto"/>
              <w:bottom w:val="single" w:sz="4" w:space="0" w:color="auto"/>
              <w:right w:val="single" w:sz="4" w:space="0" w:color="auto"/>
            </w:tcBorders>
          </w:tcPr>
          <w:p w14:paraId="49BF27BF" w14:textId="77777777" w:rsidR="00494065" w:rsidRPr="0029564F" w:rsidRDefault="00494065" w:rsidP="002D5EAA">
            <w:pPr>
              <w:spacing w:after="60"/>
              <w:rPr>
                <w:rFonts w:ascii="Calibri" w:hAnsi="Calibri" w:cs="Times New Roman"/>
                <w:sz w:val="20"/>
                <w:szCs w:val="20"/>
              </w:rPr>
            </w:pPr>
          </w:p>
        </w:tc>
        <w:tc>
          <w:tcPr>
            <w:tcW w:w="461" w:type="pct"/>
            <w:tcBorders>
              <w:top w:val="single" w:sz="4" w:space="0" w:color="auto"/>
              <w:left w:val="single" w:sz="4" w:space="0" w:color="auto"/>
              <w:bottom w:val="single" w:sz="4" w:space="0" w:color="auto"/>
              <w:right w:val="single" w:sz="4" w:space="0" w:color="auto"/>
            </w:tcBorders>
          </w:tcPr>
          <w:p w14:paraId="4564A5CD" w14:textId="77777777" w:rsidR="00494065" w:rsidRPr="0029564F" w:rsidRDefault="00494065" w:rsidP="002D5EAA">
            <w:pPr>
              <w:spacing w:after="60"/>
              <w:jc w:val="center"/>
              <w:rPr>
                <w:rFonts w:ascii="Calibri" w:hAnsi="Calibri" w:cs="Times New Roman"/>
                <w:sz w:val="20"/>
                <w:szCs w:val="20"/>
              </w:rPr>
            </w:pPr>
          </w:p>
        </w:tc>
        <w:tc>
          <w:tcPr>
            <w:tcW w:w="767" w:type="pct"/>
            <w:tcBorders>
              <w:top w:val="single" w:sz="4" w:space="0" w:color="auto"/>
              <w:left w:val="single" w:sz="4" w:space="0" w:color="auto"/>
              <w:bottom w:val="single" w:sz="4" w:space="0" w:color="auto"/>
              <w:right w:val="single" w:sz="4" w:space="0" w:color="auto"/>
            </w:tcBorders>
          </w:tcPr>
          <w:p w14:paraId="41397407" w14:textId="77777777" w:rsidR="00494065" w:rsidRPr="0029564F" w:rsidRDefault="00494065" w:rsidP="002D5EAA">
            <w:pPr>
              <w:spacing w:after="60"/>
              <w:jc w:val="center"/>
              <w:rPr>
                <w:rFonts w:ascii="Calibri" w:hAnsi="Calibri" w:cs="Times New Roman"/>
                <w:sz w:val="20"/>
                <w:szCs w:val="20"/>
              </w:rPr>
            </w:pPr>
          </w:p>
        </w:tc>
        <w:tc>
          <w:tcPr>
            <w:tcW w:w="701" w:type="pct"/>
            <w:tcBorders>
              <w:top w:val="single" w:sz="4" w:space="0" w:color="auto"/>
              <w:left w:val="single" w:sz="4" w:space="0" w:color="auto"/>
              <w:bottom w:val="single" w:sz="4" w:space="0" w:color="auto"/>
              <w:right w:val="single" w:sz="4" w:space="0" w:color="auto"/>
            </w:tcBorders>
          </w:tcPr>
          <w:p w14:paraId="5425001E" w14:textId="77777777" w:rsidR="00494065" w:rsidRPr="0029564F" w:rsidRDefault="00494065" w:rsidP="002D5EAA">
            <w:pPr>
              <w:spacing w:after="60"/>
              <w:jc w:val="center"/>
              <w:rPr>
                <w:rFonts w:ascii="Calibri" w:hAnsi="Calibri" w:cs="Times New Roman"/>
                <w:sz w:val="20"/>
                <w:szCs w:val="20"/>
              </w:rPr>
            </w:pPr>
          </w:p>
        </w:tc>
        <w:tc>
          <w:tcPr>
            <w:tcW w:w="679" w:type="pct"/>
            <w:tcBorders>
              <w:top w:val="single" w:sz="4" w:space="0" w:color="auto"/>
              <w:left w:val="single" w:sz="4" w:space="0" w:color="auto"/>
              <w:bottom w:val="single" w:sz="4" w:space="0" w:color="auto"/>
              <w:right w:val="single" w:sz="4" w:space="0" w:color="auto"/>
            </w:tcBorders>
          </w:tcPr>
          <w:p w14:paraId="2A8254FE" w14:textId="77777777" w:rsidR="00494065" w:rsidRPr="0029564F" w:rsidRDefault="00494065" w:rsidP="002D5EAA">
            <w:pPr>
              <w:spacing w:after="60"/>
              <w:jc w:val="center"/>
              <w:rPr>
                <w:rFonts w:ascii="Calibri" w:hAnsi="Calibri" w:cs="Times New Roman"/>
                <w:sz w:val="20"/>
                <w:szCs w:val="20"/>
              </w:rPr>
            </w:pPr>
          </w:p>
        </w:tc>
        <w:tc>
          <w:tcPr>
            <w:tcW w:w="528" w:type="pct"/>
            <w:tcBorders>
              <w:top w:val="single" w:sz="4" w:space="0" w:color="auto"/>
              <w:left w:val="single" w:sz="4" w:space="0" w:color="auto"/>
              <w:bottom w:val="single" w:sz="4" w:space="0" w:color="auto"/>
              <w:right w:val="single" w:sz="4" w:space="0" w:color="auto"/>
            </w:tcBorders>
          </w:tcPr>
          <w:p w14:paraId="650362CC" w14:textId="77777777" w:rsidR="00494065" w:rsidRPr="0029564F" w:rsidRDefault="00494065" w:rsidP="002D5EAA">
            <w:pPr>
              <w:spacing w:after="60"/>
              <w:jc w:val="center"/>
              <w:rPr>
                <w:rFonts w:ascii="Calibri" w:hAnsi="Calibri" w:cs="Times New Roman"/>
                <w:sz w:val="20"/>
                <w:szCs w:val="20"/>
              </w:rPr>
            </w:pPr>
          </w:p>
        </w:tc>
        <w:tc>
          <w:tcPr>
            <w:tcW w:w="797" w:type="pct"/>
            <w:tcBorders>
              <w:top w:val="single" w:sz="4" w:space="0" w:color="auto"/>
              <w:left w:val="single" w:sz="4" w:space="0" w:color="auto"/>
              <w:bottom w:val="single" w:sz="4" w:space="0" w:color="auto"/>
              <w:right w:val="single" w:sz="4" w:space="0" w:color="auto"/>
            </w:tcBorders>
          </w:tcPr>
          <w:p w14:paraId="4DF213BC" w14:textId="77777777" w:rsidR="00494065" w:rsidRPr="0029564F" w:rsidRDefault="00494065" w:rsidP="002D5EAA">
            <w:pPr>
              <w:spacing w:after="60"/>
              <w:jc w:val="center"/>
              <w:rPr>
                <w:rFonts w:ascii="Calibri" w:hAnsi="Calibri" w:cs="Times New Roman"/>
                <w:sz w:val="20"/>
                <w:szCs w:val="20"/>
              </w:rPr>
            </w:pPr>
          </w:p>
        </w:tc>
      </w:tr>
    </w:tbl>
    <w:p w14:paraId="2928BB8D" w14:textId="77777777" w:rsidR="00494065" w:rsidRDefault="00494065" w:rsidP="002D5EAA">
      <w:pPr>
        <w:pStyle w:val="H1NoBK"/>
      </w:pPr>
      <w:bookmarkStart w:id="61" w:name="_Toc72335285"/>
      <w:bookmarkStart w:id="62" w:name="_Toc87358455"/>
      <w:r w:rsidRPr="009D1392">
        <w:t>Appendix B. GRADE Evidence Profile</w:t>
      </w:r>
      <w:bookmarkEnd w:id="61"/>
      <w:bookmarkEnd w:id="62"/>
    </w:p>
    <w:p w14:paraId="1AAFD6A8" w14:textId="7561FB42" w:rsidR="00494065" w:rsidRDefault="00E2368B" w:rsidP="0029564F">
      <w:pPr>
        <w:spacing w:before="40" w:after="240" w:line="240" w:lineRule="auto"/>
      </w:pPr>
      <w:r w:rsidRPr="0029564F">
        <w:rPr>
          <w:sz w:val="20"/>
          <w:szCs w:val="20"/>
        </w:rPr>
        <w:t>Abbreviation. RCT: randomized controlled trial.</w:t>
      </w:r>
      <w:r w:rsidR="00494065" w:rsidRPr="0029564F">
        <w:br w:type="page"/>
      </w:r>
    </w:p>
    <w:tbl>
      <w:tblPr>
        <w:tblW w:w="5000" w:type="pct"/>
        <w:tblLook w:val="04A0" w:firstRow="1" w:lastRow="0" w:firstColumn="1" w:lastColumn="0" w:noHBand="0" w:noVBand="1"/>
      </w:tblPr>
      <w:tblGrid>
        <w:gridCol w:w="884"/>
        <w:gridCol w:w="1085"/>
        <w:gridCol w:w="1027"/>
        <w:gridCol w:w="1451"/>
        <w:gridCol w:w="1328"/>
        <w:gridCol w:w="1285"/>
        <w:gridCol w:w="1015"/>
        <w:gridCol w:w="1275"/>
      </w:tblGrid>
      <w:tr w:rsidR="00494065" w:rsidRPr="009D1392" w14:paraId="0A7401C2" w14:textId="77777777" w:rsidTr="0029564F">
        <w:trPr>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275C9D"/>
            <w:vAlign w:val="center"/>
            <w:hideMark/>
          </w:tcPr>
          <w:p w14:paraId="66CABAFA" w14:textId="77777777" w:rsidR="00494065" w:rsidRPr="0029564F" w:rsidRDefault="00494065" w:rsidP="002D5EAA">
            <w:pPr>
              <w:spacing w:after="60" w:line="276" w:lineRule="auto"/>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lastRenderedPageBreak/>
              <w:t>Certainty Assessment (Confidence in Estimate of Effect) for Bronchiectasis</w:t>
            </w:r>
          </w:p>
        </w:tc>
      </w:tr>
      <w:tr w:rsidR="00494065" w:rsidRPr="009D1392" w14:paraId="159BD27E" w14:textId="77777777" w:rsidTr="0029564F">
        <w:trPr>
          <w:tblHeader/>
        </w:trPr>
        <w:tc>
          <w:tcPr>
            <w:tcW w:w="473"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1F742966"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No. of Studies</w:t>
            </w:r>
          </w:p>
        </w:tc>
        <w:tc>
          <w:tcPr>
            <w:tcW w:w="580"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4664F131"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Study Design(s)</w:t>
            </w:r>
          </w:p>
        </w:tc>
        <w:tc>
          <w:tcPr>
            <w:tcW w:w="549"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2985B50D"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Risk of Bias</w:t>
            </w:r>
          </w:p>
        </w:tc>
        <w:tc>
          <w:tcPr>
            <w:tcW w:w="776"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097F7BCF"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Inconsistency</w:t>
            </w:r>
          </w:p>
        </w:tc>
        <w:tc>
          <w:tcPr>
            <w:tcW w:w="710"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7ABD5DA2"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Indirectness</w:t>
            </w:r>
          </w:p>
        </w:tc>
        <w:tc>
          <w:tcPr>
            <w:tcW w:w="687"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4DBDFAD9"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Imprecision</w:t>
            </w:r>
          </w:p>
        </w:tc>
        <w:tc>
          <w:tcPr>
            <w:tcW w:w="543"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0C4D3F5C"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Other Factors</w:t>
            </w:r>
          </w:p>
        </w:tc>
        <w:tc>
          <w:tcPr>
            <w:tcW w:w="682"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0A846ED0"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Certainty</w:t>
            </w:r>
          </w:p>
        </w:tc>
      </w:tr>
      <w:tr w:rsidR="00494065" w:rsidRPr="009D1392" w14:paraId="58932371"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15E6F6B4" w14:textId="77777777" w:rsidR="00494065" w:rsidRPr="0029564F" w:rsidRDefault="00494065" w:rsidP="002D5EAA">
            <w:pPr>
              <w:spacing w:after="0"/>
              <w:rPr>
                <w:rFonts w:ascii="Calibri" w:hAnsi="Calibri" w:cs="Times New Roman"/>
                <w:b/>
                <w:i/>
                <w:sz w:val="20"/>
                <w:szCs w:val="20"/>
                <w:vertAlign w:val="superscript"/>
              </w:rPr>
            </w:pPr>
            <w:r w:rsidRPr="0029564F">
              <w:rPr>
                <w:rFonts w:ascii="Calibri" w:hAnsi="Calibri" w:cs="Times New Roman"/>
                <w:b/>
                <w:sz w:val="20"/>
                <w:szCs w:val="20"/>
              </w:rPr>
              <w:t>Hospitalizations</w:t>
            </w:r>
          </w:p>
        </w:tc>
      </w:tr>
      <w:tr w:rsidR="00494065" w:rsidRPr="009D1392" w14:paraId="3A066F02" w14:textId="77777777" w:rsidTr="002D5EAA">
        <w:tc>
          <w:tcPr>
            <w:tcW w:w="473" w:type="pct"/>
            <w:tcBorders>
              <w:top w:val="single" w:sz="4" w:space="0" w:color="auto"/>
              <w:left w:val="single" w:sz="4" w:space="0" w:color="auto"/>
              <w:bottom w:val="single" w:sz="4" w:space="0" w:color="auto"/>
              <w:right w:val="single" w:sz="4" w:space="0" w:color="auto"/>
            </w:tcBorders>
          </w:tcPr>
          <w:p w14:paraId="1FC38DE7"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tcPr>
          <w:p w14:paraId="2C27A751" w14:textId="77777777" w:rsidR="00494065" w:rsidRPr="0029564F" w:rsidRDefault="00494065" w:rsidP="002D5EAA">
            <w:pPr>
              <w:spacing w:after="60"/>
              <w:rPr>
                <w:rFonts w:ascii="Calibri" w:hAnsi="Calibri"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tcPr>
          <w:p w14:paraId="084AA472" w14:textId="77777777" w:rsidR="00494065" w:rsidRPr="0029564F" w:rsidRDefault="00494065" w:rsidP="002D5EAA">
            <w:pPr>
              <w:spacing w:after="60"/>
              <w:jc w:val="center"/>
              <w:rPr>
                <w:rFonts w:ascii="Calibri" w:hAnsi="Calibri" w:cs="Times New Roman"/>
                <w:sz w:val="20"/>
                <w:szCs w:val="20"/>
              </w:rPr>
            </w:pPr>
          </w:p>
        </w:tc>
        <w:tc>
          <w:tcPr>
            <w:tcW w:w="776" w:type="pct"/>
            <w:tcBorders>
              <w:top w:val="single" w:sz="4" w:space="0" w:color="auto"/>
              <w:left w:val="single" w:sz="4" w:space="0" w:color="auto"/>
              <w:bottom w:val="single" w:sz="4" w:space="0" w:color="auto"/>
              <w:right w:val="single" w:sz="4" w:space="0" w:color="auto"/>
            </w:tcBorders>
          </w:tcPr>
          <w:p w14:paraId="329370F9" w14:textId="77777777" w:rsidR="00494065" w:rsidRPr="0029564F" w:rsidRDefault="00494065" w:rsidP="002D5EAA">
            <w:pPr>
              <w:spacing w:after="60"/>
              <w:jc w:val="center"/>
              <w:rPr>
                <w:rFonts w:ascii="Calibri" w:hAnsi="Calibri" w:cs="Times New Roman"/>
                <w:sz w:val="20"/>
                <w:szCs w:val="20"/>
              </w:rPr>
            </w:pPr>
          </w:p>
        </w:tc>
        <w:tc>
          <w:tcPr>
            <w:tcW w:w="710" w:type="pct"/>
            <w:tcBorders>
              <w:top w:val="single" w:sz="4" w:space="0" w:color="auto"/>
              <w:left w:val="single" w:sz="4" w:space="0" w:color="auto"/>
              <w:bottom w:val="single" w:sz="4" w:space="0" w:color="auto"/>
              <w:right w:val="single" w:sz="4" w:space="0" w:color="auto"/>
            </w:tcBorders>
          </w:tcPr>
          <w:p w14:paraId="5D61C5D7" w14:textId="77777777" w:rsidR="00494065" w:rsidRPr="0029564F" w:rsidRDefault="00494065" w:rsidP="002D5EAA">
            <w:pPr>
              <w:spacing w:after="60"/>
              <w:jc w:val="center"/>
              <w:rPr>
                <w:rFonts w:ascii="Calibri" w:hAnsi="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0AEFAA97" w14:textId="77777777" w:rsidR="00494065" w:rsidRPr="0029564F" w:rsidRDefault="00494065" w:rsidP="002D5EAA">
            <w:pPr>
              <w:spacing w:after="60"/>
              <w:jc w:val="center"/>
              <w:rPr>
                <w:rFonts w:ascii="Calibri" w:hAnsi="Calibri"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27702266" w14:textId="77777777" w:rsidR="00494065" w:rsidRPr="0029564F" w:rsidRDefault="00494065" w:rsidP="002D5EAA">
            <w:pPr>
              <w:spacing w:after="60"/>
              <w:jc w:val="center"/>
              <w:rPr>
                <w:rFonts w:ascii="Calibri" w:hAnsi="Calibri" w:cs="Times New Roman"/>
                <w:sz w:val="20"/>
                <w:szCs w:val="20"/>
              </w:rPr>
            </w:pPr>
          </w:p>
        </w:tc>
        <w:tc>
          <w:tcPr>
            <w:tcW w:w="682" w:type="pct"/>
            <w:tcBorders>
              <w:top w:val="single" w:sz="4" w:space="0" w:color="auto"/>
              <w:left w:val="single" w:sz="4" w:space="0" w:color="auto"/>
              <w:bottom w:val="single" w:sz="4" w:space="0" w:color="auto"/>
              <w:right w:val="single" w:sz="4" w:space="0" w:color="auto"/>
            </w:tcBorders>
          </w:tcPr>
          <w:p w14:paraId="13E457BB" w14:textId="77777777" w:rsidR="00494065" w:rsidRPr="0029564F" w:rsidRDefault="00494065" w:rsidP="002D5EAA">
            <w:pPr>
              <w:spacing w:after="60"/>
              <w:jc w:val="center"/>
              <w:rPr>
                <w:rFonts w:ascii="Calibri" w:hAnsi="Calibri" w:cs="Times New Roman"/>
                <w:sz w:val="20"/>
                <w:szCs w:val="20"/>
              </w:rPr>
            </w:pPr>
          </w:p>
        </w:tc>
      </w:tr>
      <w:tr w:rsidR="00494065" w:rsidRPr="009D1392" w14:paraId="041A2F81"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23DD83E8"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Mortality</w:t>
            </w:r>
          </w:p>
        </w:tc>
      </w:tr>
      <w:tr w:rsidR="00494065" w:rsidRPr="009D1392" w14:paraId="39CE4577" w14:textId="77777777" w:rsidTr="002D5EAA">
        <w:tc>
          <w:tcPr>
            <w:tcW w:w="473" w:type="pct"/>
            <w:tcBorders>
              <w:top w:val="single" w:sz="4" w:space="0" w:color="auto"/>
              <w:left w:val="single" w:sz="4" w:space="0" w:color="auto"/>
              <w:bottom w:val="single" w:sz="4" w:space="0" w:color="auto"/>
              <w:right w:val="single" w:sz="4" w:space="0" w:color="auto"/>
            </w:tcBorders>
          </w:tcPr>
          <w:p w14:paraId="7B9D21A1"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tcPr>
          <w:p w14:paraId="56201F6A" w14:textId="77777777" w:rsidR="00494065" w:rsidRPr="0029564F" w:rsidRDefault="00494065" w:rsidP="002D5EAA">
            <w:pPr>
              <w:spacing w:after="60"/>
              <w:rPr>
                <w:rFonts w:ascii="Calibri" w:hAnsi="Calibri"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tcPr>
          <w:p w14:paraId="2961FE26" w14:textId="77777777" w:rsidR="00494065" w:rsidRPr="0029564F" w:rsidRDefault="00494065" w:rsidP="002D5EAA">
            <w:pPr>
              <w:spacing w:after="60"/>
              <w:jc w:val="center"/>
              <w:rPr>
                <w:rFonts w:ascii="Calibri" w:hAnsi="Calibri" w:cs="Times New Roman"/>
                <w:sz w:val="20"/>
                <w:szCs w:val="20"/>
              </w:rPr>
            </w:pPr>
          </w:p>
        </w:tc>
        <w:tc>
          <w:tcPr>
            <w:tcW w:w="776" w:type="pct"/>
            <w:tcBorders>
              <w:top w:val="single" w:sz="4" w:space="0" w:color="auto"/>
              <w:left w:val="single" w:sz="4" w:space="0" w:color="auto"/>
              <w:bottom w:val="single" w:sz="4" w:space="0" w:color="auto"/>
              <w:right w:val="single" w:sz="4" w:space="0" w:color="auto"/>
            </w:tcBorders>
          </w:tcPr>
          <w:p w14:paraId="2F5FCD13" w14:textId="77777777" w:rsidR="00494065" w:rsidRPr="0029564F" w:rsidRDefault="00494065" w:rsidP="002D5EAA">
            <w:pPr>
              <w:spacing w:after="60"/>
              <w:jc w:val="center"/>
              <w:rPr>
                <w:rFonts w:ascii="Calibri" w:hAnsi="Calibri" w:cs="Times New Roman"/>
                <w:sz w:val="20"/>
                <w:szCs w:val="20"/>
              </w:rPr>
            </w:pPr>
          </w:p>
        </w:tc>
        <w:tc>
          <w:tcPr>
            <w:tcW w:w="710" w:type="pct"/>
            <w:tcBorders>
              <w:top w:val="single" w:sz="4" w:space="0" w:color="auto"/>
              <w:left w:val="single" w:sz="4" w:space="0" w:color="auto"/>
              <w:bottom w:val="single" w:sz="4" w:space="0" w:color="auto"/>
              <w:right w:val="single" w:sz="4" w:space="0" w:color="auto"/>
            </w:tcBorders>
          </w:tcPr>
          <w:p w14:paraId="094B2081"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ab/>
              <w:t xml:space="preserve"> </w:t>
            </w:r>
          </w:p>
        </w:tc>
        <w:tc>
          <w:tcPr>
            <w:tcW w:w="687" w:type="pct"/>
            <w:tcBorders>
              <w:top w:val="single" w:sz="4" w:space="0" w:color="auto"/>
              <w:left w:val="single" w:sz="4" w:space="0" w:color="auto"/>
              <w:bottom w:val="single" w:sz="4" w:space="0" w:color="auto"/>
              <w:right w:val="single" w:sz="4" w:space="0" w:color="auto"/>
            </w:tcBorders>
          </w:tcPr>
          <w:p w14:paraId="222ABD19" w14:textId="77777777" w:rsidR="00494065" w:rsidRPr="0029564F" w:rsidRDefault="00494065" w:rsidP="002D5EAA">
            <w:pPr>
              <w:tabs>
                <w:tab w:val="left" w:pos="385"/>
                <w:tab w:val="center" w:pos="534"/>
              </w:tabs>
              <w:spacing w:after="60"/>
              <w:rPr>
                <w:rFonts w:ascii="Calibri" w:hAnsi="Calibri"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5CA51F74" w14:textId="77777777" w:rsidR="00494065" w:rsidRPr="0029564F" w:rsidRDefault="00494065" w:rsidP="002D5EAA">
            <w:pPr>
              <w:spacing w:after="60"/>
              <w:jc w:val="center"/>
              <w:rPr>
                <w:rFonts w:ascii="Calibri" w:hAnsi="Calibri" w:cs="Times New Roman"/>
                <w:sz w:val="20"/>
                <w:szCs w:val="20"/>
              </w:rPr>
            </w:pPr>
          </w:p>
        </w:tc>
        <w:tc>
          <w:tcPr>
            <w:tcW w:w="682" w:type="pct"/>
            <w:tcBorders>
              <w:top w:val="single" w:sz="4" w:space="0" w:color="auto"/>
              <w:left w:val="single" w:sz="4" w:space="0" w:color="auto"/>
              <w:bottom w:val="single" w:sz="4" w:space="0" w:color="auto"/>
              <w:right w:val="single" w:sz="4" w:space="0" w:color="auto"/>
            </w:tcBorders>
          </w:tcPr>
          <w:p w14:paraId="45B487E5" w14:textId="77777777" w:rsidR="00494065" w:rsidRPr="0029564F" w:rsidRDefault="00494065" w:rsidP="002D5EAA">
            <w:pPr>
              <w:spacing w:after="60"/>
              <w:jc w:val="center"/>
              <w:rPr>
                <w:rFonts w:ascii="Calibri" w:hAnsi="Calibri" w:cs="Times New Roman"/>
                <w:sz w:val="20"/>
                <w:szCs w:val="20"/>
              </w:rPr>
            </w:pPr>
          </w:p>
        </w:tc>
      </w:tr>
      <w:tr w:rsidR="00494065" w:rsidRPr="009D1392" w14:paraId="2B4216A2"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394BC7F0"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Pulmonary Exacerbations Requiring Antibiotics</w:t>
            </w:r>
          </w:p>
        </w:tc>
      </w:tr>
      <w:tr w:rsidR="00494065" w:rsidRPr="009D1392" w14:paraId="358AEDE4" w14:textId="77777777" w:rsidTr="002D5EAA">
        <w:tc>
          <w:tcPr>
            <w:tcW w:w="473" w:type="pct"/>
            <w:tcBorders>
              <w:top w:val="single" w:sz="4" w:space="0" w:color="auto"/>
              <w:left w:val="single" w:sz="4" w:space="0" w:color="auto"/>
              <w:bottom w:val="single" w:sz="4" w:space="0" w:color="auto"/>
              <w:right w:val="single" w:sz="4" w:space="0" w:color="auto"/>
            </w:tcBorders>
          </w:tcPr>
          <w:p w14:paraId="216B1387" w14:textId="77777777" w:rsidR="00494065" w:rsidRPr="0029564F" w:rsidRDefault="00494065" w:rsidP="002D5EAA">
            <w:pPr>
              <w:spacing w:after="0"/>
              <w:rPr>
                <w:rFonts w:ascii="Calibri" w:hAnsi="Calibri" w:cs="Times New Roman"/>
                <w:sz w:val="20"/>
                <w:szCs w:val="20"/>
              </w:rPr>
            </w:pPr>
            <w:r w:rsidRPr="0029564F">
              <w:rPr>
                <w:rFonts w:ascii="Calibri" w:hAnsi="Calibri" w:cs="Times New Roman"/>
                <w:sz w:val="20"/>
                <w:szCs w:val="20"/>
              </w:rPr>
              <w:t>1</w:t>
            </w:r>
          </w:p>
        </w:tc>
        <w:tc>
          <w:tcPr>
            <w:tcW w:w="580" w:type="pct"/>
            <w:tcBorders>
              <w:top w:val="single" w:sz="4" w:space="0" w:color="auto"/>
              <w:left w:val="single" w:sz="4" w:space="0" w:color="auto"/>
              <w:bottom w:val="single" w:sz="4" w:space="0" w:color="auto"/>
              <w:right w:val="single" w:sz="4" w:space="0" w:color="auto"/>
            </w:tcBorders>
          </w:tcPr>
          <w:p w14:paraId="23D8F13F"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RCT</w:t>
            </w:r>
          </w:p>
        </w:tc>
        <w:tc>
          <w:tcPr>
            <w:tcW w:w="549" w:type="pct"/>
            <w:tcBorders>
              <w:top w:val="single" w:sz="4" w:space="0" w:color="auto"/>
              <w:left w:val="single" w:sz="4" w:space="0" w:color="auto"/>
              <w:bottom w:val="single" w:sz="4" w:space="0" w:color="auto"/>
              <w:right w:val="single" w:sz="4" w:space="0" w:color="auto"/>
            </w:tcBorders>
          </w:tcPr>
          <w:p w14:paraId="54ABB123"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776" w:type="pct"/>
            <w:tcBorders>
              <w:top w:val="single" w:sz="4" w:space="0" w:color="auto"/>
              <w:left w:val="single" w:sz="4" w:space="0" w:color="auto"/>
              <w:bottom w:val="single" w:sz="4" w:space="0" w:color="auto"/>
              <w:right w:val="single" w:sz="4" w:space="0" w:color="auto"/>
            </w:tcBorders>
          </w:tcPr>
          <w:p w14:paraId="59B76ED8"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Unable to rate (single study)</w:t>
            </w:r>
          </w:p>
        </w:tc>
        <w:tc>
          <w:tcPr>
            <w:tcW w:w="710" w:type="pct"/>
            <w:tcBorders>
              <w:top w:val="single" w:sz="4" w:space="0" w:color="auto"/>
              <w:left w:val="single" w:sz="4" w:space="0" w:color="auto"/>
              <w:bottom w:val="single" w:sz="4" w:space="0" w:color="auto"/>
              <w:right w:val="single" w:sz="4" w:space="0" w:color="auto"/>
            </w:tcBorders>
          </w:tcPr>
          <w:p w14:paraId="6D243A38"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Not serious</w:t>
            </w:r>
          </w:p>
          <w:p w14:paraId="21DA69CF" w14:textId="77777777" w:rsidR="00494065" w:rsidRPr="0029564F" w:rsidRDefault="00494065" w:rsidP="002D5EAA">
            <w:pPr>
              <w:spacing w:after="60"/>
              <w:jc w:val="center"/>
              <w:rPr>
                <w:rFonts w:ascii="Calibri" w:hAnsi="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531A0097"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543" w:type="pct"/>
            <w:tcBorders>
              <w:top w:val="single" w:sz="4" w:space="0" w:color="auto"/>
              <w:left w:val="single" w:sz="4" w:space="0" w:color="auto"/>
              <w:bottom w:val="single" w:sz="4" w:space="0" w:color="auto"/>
              <w:right w:val="single" w:sz="4" w:space="0" w:color="auto"/>
            </w:tcBorders>
          </w:tcPr>
          <w:p w14:paraId="27958B41" w14:textId="77777777" w:rsidR="00494065" w:rsidRPr="0029564F" w:rsidRDefault="00494065" w:rsidP="002D5EAA">
            <w:pPr>
              <w:spacing w:after="60"/>
              <w:jc w:val="center"/>
              <w:rPr>
                <w:rFonts w:ascii="Calibri" w:hAnsi="Calibri" w:cs="Times New Roman"/>
                <w:sz w:val="20"/>
                <w:szCs w:val="20"/>
              </w:rPr>
            </w:pPr>
          </w:p>
        </w:tc>
        <w:tc>
          <w:tcPr>
            <w:tcW w:w="682" w:type="pct"/>
            <w:tcBorders>
              <w:top w:val="single" w:sz="4" w:space="0" w:color="auto"/>
              <w:left w:val="single" w:sz="4" w:space="0" w:color="auto"/>
              <w:bottom w:val="single" w:sz="4" w:space="0" w:color="auto"/>
              <w:right w:val="single" w:sz="4" w:space="0" w:color="auto"/>
            </w:tcBorders>
          </w:tcPr>
          <w:p w14:paraId="2F0C13C2"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 xml:space="preserve">Very low </w:t>
            </w:r>
          </w:p>
          <w:p w14:paraId="7D5EB677"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sz w:val="20"/>
                <w:szCs w:val="20"/>
              </w:rPr>
              <w:t xml:space="preserve"> ●◌◌◌</w:t>
            </w:r>
          </w:p>
        </w:tc>
      </w:tr>
      <w:tr w:rsidR="00494065" w:rsidRPr="009D1392" w14:paraId="601FE5FC"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2DD504A4" w14:textId="77777777" w:rsidR="00494065" w:rsidRPr="0029564F" w:rsidRDefault="00494065" w:rsidP="002D5EAA">
            <w:pPr>
              <w:spacing w:after="0"/>
              <w:rPr>
                <w:rFonts w:ascii="Calibri" w:hAnsi="Calibri" w:cs="Times New Roman"/>
                <w:b/>
                <w:sz w:val="20"/>
                <w:szCs w:val="20"/>
              </w:rPr>
            </w:pPr>
            <w:r w:rsidRPr="0029564F">
              <w:rPr>
                <w:rFonts w:ascii="Calibri" w:hAnsi="Calibri" w:cs="Times New Roman"/>
                <w:b/>
                <w:sz w:val="20"/>
                <w:szCs w:val="20"/>
              </w:rPr>
              <w:t>Exercise Capacity</w:t>
            </w:r>
          </w:p>
        </w:tc>
      </w:tr>
      <w:tr w:rsidR="00494065" w:rsidRPr="009D1392" w14:paraId="2D0BF720" w14:textId="77777777" w:rsidTr="002D5EAA">
        <w:tc>
          <w:tcPr>
            <w:tcW w:w="473" w:type="pct"/>
            <w:tcBorders>
              <w:top w:val="single" w:sz="4" w:space="0" w:color="auto"/>
              <w:left w:val="single" w:sz="4" w:space="0" w:color="auto"/>
              <w:bottom w:val="single" w:sz="4" w:space="0" w:color="auto"/>
              <w:right w:val="single" w:sz="4" w:space="0" w:color="auto"/>
            </w:tcBorders>
          </w:tcPr>
          <w:p w14:paraId="42C6EFA7"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tcPr>
          <w:p w14:paraId="64E4C437" w14:textId="77777777" w:rsidR="00494065" w:rsidRPr="0029564F" w:rsidRDefault="00494065" w:rsidP="002D5EAA">
            <w:pPr>
              <w:spacing w:after="60"/>
              <w:rPr>
                <w:rFonts w:ascii="Calibri" w:hAnsi="Calibri"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tcPr>
          <w:p w14:paraId="3748570F" w14:textId="77777777" w:rsidR="00494065" w:rsidRPr="0029564F" w:rsidRDefault="00494065" w:rsidP="002D5EAA">
            <w:pPr>
              <w:spacing w:after="60"/>
              <w:jc w:val="center"/>
              <w:rPr>
                <w:rFonts w:ascii="Calibri" w:hAnsi="Calibri" w:cs="Times New Roman"/>
                <w:sz w:val="20"/>
                <w:szCs w:val="20"/>
              </w:rPr>
            </w:pPr>
          </w:p>
        </w:tc>
        <w:tc>
          <w:tcPr>
            <w:tcW w:w="776" w:type="pct"/>
            <w:tcBorders>
              <w:top w:val="single" w:sz="4" w:space="0" w:color="auto"/>
              <w:left w:val="single" w:sz="4" w:space="0" w:color="auto"/>
              <w:bottom w:val="single" w:sz="4" w:space="0" w:color="auto"/>
              <w:right w:val="single" w:sz="4" w:space="0" w:color="auto"/>
            </w:tcBorders>
          </w:tcPr>
          <w:p w14:paraId="6D40B58F" w14:textId="77777777" w:rsidR="00494065" w:rsidRPr="0029564F" w:rsidRDefault="00494065" w:rsidP="002D5EAA">
            <w:pPr>
              <w:spacing w:after="60"/>
              <w:jc w:val="center"/>
              <w:rPr>
                <w:rFonts w:ascii="Calibri" w:hAnsi="Calibri" w:cs="Times New Roman"/>
                <w:sz w:val="20"/>
                <w:szCs w:val="20"/>
              </w:rPr>
            </w:pPr>
          </w:p>
        </w:tc>
        <w:tc>
          <w:tcPr>
            <w:tcW w:w="710" w:type="pct"/>
            <w:tcBorders>
              <w:top w:val="single" w:sz="4" w:space="0" w:color="auto"/>
              <w:left w:val="single" w:sz="4" w:space="0" w:color="auto"/>
              <w:bottom w:val="single" w:sz="4" w:space="0" w:color="auto"/>
              <w:right w:val="single" w:sz="4" w:space="0" w:color="auto"/>
            </w:tcBorders>
          </w:tcPr>
          <w:p w14:paraId="66822A5B" w14:textId="77777777" w:rsidR="00494065" w:rsidRPr="0029564F" w:rsidRDefault="00494065" w:rsidP="002D5EAA">
            <w:pPr>
              <w:spacing w:after="60"/>
              <w:jc w:val="center"/>
              <w:rPr>
                <w:rFonts w:ascii="Calibri" w:hAnsi="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2A9FC531" w14:textId="77777777" w:rsidR="00494065" w:rsidRPr="0029564F" w:rsidRDefault="00494065" w:rsidP="002D5EAA">
            <w:pPr>
              <w:spacing w:after="60"/>
              <w:jc w:val="center"/>
              <w:rPr>
                <w:rFonts w:ascii="Calibri" w:hAnsi="Calibri"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4E5CC45D" w14:textId="77777777" w:rsidR="00494065" w:rsidRPr="0029564F" w:rsidRDefault="00494065" w:rsidP="002D5EAA">
            <w:pPr>
              <w:spacing w:after="60"/>
              <w:jc w:val="center"/>
              <w:rPr>
                <w:rFonts w:ascii="Calibri" w:hAnsi="Calibri" w:cs="Times New Roman"/>
                <w:sz w:val="20"/>
                <w:szCs w:val="20"/>
              </w:rPr>
            </w:pPr>
          </w:p>
        </w:tc>
        <w:tc>
          <w:tcPr>
            <w:tcW w:w="682" w:type="pct"/>
            <w:tcBorders>
              <w:top w:val="single" w:sz="4" w:space="0" w:color="auto"/>
              <w:left w:val="single" w:sz="4" w:space="0" w:color="auto"/>
              <w:bottom w:val="single" w:sz="4" w:space="0" w:color="auto"/>
              <w:right w:val="single" w:sz="4" w:space="0" w:color="auto"/>
            </w:tcBorders>
          </w:tcPr>
          <w:p w14:paraId="57E5FC46" w14:textId="77777777" w:rsidR="00494065" w:rsidRPr="0029564F" w:rsidRDefault="00494065" w:rsidP="002D5EAA">
            <w:pPr>
              <w:spacing w:after="60"/>
              <w:jc w:val="center"/>
              <w:rPr>
                <w:rFonts w:ascii="Calibri" w:hAnsi="Calibri" w:cs="Times New Roman"/>
                <w:sz w:val="20"/>
                <w:szCs w:val="20"/>
              </w:rPr>
            </w:pPr>
          </w:p>
        </w:tc>
      </w:tr>
      <w:tr w:rsidR="00494065" w:rsidRPr="009D1392" w14:paraId="0B528C14"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3F145D78"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Breathlessness or Cough</w:t>
            </w:r>
          </w:p>
        </w:tc>
      </w:tr>
      <w:tr w:rsidR="00494065" w:rsidRPr="009D1392" w14:paraId="79F8A750" w14:textId="77777777" w:rsidTr="002D5EAA">
        <w:tc>
          <w:tcPr>
            <w:tcW w:w="473" w:type="pct"/>
            <w:tcBorders>
              <w:top w:val="single" w:sz="4" w:space="0" w:color="auto"/>
              <w:left w:val="single" w:sz="4" w:space="0" w:color="auto"/>
              <w:bottom w:val="single" w:sz="4" w:space="0" w:color="auto"/>
              <w:right w:val="single" w:sz="4" w:space="0" w:color="auto"/>
            </w:tcBorders>
          </w:tcPr>
          <w:p w14:paraId="78D499AE"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1</w:t>
            </w:r>
          </w:p>
        </w:tc>
        <w:tc>
          <w:tcPr>
            <w:tcW w:w="580" w:type="pct"/>
            <w:tcBorders>
              <w:top w:val="single" w:sz="4" w:space="0" w:color="auto"/>
              <w:left w:val="single" w:sz="4" w:space="0" w:color="auto"/>
              <w:bottom w:val="single" w:sz="4" w:space="0" w:color="auto"/>
              <w:right w:val="single" w:sz="4" w:space="0" w:color="auto"/>
            </w:tcBorders>
          </w:tcPr>
          <w:p w14:paraId="0F188DD1"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RCT</w:t>
            </w:r>
          </w:p>
        </w:tc>
        <w:tc>
          <w:tcPr>
            <w:tcW w:w="549" w:type="pct"/>
            <w:tcBorders>
              <w:top w:val="single" w:sz="4" w:space="0" w:color="auto"/>
              <w:left w:val="single" w:sz="4" w:space="0" w:color="auto"/>
              <w:bottom w:val="single" w:sz="4" w:space="0" w:color="auto"/>
              <w:right w:val="single" w:sz="4" w:space="0" w:color="auto"/>
            </w:tcBorders>
          </w:tcPr>
          <w:p w14:paraId="3C054A17"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776" w:type="pct"/>
            <w:tcBorders>
              <w:top w:val="single" w:sz="4" w:space="0" w:color="auto"/>
              <w:left w:val="single" w:sz="4" w:space="0" w:color="auto"/>
              <w:bottom w:val="single" w:sz="4" w:space="0" w:color="auto"/>
              <w:right w:val="single" w:sz="4" w:space="0" w:color="auto"/>
            </w:tcBorders>
          </w:tcPr>
          <w:p w14:paraId="31F832EB"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Unable to rate (single study)</w:t>
            </w:r>
          </w:p>
        </w:tc>
        <w:tc>
          <w:tcPr>
            <w:tcW w:w="710" w:type="pct"/>
            <w:tcBorders>
              <w:top w:val="single" w:sz="4" w:space="0" w:color="auto"/>
              <w:left w:val="single" w:sz="4" w:space="0" w:color="auto"/>
              <w:bottom w:val="single" w:sz="4" w:space="0" w:color="auto"/>
              <w:right w:val="single" w:sz="4" w:space="0" w:color="auto"/>
            </w:tcBorders>
          </w:tcPr>
          <w:p w14:paraId="19C61DB1"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Not serious</w:t>
            </w:r>
          </w:p>
          <w:p w14:paraId="606DCB3E" w14:textId="77777777" w:rsidR="00494065" w:rsidRPr="0029564F" w:rsidRDefault="00494065" w:rsidP="002D5EAA">
            <w:pPr>
              <w:spacing w:after="60"/>
              <w:jc w:val="center"/>
              <w:rPr>
                <w:rFonts w:ascii="Calibri" w:hAnsi="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6F1AEF59"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543" w:type="pct"/>
            <w:tcBorders>
              <w:top w:val="single" w:sz="4" w:space="0" w:color="auto"/>
              <w:left w:val="single" w:sz="4" w:space="0" w:color="auto"/>
              <w:bottom w:val="single" w:sz="4" w:space="0" w:color="auto"/>
              <w:right w:val="single" w:sz="4" w:space="0" w:color="auto"/>
            </w:tcBorders>
          </w:tcPr>
          <w:p w14:paraId="775D23C3" w14:textId="77777777" w:rsidR="00494065" w:rsidRPr="0029564F" w:rsidRDefault="00494065" w:rsidP="002D5EAA">
            <w:pPr>
              <w:spacing w:after="60"/>
              <w:jc w:val="center"/>
              <w:rPr>
                <w:rFonts w:ascii="Calibri" w:hAnsi="Calibri" w:cs="Times New Roman"/>
                <w:sz w:val="20"/>
                <w:szCs w:val="20"/>
              </w:rPr>
            </w:pPr>
          </w:p>
        </w:tc>
        <w:tc>
          <w:tcPr>
            <w:tcW w:w="682" w:type="pct"/>
            <w:tcBorders>
              <w:top w:val="single" w:sz="4" w:space="0" w:color="auto"/>
              <w:left w:val="single" w:sz="4" w:space="0" w:color="auto"/>
              <w:bottom w:val="single" w:sz="4" w:space="0" w:color="auto"/>
              <w:right w:val="single" w:sz="4" w:space="0" w:color="auto"/>
            </w:tcBorders>
          </w:tcPr>
          <w:p w14:paraId="4B31E88D"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 xml:space="preserve">Very low </w:t>
            </w:r>
          </w:p>
          <w:p w14:paraId="54B334AD"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sz w:val="20"/>
                <w:szCs w:val="20"/>
              </w:rPr>
              <w:t xml:space="preserve"> ●◌◌◌</w:t>
            </w:r>
          </w:p>
        </w:tc>
      </w:tr>
    </w:tbl>
    <w:p w14:paraId="5337996E" w14:textId="4D76B1FB" w:rsidR="00494065" w:rsidRDefault="00E2368B" w:rsidP="002D5EAA">
      <w:pPr>
        <w:spacing w:after="160"/>
      </w:pPr>
      <w:r w:rsidRPr="0029564F">
        <w:rPr>
          <w:sz w:val="20"/>
          <w:szCs w:val="20"/>
        </w:rPr>
        <w:t>Abbreviation. RCT: randomized controlled trial.</w:t>
      </w:r>
    </w:p>
    <w:p w14:paraId="1705E40F" w14:textId="77777777" w:rsidR="00494065" w:rsidRDefault="00494065" w:rsidP="002D5EAA">
      <w:pPr>
        <w:spacing w:after="160"/>
      </w:pPr>
      <w:r>
        <w:br w:type="page"/>
      </w:r>
    </w:p>
    <w:tbl>
      <w:tblPr>
        <w:tblW w:w="5051" w:type="pct"/>
        <w:tblLook w:val="04A0" w:firstRow="1" w:lastRow="0" w:firstColumn="1" w:lastColumn="0" w:noHBand="0" w:noVBand="1"/>
      </w:tblPr>
      <w:tblGrid>
        <w:gridCol w:w="872"/>
        <w:gridCol w:w="1039"/>
        <w:gridCol w:w="1094"/>
        <w:gridCol w:w="1428"/>
        <w:gridCol w:w="1305"/>
        <w:gridCol w:w="1266"/>
        <w:gridCol w:w="1302"/>
        <w:gridCol w:w="1139"/>
      </w:tblGrid>
      <w:tr w:rsidR="00494065" w:rsidRPr="009D1392" w14:paraId="330506AC" w14:textId="77777777" w:rsidTr="0029564F">
        <w:trPr>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275C9D"/>
            <w:vAlign w:val="center"/>
            <w:hideMark/>
          </w:tcPr>
          <w:p w14:paraId="580AD7C8" w14:textId="77777777" w:rsidR="00494065" w:rsidRPr="0029564F" w:rsidRDefault="00494065" w:rsidP="002D5EAA">
            <w:pPr>
              <w:spacing w:after="60" w:line="276" w:lineRule="auto"/>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lastRenderedPageBreak/>
              <w:t>Certainty Assessment (Confidence in Estimate of Effect) for COPD</w:t>
            </w:r>
          </w:p>
        </w:tc>
      </w:tr>
      <w:tr w:rsidR="00494065" w:rsidRPr="009D1392" w14:paraId="2FBB136D" w14:textId="77777777" w:rsidTr="0029564F">
        <w:trPr>
          <w:tblHeader/>
        </w:trPr>
        <w:tc>
          <w:tcPr>
            <w:tcW w:w="462"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62DDC75A"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No. of Studies</w:t>
            </w:r>
          </w:p>
        </w:tc>
        <w:tc>
          <w:tcPr>
            <w:tcW w:w="550"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7135C3D9"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Study Design(s)</w:t>
            </w:r>
          </w:p>
        </w:tc>
        <w:tc>
          <w:tcPr>
            <w:tcW w:w="579"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36A75B36"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Risk of Bias</w:t>
            </w:r>
          </w:p>
        </w:tc>
        <w:tc>
          <w:tcPr>
            <w:tcW w:w="756"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4D62F85D"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Inconsistency</w:t>
            </w:r>
          </w:p>
        </w:tc>
        <w:tc>
          <w:tcPr>
            <w:tcW w:w="691"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68DEE824"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Indirectness</w:t>
            </w:r>
          </w:p>
        </w:tc>
        <w:tc>
          <w:tcPr>
            <w:tcW w:w="670"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4A7C9D8C"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Imprecision</w:t>
            </w:r>
          </w:p>
        </w:tc>
        <w:tc>
          <w:tcPr>
            <w:tcW w:w="689"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29B4CFFD"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Other Factors</w:t>
            </w:r>
          </w:p>
        </w:tc>
        <w:tc>
          <w:tcPr>
            <w:tcW w:w="603"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189BE55E"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Certainty</w:t>
            </w:r>
          </w:p>
        </w:tc>
      </w:tr>
      <w:tr w:rsidR="00494065" w:rsidRPr="009D1392" w14:paraId="0D165E50"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36E512FE" w14:textId="77777777" w:rsidR="00494065" w:rsidRPr="0029564F" w:rsidRDefault="00494065" w:rsidP="002D5EAA">
            <w:pPr>
              <w:spacing w:after="0"/>
              <w:rPr>
                <w:rFonts w:ascii="Calibri" w:hAnsi="Calibri" w:cs="Times New Roman"/>
                <w:b/>
                <w:i/>
                <w:sz w:val="20"/>
                <w:szCs w:val="20"/>
                <w:vertAlign w:val="superscript"/>
              </w:rPr>
            </w:pPr>
            <w:r w:rsidRPr="0029564F">
              <w:rPr>
                <w:rFonts w:ascii="Calibri" w:hAnsi="Calibri" w:cs="Times New Roman"/>
                <w:b/>
                <w:sz w:val="20"/>
                <w:szCs w:val="20"/>
              </w:rPr>
              <w:t>Hospitalizations</w:t>
            </w:r>
          </w:p>
        </w:tc>
      </w:tr>
      <w:tr w:rsidR="00494065" w:rsidRPr="009D1392" w14:paraId="08B8A447" w14:textId="77777777" w:rsidTr="00E2368B">
        <w:tc>
          <w:tcPr>
            <w:tcW w:w="462" w:type="pct"/>
            <w:tcBorders>
              <w:top w:val="single" w:sz="4" w:space="0" w:color="auto"/>
              <w:left w:val="single" w:sz="4" w:space="0" w:color="auto"/>
              <w:bottom w:val="single" w:sz="4" w:space="0" w:color="auto"/>
              <w:right w:val="single" w:sz="4" w:space="0" w:color="auto"/>
            </w:tcBorders>
          </w:tcPr>
          <w:p w14:paraId="2E2CD3D8"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50" w:type="pct"/>
            <w:tcBorders>
              <w:top w:val="single" w:sz="4" w:space="0" w:color="auto"/>
              <w:left w:val="single" w:sz="4" w:space="0" w:color="auto"/>
              <w:bottom w:val="single" w:sz="4" w:space="0" w:color="auto"/>
              <w:right w:val="single" w:sz="4" w:space="0" w:color="auto"/>
            </w:tcBorders>
          </w:tcPr>
          <w:p w14:paraId="08C7C277" w14:textId="77777777" w:rsidR="00494065" w:rsidRPr="0029564F" w:rsidRDefault="00494065" w:rsidP="002D5EAA">
            <w:pPr>
              <w:spacing w:after="60"/>
              <w:rPr>
                <w:rFonts w:ascii="Calibri" w:hAnsi="Calibri" w:cs="Times New Roman"/>
                <w:sz w:val="20"/>
                <w:szCs w:val="20"/>
              </w:rPr>
            </w:pPr>
          </w:p>
        </w:tc>
        <w:tc>
          <w:tcPr>
            <w:tcW w:w="579" w:type="pct"/>
            <w:tcBorders>
              <w:top w:val="single" w:sz="4" w:space="0" w:color="auto"/>
              <w:left w:val="single" w:sz="4" w:space="0" w:color="auto"/>
              <w:bottom w:val="single" w:sz="4" w:space="0" w:color="auto"/>
              <w:right w:val="single" w:sz="4" w:space="0" w:color="auto"/>
            </w:tcBorders>
          </w:tcPr>
          <w:p w14:paraId="727BFD29" w14:textId="77777777" w:rsidR="00494065" w:rsidRPr="0029564F" w:rsidRDefault="00494065" w:rsidP="002D5EAA">
            <w:pPr>
              <w:spacing w:after="60"/>
              <w:jc w:val="center"/>
              <w:rPr>
                <w:rFonts w:ascii="Calibri" w:hAnsi="Calibri" w:cs="Times New Roman"/>
                <w:sz w:val="20"/>
                <w:szCs w:val="20"/>
              </w:rPr>
            </w:pPr>
          </w:p>
        </w:tc>
        <w:tc>
          <w:tcPr>
            <w:tcW w:w="756" w:type="pct"/>
            <w:tcBorders>
              <w:top w:val="single" w:sz="4" w:space="0" w:color="auto"/>
              <w:left w:val="single" w:sz="4" w:space="0" w:color="auto"/>
              <w:bottom w:val="single" w:sz="4" w:space="0" w:color="auto"/>
              <w:right w:val="single" w:sz="4" w:space="0" w:color="auto"/>
            </w:tcBorders>
          </w:tcPr>
          <w:p w14:paraId="19ABF500" w14:textId="77777777" w:rsidR="00494065" w:rsidRPr="0029564F" w:rsidRDefault="00494065" w:rsidP="002D5EAA">
            <w:pPr>
              <w:spacing w:after="60"/>
              <w:jc w:val="center"/>
              <w:rPr>
                <w:rFonts w:ascii="Calibri" w:hAnsi="Calibri" w:cs="Times New Roman"/>
                <w:sz w:val="20"/>
                <w:szCs w:val="20"/>
              </w:rPr>
            </w:pPr>
          </w:p>
        </w:tc>
        <w:tc>
          <w:tcPr>
            <w:tcW w:w="691" w:type="pct"/>
            <w:tcBorders>
              <w:top w:val="single" w:sz="4" w:space="0" w:color="auto"/>
              <w:left w:val="single" w:sz="4" w:space="0" w:color="auto"/>
              <w:bottom w:val="single" w:sz="4" w:space="0" w:color="auto"/>
              <w:right w:val="single" w:sz="4" w:space="0" w:color="auto"/>
            </w:tcBorders>
          </w:tcPr>
          <w:p w14:paraId="74E2B213" w14:textId="77777777" w:rsidR="00494065" w:rsidRPr="0029564F" w:rsidRDefault="00494065" w:rsidP="002D5EAA">
            <w:pPr>
              <w:spacing w:after="60"/>
              <w:jc w:val="center"/>
              <w:rPr>
                <w:rFonts w:ascii="Calibri" w:hAnsi="Calibri" w:cs="Times New Roman"/>
                <w:sz w:val="20"/>
                <w:szCs w:val="20"/>
              </w:rPr>
            </w:pPr>
          </w:p>
        </w:tc>
        <w:tc>
          <w:tcPr>
            <w:tcW w:w="670" w:type="pct"/>
            <w:tcBorders>
              <w:top w:val="single" w:sz="4" w:space="0" w:color="auto"/>
              <w:left w:val="single" w:sz="4" w:space="0" w:color="auto"/>
              <w:bottom w:val="single" w:sz="4" w:space="0" w:color="auto"/>
              <w:right w:val="single" w:sz="4" w:space="0" w:color="auto"/>
            </w:tcBorders>
          </w:tcPr>
          <w:p w14:paraId="37D68222" w14:textId="77777777" w:rsidR="00494065" w:rsidRPr="0029564F" w:rsidRDefault="00494065" w:rsidP="002D5EAA">
            <w:pPr>
              <w:spacing w:after="60"/>
              <w:jc w:val="center"/>
              <w:rPr>
                <w:rFonts w:ascii="Calibri" w:hAnsi="Calibri"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14:paraId="3B4B1650" w14:textId="77777777" w:rsidR="00494065" w:rsidRPr="0029564F" w:rsidRDefault="00494065" w:rsidP="002D5EAA">
            <w:pPr>
              <w:spacing w:after="60"/>
              <w:jc w:val="center"/>
              <w:rPr>
                <w:rFonts w:ascii="Calibri" w:hAnsi="Calibri"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tcPr>
          <w:p w14:paraId="4AA3CB3C" w14:textId="77777777" w:rsidR="00494065" w:rsidRPr="0029564F" w:rsidRDefault="00494065" w:rsidP="002D5EAA">
            <w:pPr>
              <w:spacing w:after="60"/>
              <w:jc w:val="center"/>
              <w:rPr>
                <w:rFonts w:ascii="Calibri" w:hAnsi="Calibri" w:cs="Times New Roman"/>
                <w:sz w:val="20"/>
                <w:szCs w:val="20"/>
              </w:rPr>
            </w:pPr>
          </w:p>
        </w:tc>
      </w:tr>
      <w:tr w:rsidR="00494065" w:rsidRPr="009D1392" w14:paraId="6EA571F4"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2E82E55A"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Mortality</w:t>
            </w:r>
          </w:p>
        </w:tc>
      </w:tr>
      <w:tr w:rsidR="00494065" w:rsidRPr="009D1392" w14:paraId="36E72B80" w14:textId="77777777" w:rsidTr="00E2368B">
        <w:tc>
          <w:tcPr>
            <w:tcW w:w="462" w:type="pct"/>
            <w:tcBorders>
              <w:top w:val="single" w:sz="4" w:space="0" w:color="auto"/>
              <w:left w:val="single" w:sz="4" w:space="0" w:color="auto"/>
              <w:bottom w:val="single" w:sz="4" w:space="0" w:color="auto"/>
              <w:right w:val="single" w:sz="4" w:space="0" w:color="auto"/>
            </w:tcBorders>
          </w:tcPr>
          <w:p w14:paraId="5C1189B0"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50" w:type="pct"/>
            <w:tcBorders>
              <w:top w:val="single" w:sz="4" w:space="0" w:color="auto"/>
              <w:left w:val="single" w:sz="4" w:space="0" w:color="auto"/>
              <w:bottom w:val="single" w:sz="4" w:space="0" w:color="auto"/>
              <w:right w:val="single" w:sz="4" w:space="0" w:color="auto"/>
            </w:tcBorders>
          </w:tcPr>
          <w:p w14:paraId="27DBFC15" w14:textId="77777777" w:rsidR="00494065" w:rsidRPr="0029564F" w:rsidRDefault="00494065" w:rsidP="002D5EAA">
            <w:pPr>
              <w:spacing w:after="60"/>
              <w:rPr>
                <w:rFonts w:ascii="Calibri" w:hAnsi="Calibri" w:cs="Times New Roman"/>
                <w:sz w:val="20"/>
                <w:szCs w:val="20"/>
              </w:rPr>
            </w:pPr>
          </w:p>
        </w:tc>
        <w:tc>
          <w:tcPr>
            <w:tcW w:w="579" w:type="pct"/>
            <w:tcBorders>
              <w:top w:val="single" w:sz="4" w:space="0" w:color="auto"/>
              <w:left w:val="single" w:sz="4" w:space="0" w:color="auto"/>
              <w:bottom w:val="single" w:sz="4" w:space="0" w:color="auto"/>
              <w:right w:val="single" w:sz="4" w:space="0" w:color="auto"/>
            </w:tcBorders>
          </w:tcPr>
          <w:p w14:paraId="3D626E9F" w14:textId="77777777" w:rsidR="00494065" w:rsidRPr="0029564F" w:rsidRDefault="00494065" w:rsidP="002D5EAA">
            <w:pPr>
              <w:spacing w:after="60"/>
              <w:jc w:val="center"/>
              <w:rPr>
                <w:rFonts w:ascii="Calibri" w:hAnsi="Calibri" w:cs="Times New Roman"/>
                <w:sz w:val="20"/>
                <w:szCs w:val="20"/>
              </w:rPr>
            </w:pPr>
          </w:p>
        </w:tc>
        <w:tc>
          <w:tcPr>
            <w:tcW w:w="756" w:type="pct"/>
            <w:tcBorders>
              <w:top w:val="single" w:sz="4" w:space="0" w:color="auto"/>
              <w:left w:val="single" w:sz="4" w:space="0" w:color="auto"/>
              <w:bottom w:val="single" w:sz="4" w:space="0" w:color="auto"/>
              <w:right w:val="single" w:sz="4" w:space="0" w:color="auto"/>
            </w:tcBorders>
          </w:tcPr>
          <w:p w14:paraId="043A9E0F" w14:textId="77777777" w:rsidR="00494065" w:rsidRPr="0029564F" w:rsidRDefault="00494065" w:rsidP="002D5EAA">
            <w:pPr>
              <w:spacing w:after="60"/>
              <w:jc w:val="center"/>
              <w:rPr>
                <w:rFonts w:ascii="Calibri" w:hAnsi="Calibri" w:cs="Times New Roman"/>
                <w:sz w:val="20"/>
                <w:szCs w:val="20"/>
              </w:rPr>
            </w:pPr>
          </w:p>
        </w:tc>
        <w:tc>
          <w:tcPr>
            <w:tcW w:w="691" w:type="pct"/>
            <w:tcBorders>
              <w:top w:val="single" w:sz="4" w:space="0" w:color="auto"/>
              <w:left w:val="single" w:sz="4" w:space="0" w:color="auto"/>
              <w:bottom w:val="single" w:sz="4" w:space="0" w:color="auto"/>
              <w:right w:val="single" w:sz="4" w:space="0" w:color="auto"/>
            </w:tcBorders>
          </w:tcPr>
          <w:p w14:paraId="57CE6630"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ab/>
              <w:t xml:space="preserve"> </w:t>
            </w:r>
          </w:p>
        </w:tc>
        <w:tc>
          <w:tcPr>
            <w:tcW w:w="670" w:type="pct"/>
            <w:tcBorders>
              <w:top w:val="single" w:sz="4" w:space="0" w:color="auto"/>
              <w:left w:val="single" w:sz="4" w:space="0" w:color="auto"/>
              <w:bottom w:val="single" w:sz="4" w:space="0" w:color="auto"/>
              <w:right w:val="single" w:sz="4" w:space="0" w:color="auto"/>
            </w:tcBorders>
          </w:tcPr>
          <w:p w14:paraId="243316E1" w14:textId="77777777" w:rsidR="00494065" w:rsidRPr="0029564F" w:rsidRDefault="00494065" w:rsidP="002D5EAA">
            <w:pPr>
              <w:tabs>
                <w:tab w:val="left" w:pos="385"/>
                <w:tab w:val="center" w:pos="534"/>
              </w:tabs>
              <w:spacing w:after="60"/>
              <w:rPr>
                <w:rFonts w:ascii="Calibri" w:hAnsi="Calibri"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14:paraId="57018E9A" w14:textId="77777777" w:rsidR="00494065" w:rsidRPr="0029564F" w:rsidRDefault="00494065" w:rsidP="002D5EAA">
            <w:pPr>
              <w:spacing w:after="60"/>
              <w:jc w:val="center"/>
              <w:rPr>
                <w:rFonts w:ascii="Calibri" w:hAnsi="Calibri"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tcPr>
          <w:p w14:paraId="71C8941E" w14:textId="77777777" w:rsidR="00494065" w:rsidRPr="0029564F" w:rsidRDefault="00494065" w:rsidP="002D5EAA">
            <w:pPr>
              <w:spacing w:after="60"/>
              <w:jc w:val="center"/>
              <w:rPr>
                <w:rFonts w:ascii="Calibri" w:hAnsi="Calibri" w:cs="Times New Roman"/>
                <w:sz w:val="20"/>
                <w:szCs w:val="20"/>
              </w:rPr>
            </w:pPr>
          </w:p>
        </w:tc>
      </w:tr>
      <w:tr w:rsidR="00494065" w:rsidRPr="009D1392" w14:paraId="0FB422BB"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5D7C96DA"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Pulmonary Exacerbations Requiring Antibiotics</w:t>
            </w:r>
          </w:p>
        </w:tc>
      </w:tr>
      <w:tr w:rsidR="00494065" w:rsidRPr="009D1392" w14:paraId="6423052B" w14:textId="77777777" w:rsidTr="00E2368B">
        <w:tc>
          <w:tcPr>
            <w:tcW w:w="462" w:type="pct"/>
            <w:tcBorders>
              <w:top w:val="single" w:sz="4" w:space="0" w:color="auto"/>
              <w:left w:val="single" w:sz="4" w:space="0" w:color="auto"/>
              <w:bottom w:val="single" w:sz="4" w:space="0" w:color="auto"/>
              <w:right w:val="single" w:sz="4" w:space="0" w:color="auto"/>
            </w:tcBorders>
          </w:tcPr>
          <w:p w14:paraId="0CA52B3D" w14:textId="77777777" w:rsidR="00494065" w:rsidRPr="0029564F" w:rsidRDefault="00494065" w:rsidP="002D5EAA">
            <w:pPr>
              <w:spacing w:after="0"/>
              <w:rPr>
                <w:rFonts w:ascii="Calibri" w:hAnsi="Calibri" w:cs="Times New Roman"/>
                <w:b/>
                <w:sz w:val="20"/>
                <w:szCs w:val="20"/>
              </w:rPr>
            </w:pPr>
            <w:r w:rsidRPr="0029564F">
              <w:rPr>
                <w:rFonts w:ascii="Calibri" w:hAnsi="Calibri" w:cs="Times New Roman"/>
                <w:b/>
                <w:sz w:val="20"/>
                <w:szCs w:val="20"/>
              </w:rPr>
              <w:t>0</w:t>
            </w:r>
          </w:p>
        </w:tc>
        <w:tc>
          <w:tcPr>
            <w:tcW w:w="550" w:type="pct"/>
            <w:tcBorders>
              <w:top w:val="single" w:sz="4" w:space="0" w:color="auto"/>
              <w:left w:val="single" w:sz="4" w:space="0" w:color="auto"/>
              <w:bottom w:val="single" w:sz="4" w:space="0" w:color="auto"/>
              <w:right w:val="single" w:sz="4" w:space="0" w:color="auto"/>
            </w:tcBorders>
          </w:tcPr>
          <w:p w14:paraId="37788BB1" w14:textId="77777777" w:rsidR="00494065" w:rsidRPr="0029564F" w:rsidRDefault="00494065" w:rsidP="002D5EAA">
            <w:pPr>
              <w:spacing w:after="60"/>
              <w:rPr>
                <w:rFonts w:ascii="Calibri" w:hAnsi="Calibri" w:cs="Times New Roman"/>
                <w:sz w:val="20"/>
                <w:szCs w:val="20"/>
              </w:rPr>
            </w:pPr>
          </w:p>
        </w:tc>
        <w:tc>
          <w:tcPr>
            <w:tcW w:w="579" w:type="pct"/>
            <w:tcBorders>
              <w:top w:val="single" w:sz="4" w:space="0" w:color="auto"/>
              <w:left w:val="single" w:sz="4" w:space="0" w:color="auto"/>
              <w:bottom w:val="single" w:sz="4" w:space="0" w:color="auto"/>
              <w:right w:val="single" w:sz="4" w:space="0" w:color="auto"/>
            </w:tcBorders>
          </w:tcPr>
          <w:p w14:paraId="2693D88C" w14:textId="77777777" w:rsidR="00494065" w:rsidRPr="0029564F" w:rsidRDefault="00494065" w:rsidP="002D5EAA">
            <w:pPr>
              <w:spacing w:after="60"/>
              <w:jc w:val="center"/>
              <w:rPr>
                <w:rFonts w:ascii="Calibri" w:hAnsi="Calibri" w:cs="Times New Roman"/>
                <w:sz w:val="20"/>
                <w:szCs w:val="20"/>
              </w:rPr>
            </w:pPr>
          </w:p>
        </w:tc>
        <w:tc>
          <w:tcPr>
            <w:tcW w:w="756" w:type="pct"/>
            <w:tcBorders>
              <w:top w:val="single" w:sz="4" w:space="0" w:color="auto"/>
              <w:left w:val="single" w:sz="4" w:space="0" w:color="auto"/>
              <w:bottom w:val="single" w:sz="4" w:space="0" w:color="auto"/>
              <w:right w:val="single" w:sz="4" w:space="0" w:color="auto"/>
            </w:tcBorders>
          </w:tcPr>
          <w:p w14:paraId="10E74522" w14:textId="77777777" w:rsidR="00494065" w:rsidRPr="0029564F" w:rsidRDefault="00494065" w:rsidP="002D5EAA">
            <w:pPr>
              <w:spacing w:after="60"/>
              <w:jc w:val="center"/>
              <w:rPr>
                <w:rFonts w:ascii="Calibri" w:hAnsi="Calibri" w:cs="Times New Roman"/>
                <w:sz w:val="20"/>
                <w:szCs w:val="20"/>
              </w:rPr>
            </w:pPr>
          </w:p>
        </w:tc>
        <w:tc>
          <w:tcPr>
            <w:tcW w:w="691" w:type="pct"/>
            <w:tcBorders>
              <w:top w:val="single" w:sz="4" w:space="0" w:color="auto"/>
              <w:left w:val="single" w:sz="4" w:space="0" w:color="auto"/>
              <w:bottom w:val="single" w:sz="4" w:space="0" w:color="auto"/>
              <w:right w:val="single" w:sz="4" w:space="0" w:color="auto"/>
            </w:tcBorders>
          </w:tcPr>
          <w:p w14:paraId="1353EDC4" w14:textId="77777777" w:rsidR="00494065" w:rsidRPr="0029564F" w:rsidRDefault="00494065" w:rsidP="002D5EAA">
            <w:pPr>
              <w:spacing w:after="60"/>
              <w:jc w:val="center"/>
              <w:rPr>
                <w:rFonts w:ascii="Calibri" w:hAnsi="Calibri" w:cs="Times New Roman"/>
                <w:sz w:val="20"/>
                <w:szCs w:val="20"/>
              </w:rPr>
            </w:pPr>
          </w:p>
        </w:tc>
        <w:tc>
          <w:tcPr>
            <w:tcW w:w="670" w:type="pct"/>
            <w:tcBorders>
              <w:top w:val="single" w:sz="4" w:space="0" w:color="auto"/>
              <w:left w:val="single" w:sz="4" w:space="0" w:color="auto"/>
              <w:bottom w:val="single" w:sz="4" w:space="0" w:color="auto"/>
              <w:right w:val="single" w:sz="4" w:space="0" w:color="auto"/>
            </w:tcBorders>
          </w:tcPr>
          <w:p w14:paraId="15D52576" w14:textId="77777777" w:rsidR="00494065" w:rsidRPr="0029564F" w:rsidRDefault="00494065" w:rsidP="002D5EAA">
            <w:pPr>
              <w:spacing w:after="60"/>
              <w:jc w:val="center"/>
              <w:rPr>
                <w:rFonts w:ascii="Calibri" w:hAnsi="Calibri"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14:paraId="2D0AEE9E" w14:textId="77777777" w:rsidR="00494065" w:rsidRPr="0029564F" w:rsidRDefault="00494065" w:rsidP="002D5EAA">
            <w:pPr>
              <w:spacing w:after="60"/>
              <w:jc w:val="center"/>
              <w:rPr>
                <w:rFonts w:ascii="Calibri" w:hAnsi="Calibri"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tcPr>
          <w:p w14:paraId="1770F992" w14:textId="77777777" w:rsidR="00494065" w:rsidRPr="0029564F" w:rsidRDefault="00494065" w:rsidP="002D5EAA">
            <w:pPr>
              <w:spacing w:after="60"/>
              <w:jc w:val="center"/>
              <w:rPr>
                <w:rFonts w:ascii="Calibri" w:hAnsi="Calibri" w:cs="Times New Roman"/>
                <w:sz w:val="20"/>
                <w:szCs w:val="20"/>
              </w:rPr>
            </w:pPr>
          </w:p>
        </w:tc>
      </w:tr>
      <w:tr w:rsidR="00494065" w:rsidRPr="009D1392" w14:paraId="04E57BDC"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2E8A2621" w14:textId="77777777" w:rsidR="00494065" w:rsidRPr="0029564F" w:rsidRDefault="00494065" w:rsidP="002D5EAA">
            <w:pPr>
              <w:spacing w:after="0"/>
              <w:rPr>
                <w:rFonts w:ascii="Calibri" w:hAnsi="Calibri" w:cs="Times New Roman"/>
                <w:b/>
                <w:sz w:val="20"/>
                <w:szCs w:val="20"/>
              </w:rPr>
            </w:pPr>
            <w:r w:rsidRPr="0029564F">
              <w:rPr>
                <w:rFonts w:ascii="Calibri" w:hAnsi="Calibri" w:cs="Times New Roman"/>
                <w:b/>
                <w:sz w:val="20"/>
                <w:szCs w:val="20"/>
              </w:rPr>
              <w:t>Exercise Capacity</w:t>
            </w:r>
          </w:p>
        </w:tc>
      </w:tr>
      <w:tr w:rsidR="00494065" w:rsidRPr="009D1392" w14:paraId="0851932F" w14:textId="77777777" w:rsidTr="00E2368B">
        <w:tc>
          <w:tcPr>
            <w:tcW w:w="462" w:type="pct"/>
            <w:tcBorders>
              <w:top w:val="single" w:sz="4" w:space="0" w:color="auto"/>
              <w:left w:val="single" w:sz="4" w:space="0" w:color="auto"/>
              <w:bottom w:val="single" w:sz="4" w:space="0" w:color="auto"/>
              <w:right w:val="single" w:sz="4" w:space="0" w:color="auto"/>
            </w:tcBorders>
          </w:tcPr>
          <w:p w14:paraId="72CD5F6A"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50" w:type="pct"/>
            <w:tcBorders>
              <w:top w:val="single" w:sz="4" w:space="0" w:color="auto"/>
              <w:left w:val="single" w:sz="4" w:space="0" w:color="auto"/>
              <w:bottom w:val="single" w:sz="4" w:space="0" w:color="auto"/>
              <w:right w:val="single" w:sz="4" w:space="0" w:color="auto"/>
            </w:tcBorders>
          </w:tcPr>
          <w:p w14:paraId="4BD26410" w14:textId="77777777" w:rsidR="00494065" w:rsidRPr="0029564F" w:rsidRDefault="00494065" w:rsidP="002D5EAA">
            <w:pPr>
              <w:spacing w:after="60"/>
              <w:rPr>
                <w:rFonts w:ascii="Calibri" w:hAnsi="Calibri" w:cs="Times New Roman"/>
                <w:sz w:val="20"/>
                <w:szCs w:val="20"/>
              </w:rPr>
            </w:pPr>
          </w:p>
        </w:tc>
        <w:tc>
          <w:tcPr>
            <w:tcW w:w="579" w:type="pct"/>
            <w:tcBorders>
              <w:top w:val="single" w:sz="4" w:space="0" w:color="auto"/>
              <w:left w:val="single" w:sz="4" w:space="0" w:color="auto"/>
              <w:bottom w:val="single" w:sz="4" w:space="0" w:color="auto"/>
              <w:right w:val="single" w:sz="4" w:space="0" w:color="auto"/>
            </w:tcBorders>
          </w:tcPr>
          <w:p w14:paraId="61558BB5" w14:textId="77777777" w:rsidR="00494065" w:rsidRPr="0029564F" w:rsidRDefault="00494065" w:rsidP="002D5EAA">
            <w:pPr>
              <w:spacing w:after="60"/>
              <w:jc w:val="center"/>
              <w:rPr>
                <w:rFonts w:ascii="Calibri" w:hAnsi="Calibri" w:cs="Times New Roman"/>
                <w:sz w:val="20"/>
                <w:szCs w:val="20"/>
              </w:rPr>
            </w:pPr>
          </w:p>
        </w:tc>
        <w:tc>
          <w:tcPr>
            <w:tcW w:w="756" w:type="pct"/>
            <w:tcBorders>
              <w:top w:val="single" w:sz="4" w:space="0" w:color="auto"/>
              <w:left w:val="single" w:sz="4" w:space="0" w:color="auto"/>
              <w:bottom w:val="single" w:sz="4" w:space="0" w:color="auto"/>
              <w:right w:val="single" w:sz="4" w:space="0" w:color="auto"/>
            </w:tcBorders>
          </w:tcPr>
          <w:p w14:paraId="29DD8D0D" w14:textId="77777777" w:rsidR="00494065" w:rsidRPr="0029564F" w:rsidRDefault="00494065" w:rsidP="002D5EAA">
            <w:pPr>
              <w:spacing w:after="60"/>
              <w:jc w:val="center"/>
              <w:rPr>
                <w:rFonts w:ascii="Calibri" w:hAnsi="Calibri" w:cs="Times New Roman"/>
                <w:sz w:val="20"/>
                <w:szCs w:val="20"/>
              </w:rPr>
            </w:pPr>
          </w:p>
        </w:tc>
        <w:tc>
          <w:tcPr>
            <w:tcW w:w="691" w:type="pct"/>
            <w:tcBorders>
              <w:top w:val="single" w:sz="4" w:space="0" w:color="auto"/>
              <w:left w:val="single" w:sz="4" w:space="0" w:color="auto"/>
              <w:bottom w:val="single" w:sz="4" w:space="0" w:color="auto"/>
              <w:right w:val="single" w:sz="4" w:space="0" w:color="auto"/>
            </w:tcBorders>
          </w:tcPr>
          <w:p w14:paraId="3378ED96" w14:textId="77777777" w:rsidR="00494065" w:rsidRPr="0029564F" w:rsidRDefault="00494065" w:rsidP="002D5EAA">
            <w:pPr>
              <w:spacing w:after="60"/>
              <w:jc w:val="center"/>
              <w:rPr>
                <w:rFonts w:ascii="Calibri" w:hAnsi="Calibri" w:cs="Times New Roman"/>
                <w:sz w:val="20"/>
                <w:szCs w:val="20"/>
              </w:rPr>
            </w:pPr>
          </w:p>
        </w:tc>
        <w:tc>
          <w:tcPr>
            <w:tcW w:w="670" w:type="pct"/>
            <w:tcBorders>
              <w:top w:val="single" w:sz="4" w:space="0" w:color="auto"/>
              <w:left w:val="single" w:sz="4" w:space="0" w:color="auto"/>
              <w:bottom w:val="single" w:sz="4" w:space="0" w:color="auto"/>
              <w:right w:val="single" w:sz="4" w:space="0" w:color="auto"/>
            </w:tcBorders>
          </w:tcPr>
          <w:p w14:paraId="413F605E" w14:textId="77777777" w:rsidR="00494065" w:rsidRPr="0029564F" w:rsidRDefault="00494065" w:rsidP="002D5EAA">
            <w:pPr>
              <w:spacing w:after="60"/>
              <w:jc w:val="center"/>
              <w:rPr>
                <w:rFonts w:ascii="Calibri" w:hAnsi="Calibri" w:cs="Times New Roman"/>
                <w:sz w:val="20"/>
                <w:szCs w:val="20"/>
              </w:rPr>
            </w:pPr>
          </w:p>
        </w:tc>
        <w:tc>
          <w:tcPr>
            <w:tcW w:w="689" w:type="pct"/>
            <w:tcBorders>
              <w:top w:val="single" w:sz="4" w:space="0" w:color="auto"/>
              <w:left w:val="single" w:sz="4" w:space="0" w:color="auto"/>
              <w:bottom w:val="single" w:sz="4" w:space="0" w:color="auto"/>
              <w:right w:val="single" w:sz="4" w:space="0" w:color="auto"/>
            </w:tcBorders>
          </w:tcPr>
          <w:p w14:paraId="3760DDED" w14:textId="77777777" w:rsidR="00494065" w:rsidRPr="0029564F" w:rsidRDefault="00494065" w:rsidP="002D5EAA">
            <w:pPr>
              <w:spacing w:after="60"/>
              <w:jc w:val="center"/>
              <w:rPr>
                <w:rFonts w:ascii="Calibri" w:hAnsi="Calibri" w:cs="Times New Roman"/>
                <w:sz w:val="20"/>
                <w:szCs w:val="20"/>
              </w:rPr>
            </w:pPr>
          </w:p>
        </w:tc>
        <w:tc>
          <w:tcPr>
            <w:tcW w:w="603" w:type="pct"/>
            <w:tcBorders>
              <w:top w:val="single" w:sz="4" w:space="0" w:color="auto"/>
              <w:left w:val="single" w:sz="4" w:space="0" w:color="auto"/>
              <w:bottom w:val="single" w:sz="4" w:space="0" w:color="auto"/>
              <w:right w:val="single" w:sz="4" w:space="0" w:color="auto"/>
            </w:tcBorders>
          </w:tcPr>
          <w:p w14:paraId="1A2E9688" w14:textId="77777777" w:rsidR="00494065" w:rsidRPr="0029564F" w:rsidRDefault="00494065" w:rsidP="002D5EAA">
            <w:pPr>
              <w:spacing w:after="60"/>
              <w:jc w:val="center"/>
              <w:rPr>
                <w:rFonts w:ascii="Calibri" w:hAnsi="Calibri" w:cs="Times New Roman"/>
                <w:sz w:val="20"/>
                <w:szCs w:val="20"/>
              </w:rPr>
            </w:pPr>
          </w:p>
        </w:tc>
      </w:tr>
      <w:tr w:rsidR="00494065" w:rsidRPr="009D1392" w14:paraId="510961E2"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3C883942"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Breathlessness or Cough</w:t>
            </w:r>
          </w:p>
        </w:tc>
      </w:tr>
      <w:tr w:rsidR="00494065" w:rsidRPr="009D1392" w14:paraId="5452DF18" w14:textId="77777777" w:rsidTr="00E2368B">
        <w:tc>
          <w:tcPr>
            <w:tcW w:w="462" w:type="pct"/>
            <w:tcBorders>
              <w:top w:val="single" w:sz="4" w:space="0" w:color="auto"/>
              <w:left w:val="single" w:sz="4" w:space="0" w:color="auto"/>
              <w:bottom w:val="single" w:sz="4" w:space="0" w:color="auto"/>
              <w:right w:val="single" w:sz="4" w:space="0" w:color="auto"/>
            </w:tcBorders>
          </w:tcPr>
          <w:p w14:paraId="6FFCEAD3"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1</w:t>
            </w:r>
          </w:p>
        </w:tc>
        <w:tc>
          <w:tcPr>
            <w:tcW w:w="550" w:type="pct"/>
            <w:tcBorders>
              <w:top w:val="single" w:sz="4" w:space="0" w:color="auto"/>
              <w:left w:val="single" w:sz="4" w:space="0" w:color="auto"/>
              <w:bottom w:val="single" w:sz="4" w:space="0" w:color="auto"/>
              <w:right w:val="single" w:sz="4" w:space="0" w:color="auto"/>
            </w:tcBorders>
          </w:tcPr>
          <w:p w14:paraId="54C984AE"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RCT</w:t>
            </w:r>
          </w:p>
        </w:tc>
        <w:tc>
          <w:tcPr>
            <w:tcW w:w="579" w:type="pct"/>
            <w:tcBorders>
              <w:top w:val="single" w:sz="4" w:space="0" w:color="auto"/>
              <w:left w:val="single" w:sz="4" w:space="0" w:color="auto"/>
              <w:bottom w:val="single" w:sz="4" w:space="0" w:color="auto"/>
              <w:right w:val="single" w:sz="4" w:space="0" w:color="auto"/>
            </w:tcBorders>
          </w:tcPr>
          <w:p w14:paraId="51F3F3EE"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Moderate</w:t>
            </w:r>
          </w:p>
        </w:tc>
        <w:tc>
          <w:tcPr>
            <w:tcW w:w="756" w:type="pct"/>
            <w:tcBorders>
              <w:top w:val="single" w:sz="4" w:space="0" w:color="auto"/>
              <w:left w:val="single" w:sz="4" w:space="0" w:color="auto"/>
              <w:bottom w:val="single" w:sz="4" w:space="0" w:color="auto"/>
              <w:right w:val="single" w:sz="4" w:space="0" w:color="auto"/>
            </w:tcBorders>
          </w:tcPr>
          <w:p w14:paraId="16E1E0CF"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Unable to rate (single study)</w:t>
            </w:r>
          </w:p>
        </w:tc>
        <w:tc>
          <w:tcPr>
            <w:tcW w:w="691" w:type="pct"/>
            <w:tcBorders>
              <w:top w:val="single" w:sz="4" w:space="0" w:color="auto"/>
              <w:left w:val="single" w:sz="4" w:space="0" w:color="auto"/>
              <w:bottom w:val="single" w:sz="4" w:space="0" w:color="auto"/>
              <w:right w:val="single" w:sz="4" w:space="0" w:color="auto"/>
            </w:tcBorders>
          </w:tcPr>
          <w:p w14:paraId="727A1586"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 xml:space="preserve">Serious </w:t>
            </w:r>
          </w:p>
        </w:tc>
        <w:tc>
          <w:tcPr>
            <w:tcW w:w="670" w:type="pct"/>
            <w:tcBorders>
              <w:top w:val="single" w:sz="4" w:space="0" w:color="auto"/>
              <w:left w:val="single" w:sz="4" w:space="0" w:color="auto"/>
              <w:bottom w:val="single" w:sz="4" w:space="0" w:color="auto"/>
              <w:right w:val="single" w:sz="4" w:space="0" w:color="auto"/>
            </w:tcBorders>
          </w:tcPr>
          <w:p w14:paraId="5098BBF3"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689" w:type="pct"/>
            <w:tcBorders>
              <w:top w:val="single" w:sz="4" w:space="0" w:color="auto"/>
              <w:left w:val="single" w:sz="4" w:space="0" w:color="auto"/>
              <w:bottom w:val="single" w:sz="4" w:space="0" w:color="auto"/>
              <w:right w:val="single" w:sz="4" w:space="0" w:color="auto"/>
            </w:tcBorders>
          </w:tcPr>
          <w:p w14:paraId="0E6F464D"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Short intervention period and follow-up</w:t>
            </w:r>
          </w:p>
        </w:tc>
        <w:tc>
          <w:tcPr>
            <w:tcW w:w="603" w:type="pct"/>
            <w:tcBorders>
              <w:top w:val="single" w:sz="4" w:space="0" w:color="auto"/>
              <w:left w:val="single" w:sz="4" w:space="0" w:color="auto"/>
              <w:bottom w:val="single" w:sz="4" w:space="0" w:color="auto"/>
              <w:right w:val="single" w:sz="4" w:space="0" w:color="auto"/>
            </w:tcBorders>
          </w:tcPr>
          <w:p w14:paraId="5DE8B676"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 xml:space="preserve">Very low </w:t>
            </w:r>
          </w:p>
          <w:p w14:paraId="43ACB970"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sz w:val="20"/>
                <w:szCs w:val="20"/>
              </w:rPr>
              <w:t xml:space="preserve"> ●◌◌◌</w:t>
            </w:r>
          </w:p>
        </w:tc>
      </w:tr>
    </w:tbl>
    <w:p w14:paraId="0A457AA8" w14:textId="5D96CC43" w:rsidR="00494065" w:rsidRDefault="00E2368B" w:rsidP="002D5EAA">
      <w:pPr>
        <w:spacing w:after="160"/>
        <w:rPr>
          <w:rFonts w:ascii="Cambria" w:eastAsiaTheme="majorEastAsia" w:hAnsi="Cambria" w:cstheme="majorBidi"/>
          <w:b/>
          <w:color w:val="244061"/>
          <w:sz w:val="28"/>
          <w:szCs w:val="32"/>
        </w:rPr>
      </w:pPr>
      <w:r w:rsidRPr="0029564F">
        <w:rPr>
          <w:sz w:val="20"/>
          <w:szCs w:val="20"/>
        </w:rPr>
        <w:t>Abbreviation. RCT: randomized controlled trial.</w:t>
      </w:r>
      <w:r w:rsidR="00494065" w:rsidRPr="009018B7">
        <w:br w:type="page"/>
      </w:r>
    </w:p>
    <w:tbl>
      <w:tblPr>
        <w:tblW w:w="5000" w:type="pct"/>
        <w:tblLook w:val="04A0" w:firstRow="1" w:lastRow="0" w:firstColumn="1" w:lastColumn="0" w:noHBand="0" w:noVBand="1"/>
      </w:tblPr>
      <w:tblGrid>
        <w:gridCol w:w="884"/>
        <w:gridCol w:w="1085"/>
        <w:gridCol w:w="1027"/>
        <w:gridCol w:w="1451"/>
        <w:gridCol w:w="1328"/>
        <w:gridCol w:w="1285"/>
        <w:gridCol w:w="1015"/>
        <w:gridCol w:w="1275"/>
      </w:tblGrid>
      <w:tr w:rsidR="00494065" w:rsidRPr="009D1392" w14:paraId="798D8DB7" w14:textId="77777777" w:rsidTr="0029564F">
        <w:trPr>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275C9D"/>
            <w:vAlign w:val="center"/>
            <w:hideMark/>
          </w:tcPr>
          <w:p w14:paraId="267F37D4" w14:textId="570065A6" w:rsidR="00494065" w:rsidRPr="0029564F" w:rsidRDefault="00494065" w:rsidP="002D5EAA">
            <w:pPr>
              <w:spacing w:after="60" w:line="276" w:lineRule="auto"/>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lastRenderedPageBreak/>
              <w:t xml:space="preserve">Certainty Assessment (Confidence in Estimate of Effect) for Pulmonary Complications </w:t>
            </w:r>
            <w:r w:rsidR="001D24DF" w:rsidRPr="0029564F">
              <w:rPr>
                <w:rFonts w:ascii="Calibri" w:hAnsi="Calibri" w:cs="Times New Roman"/>
                <w:b/>
                <w:color w:val="FFFFFF" w:themeColor="background1"/>
                <w:sz w:val="20"/>
                <w:szCs w:val="20"/>
              </w:rPr>
              <w:t>from</w:t>
            </w:r>
            <w:r w:rsidRPr="0029564F">
              <w:rPr>
                <w:rFonts w:ascii="Calibri" w:hAnsi="Calibri" w:cs="Times New Roman"/>
                <w:b/>
                <w:color w:val="FFFFFF" w:themeColor="background1"/>
                <w:sz w:val="20"/>
                <w:szCs w:val="20"/>
              </w:rPr>
              <w:t xml:space="preserve"> Neuromuscular Disease Resulting in Chronic Lung Disease</w:t>
            </w:r>
          </w:p>
        </w:tc>
      </w:tr>
      <w:tr w:rsidR="00494065" w:rsidRPr="009D1392" w14:paraId="2E2E1798" w14:textId="77777777" w:rsidTr="0029564F">
        <w:trPr>
          <w:tblHeader/>
        </w:trPr>
        <w:tc>
          <w:tcPr>
            <w:tcW w:w="473"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46828D2E"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No. of Studies</w:t>
            </w:r>
          </w:p>
        </w:tc>
        <w:tc>
          <w:tcPr>
            <w:tcW w:w="580"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196F068A"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Study Design(s)</w:t>
            </w:r>
          </w:p>
        </w:tc>
        <w:tc>
          <w:tcPr>
            <w:tcW w:w="549" w:type="pct"/>
            <w:tcBorders>
              <w:top w:val="single" w:sz="4" w:space="0" w:color="auto"/>
              <w:left w:val="single" w:sz="4" w:space="0" w:color="auto"/>
              <w:bottom w:val="single" w:sz="4" w:space="0" w:color="auto"/>
              <w:right w:val="single" w:sz="4" w:space="0" w:color="auto"/>
            </w:tcBorders>
            <w:shd w:val="clear" w:color="auto" w:fill="275C9D"/>
            <w:vAlign w:val="bottom"/>
            <w:hideMark/>
          </w:tcPr>
          <w:p w14:paraId="535A9407"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Risk of Bias</w:t>
            </w:r>
          </w:p>
        </w:tc>
        <w:tc>
          <w:tcPr>
            <w:tcW w:w="776"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54EDBDB6"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Inconsistency</w:t>
            </w:r>
          </w:p>
        </w:tc>
        <w:tc>
          <w:tcPr>
            <w:tcW w:w="710"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3F93E1E8"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Indirectness</w:t>
            </w:r>
          </w:p>
        </w:tc>
        <w:tc>
          <w:tcPr>
            <w:tcW w:w="687"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274E659D"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Imprecision</w:t>
            </w:r>
          </w:p>
        </w:tc>
        <w:tc>
          <w:tcPr>
            <w:tcW w:w="543"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059CF3D5"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Other Factors</w:t>
            </w:r>
          </w:p>
        </w:tc>
        <w:tc>
          <w:tcPr>
            <w:tcW w:w="682" w:type="pct"/>
            <w:tcBorders>
              <w:top w:val="single" w:sz="4" w:space="0" w:color="auto"/>
              <w:left w:val="single" w:sz="4" w:space="0" w:color="auto"/>
              <w:bottom w:val="single" w:sz="4" w:space="0" w:color="auto"/>
              <w:right w:val="single" w:sz="4" w:space="0" w:color="auto"/>
            </w:tcBorders>
            <w:shd w:val="clear" w:color="auto" w:fill="275C9D"/>
            <w:vAlign w:val="center"/>
            <w:hideMark/>
          </w:tcPr>
          <w:p w14:paraId="7142E3E7" w14:textId="77777777" w:rsidR="00494065" w:rsidRPr="0029564F" w:rsidRDefault="00494065" w:rsidP="002D5EAA">
            <w:pPr>
              <w:spacing w:after="60"/>
              <w:jc w:val="center"/>
              <w:rPr>
                <w:rFonts w:ascii="Calibri" w:hAnsi="Calibri" w:cs="Times New Roman"/>
                <w:b/>
                <w:color w:val="FFFFFF" w:themeColor="background1"/>
                <w:sz w:val="20"/>
                <w:szCs w:val="20"/>
              </w:rPr>
            </w:pPr>
            <w:r w:rsidRPr="0029564F">
              <w:rPr>
                <w:rFonts w:ascii="Calibri" w:hAnsi="Calibri" w:cs="Times New Roman"/>
                <w:b/>
                <w:color w:val="FFFFFF" w:themeColor="background1"/>
                <w:sz w:val="20"/>
                <w:szCs w:val="20"/>
              </w:rPr>
              <w:t>Certainty</w:t>
            </w:r>
          </w:p>
        </w:tc>
      </w:tr>
      <w:tr w:rsidR="00494065" w:rsidRPr="009D1392" w14:paraId="31CFAB9B"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394BF3AB" w14:textId="77777777" w:rsidR="00494065" w:rsidRPr="0029564F" w:rsidRDefault="00494065" w:rsidP="002D5EAA">
            <w:pPr>
              <w:spacing w:after="0"/>
              <w:rPr>
                <w:rFonts w:ascii="Calibri" w:hAnsi="Calibri" w:cs="Times New Roman"/>
                <w:b/>
                <w:i/>
                <w:sz w:val="20"/>
                <w:szCs w:val="20"/>
                <w:vertAlign w:val="superscript"/>
              </w:rPr>
            </w:pPr>
            <w:r w:rsidRPr="0029564F">
              <w:rPr>
                <w:rFonts w:ascii="Calibri" w:hAnsi="Calibri" w:cs="Times New Roman"/>
                <w:b/>
                <w:sz w:val="20"/>
                <w:szCs w:val="20"/>
              </w:rPr>
              <w:t>Hospitalizations</w:t>
            </w:r>
          </w:p>
        </w:tc>
      </w:tr>
      <w:tr w:rsidR="00494065" w:rsidRPr="009D1392" w14:paraId="3880F94D" w14:textId="77777777" w:rsidTr="002D5EAA">
        <w:tc>
          <w:tcPr>
            <w:tcW w:w="473" w:type="pct"/>
            <w:tcBorders>
              <w:top w:val="single" w:sz="4" w:space="0" w:color="auto"/>
              <w:left w:val="single" w:sz="4" w:space="0" w:color="auto"/>
              <w:bottom w:val="single" w:sz="4" w:space="0" w:color="auto"/>
              <w:right w:val="single" w:sz="4" w:space="0" w:color="auto"/>
            </w:tcBorders>
          </w:tcPr>
          <w:p w14:paraId="06F733E7"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tcPr>
          <w:p w14:paraId="548EC92F" w14:textId="77777777" w:rsidR="00494065" w:rsidRPr="0029564F" w:rsidRDefault="00494065" w:rsidP="002D5EAA">
            <w:pPr>
              <w:spacing w:after="60"/>
              <w:rPr>
                <w:rFonts w:ascii="Calibri" w:hAnsi="Calibri"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tcPr>
          <w:p w14:paraId="04C8E69F" w14:textId="77777777" w:rsidR="00494065" w:rsidRPr="0029564F" w:rsidRDefault="00494065" w:rsidP="002D5EAA">
            <w:pPr>
              <w:spacing w:after="60"/>
              <w:jc w:val="center"/>
              <w:rPr>
                <w:rFonts w:ascii="Calibri" w:hAnsi="Calibri" w:cs="Times New Roman"/>
                <w:sz w:val="20"/>
                <w:szCs w:val="20"/>
              </w:rPr>
            </w:pPr>
          </w:p>
        </w:tc>
        <w:tc>
          <w:tcPr>
            <w:tcW w:w="776" w:type="pct"/>
            <w:tcBorders>
              <w:top w:val="single" w:sz="4" w:space="0" w:color="auto"/>
              <w:left w:val="single" w:sz="4" w:space="0" w:color="auto"/>
              <w:bottom w:val="single" w:sz="4" w:space="0" w:color="auto"/>
              <w:right w:val="single" w:sz="4" w:space="0" w:color="auto"/>
            </w:tcBorders>
          </w:tcPr>
          <w:p w14:paraId="2A440D5F" w14:textId="77777777" w:rsidR="00494065" w:rsidRPr="0029564F" w:rsidRDefault="00494065" w:rsidP="002D5EAA">
            <w:pPr>
              <w:spacing w:after="60"/>
              <w:jc w:val="center"/>
              <w:rPr>
                <w:rFonts w:ascii="Calibri" w:hAnsi="Calibri" w:cs="Times New Roman"/>
                <w:sz w:val="20"/>
                <w:szCs w:val="20"/>
              </w:rPr>
            </w:pPr>
          </w:p>
        </w:tc>
        <w:tc>
          <w:tcPr>
            <w:tcW w:w="710" w:type="pct"/>
            <w:tcBorders>
              <w:top w:val="single" w:sz="4" w:space="0" w:color="auto"/>
              <w:left w:val="single" w:sz="4" w:space="0" w:color="auto"/>
              <w:bottom w:val="single" w:sz="4" w:space="0" w:color="auto"/>
              <w:right w:val="single" w:sz="4" w:space="0" w:color="auto"/>
            </w:tcBorders>
          </w:tcPr>
          <w:p w14:paraId="0FC1C46A" w14:textId="77777777" w:rsidR="00494065" w:rsidRPr="0029564F" w:rsidRDefault="00494065" w:rsidP="002D5EAA">
            <w:pPr>
              <w:spacing w:after="60"/>
              <w:jc w:val="center"/>
              <w:rPr>
                <w:rFonts w:ascii="Calibri" w:hAnsi="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1798D440" w14:textId="77777777" w:rsidR="00494065" w:rsidRPr="0029564F" w:rsidRDefault="00494065" w:rsidP="002D5EAA">
            <w:pPr>
              <w:spacing w:after="60"/>
              <w:jc w:val="center"/>
              <w:rPr>
                <w:rFonts w:ascii="Calibri" w:hAnsi="Calibri"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5D136880" w14:textId="77777777" w:rsidR="00494065" w:rsidRPr="0029564F" w:rsidRDefault="00494065" w:rsidP="002D5EAA">
            <w:pPr>
              <w:spacing w:after="60"/>
              <w:jc w:val="center"/>
              <w:rPr>
                <w:rFonts w:ascii="Calibri" w:hAnsi="Calibri" w:cs="Times New Roman"/>
                <w:sz w:val="20"/>
                <w:szCs w:val="20"/>
              </w:rPr>
            </w:pPr>
          </w:p>
        </w:tc>
        <w:tc>
          <w:tcPr>
            <w:tcW w:w="682" w:type="pct"/>
            <w:tcBorders>
              <w:top w:val="single" w:sz="4" w:space="0" w:color="auto"/>
              <w:left w:val="single" w:sz="4" w:space="0" w:color="auto"/>
              <w:bottom w:val="single" w:sz="4" w:space="0" w:color="auto"/>
              <w:right w:val="single" w:sz="4" w:space="0" w:color="auto"/>
            </w:tcBorders>
          </w:tcPr>
          <w:p w14:paraId="4C9CDAC1" w14:textId="77777777" w:rsidR="00494065" w:rsidRPr="0029564F" w:rsidRDefault="00494065" w:rsidP="002D5EAA">
            <w:pPr>
              <w:spacing w:after="60"/>
              <w:jc w:val="center"/>
              <w:rPr>
                <w:rFonts w:ascii="Calibri" w:hAnsi="Calibri" w:cs="Times New Roman"/>
                <w:sz w:val="20"/>
                <w:szCs w:val="20"/>
              </w:rPr>
            </w:pPr>
          </w:p>
        </w:tc>
      </w:tr>
      <w:tr w:rsidR="00494065" w:rsidRPr="009D1392" w14:paraId="6E25D17B"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46E8DAFC"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Mortality</w:t>
            </w:r>
          </w:p>
        </w:tc>
      </w:tr>
      <w:tr w:rsidR="00494065" w:rsidRPr="009D1392" w14:paraId="01CF745C" w14:textId="77777777" w:rsidTr="002D5EAA">
        <w:tc>
          <w:tcPr>
            <w:tcW w:w="473" w:type="pct"/>
            <w:tcBorders>
              <w:top w:val="single" w:sz="4" w:space="0" w:color="auto"/>
              <w:left w:val="single" w:sz="4" w:space="0" w:color="auto"/>
              <w:bottom w:val="single" w:sz="4" w:space="0" w:color="auto"/>
              <w:right w:val="single" w:sz="4" w:space="0" w:color="auto"/>
            </w:tcBorders>
          </w:tcPr>
          <w:p w14:paraId="3BE25704"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tcPr>
          <w:p w14:paraId="75310DB1" w14:textId="77777777" w:rsidR="00494065" w:rsidRPr="0029564F" w:rsidRDefault="00494065" w:rsidP="002D5EAA">
            <w:pPr>
              <w:spacing w:after="60"/>
              <w:rPr>
                <w:rFonts w:ascii="Calibri" w:hAnsi="Calibri"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tcPr>
          <w:p w14:paraId="75E725F3" w14:textId="77777777" w:rsidR="00494065" w:rsidRPr="0029564F" w:rsidRDefault="00494065" w:rsidP="002D5EAA">
            <w:pPr>
              <w:spacing w:after="60"/>
              <w:jc w:val="center"/>
              <w:rPr>
                <w:rFonts w:ascii="Calibri" w:hAnsi="Calibri" w:cs="Times New Roman"/>
                <w:sz w:val="20"/>
                <w:szCs w:val="20"/>
              </w:rPr>
            </w:pPr>
          </w:p>
        </w:tc>
        <w:tc>
          <w:tcPr>
            <w:tcW w:w="776" w:type="pct"/>
            <w:tcBorders>
              <w:top w:val="single" w:sz="4" w:space="0" w:color="auto"/>
              <w:left w:val="single" w:sz="4" w:space="0" w:color="auto"/>
              <w:bottom w:val="single" w:sz="4" w:space="0" w:color="auto"/>
              <w:right w:val="single" w:sz="4" w:space="0" w:color="auto"/>
            </w:tcBorders>
          </w:tcPr>
          <w:p w14:paraId="3FA7D5C9" w14:textId="77777777" w:rsidR="00494065" w:rsidRPr="0029564F" w:rsidRDefault="00494065" w:rsidP="002D5EAA">
            <w:pPr>
              <w:spacing w:after="60"/>
              <w:jc w:val="center"/>
              <w:rPr>
                <w:rFonts w:ascii="Calibri" w:hAnsi="Calibri" w:cs="Times New Roman"/>
                <w:sz w:val="20"/>
                <w:szCs w:val="20"/>
              </w:rPr>
            </w:pPr>
          </w:p>
        </w:tc>
        <w:tc>
          <w:tcPr>
            <w:tcW w:w="710" w:type="pct"/>
            <w:tcBorders>
              <w:top w:val="single" w:sz="4" w:space="0" w:color="auto"/>
              <w:left w:val="single" w:sz="4" w:space="0" w:color="auto"/>
              <w:bottom w:val="single" w:sz="4" w:space="0" w:color="auto"/>
              <w:right w:val="single" w:sz="4" w:space="0" w:color="auto"/>
            </w:tcBorders>
          </w:tcPr>
          <w:p w14:paraId="24C15943"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ab/>
              <w:t xml:space="preserve"> </w:t>
            </w:r>
          </w:p>
        </w:tc>
        <w:tc>
          <w:tcPr>
            <w:tcW w:w="687" w:type="pct"/>
            <w:tcBorders>
              <w:top w:val="single" w:sz="4" w:space="0" w:color="auto"/>
              <w:left w:val="single" w:sz="4" w:space="0" w:color="auto"/>
              <w:bottom w:val="single" w:sz="4" w:space="0" w:color="auto"/>
              <w:right w:val="single" w:sz="4" w:space="0" w:color="auto"/>
            </w:tcBorders>
          </w:tcPr>
          <w:p w14:paraId="288A1FA1" w14:textId="77777777" w:rsidR="00494065" w:rsidRPr="0029564F" w:rsidRDefault="00494065" w:rsidP="002D5EAA">
            <w:pPr>
              <w:tabs>
                <w:tab w:val="left" w:pos="385"/>
                <w:tab w:val="center" w:pos="534"/>
              </w:tabs>
              <w:spacing w:after="60"/>
              <w:rPr>
                <w:rFonts w:ascii="Calibri" w:hAnsi="Calibri"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55EC377B" w14:textId="77777777" w:rsidR="00494065" w:rsidRPr="0029564F" w:rsidRDefault="00494065" w:rsidP="002D5EAA">
            <w:pPr>
              <w:spacing w:after="60"/>
              <w:jc w:val="center"/>
              <w:rPr>
                <w:rFonts w:ascii="Calibri" w:hAnsi="Calibri" w:cs="Times New Roman"/>
                <w:sz w:val="20"/>
                <w:szCs w:val="20"/>
              </w:rPr>
            </w:pPr>
          </w:p>
        </w:tc>
        <w:tc>
          <w:tcPr>
            <w:tcW w:w="682" w:type="pct"/>
            <w:tcBorders>
              <w:top w:val="single" w:sz="4" w:space="0" w:color="auto"/>
              <w:left w:val="single" w:sz="4" w:space="0" w:color="auto"/>
              <w:bottom w:val="single" w:sz="4" w:space="0" w:color="auto"/>
              <w:right w:val="single" w:sz="4" w:space="0" w:color="auto"/>
            </w:tcBorders>
          </w:tcPr>
          <w:p w14:paraId="62195B46" w14:textId="77777777" w:rsidR="00494065" w:rsidRPr="0029564F" w:rsidRDefault="00494065" w:rsidP="002D5EAA">
            <w:pPr>
              <w:spacing w:after="60"/>
              <w:jc w:val="center"/>
              <w:rPr>
                <w:rFonts w:ascii="Calibri" w:hAnsi="Calibri" w:cs="Times New Roman"/>
                <w:sz w:val="20"/>
                <w:szCs w:val="20"/>
              </w:rPr>
            </w:pPr>
          </w:p>
        </w:tc>
      </w:tr>
      <w:tr w:rsidR="00494065" w:rsidRPr="009D1392" w14:paraId="025D8D80"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0EAF9E6E"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Pulmonary Exacerbations Requiring Antibiotics</w:t>
            </w:r>
          </w:p>
        </w:tc>
      </w:tr>
      <w:tr w:rsidR="00494065" w:rsidRPr="009D1392" w14:paraId="505B6178" w14:textId="77777777" w:rsidTr="002D5EAA">
        <w:tc>
          <w:tcPr>
            <w:tcW w:w="473" w:type="pct"/>
            <w:tcBorders>
              <w:top w:val="single" w:sz="4" w:space="0" w:color="auto"/>
              <w:left w:val="single" w:sz="4" w:space="0" w:color="auto"/>
              <w:bottom w:val="single" w:sz="4" w:space="0" w:color="auto"/>
              <w:right w:val="single" w:sz="4" w:space="0" w:color="auto"/>
            </w:tcBorders>
          </w:tcPr>
          <w:p w14:paraId="5A0A2012" w14:textId="77777777" w:rsidR="00494065" w:rsidRPr="0029564F" w:rsidRDefault="00494065" w:rsidP="002D5EAA">
            <w:pPr>
              <w:spacing w:after="0"/>
              <w:rPr>
                <w:rFonts w:ascii="Calibri" w:hAnsi="Calibri" w:cs="Times New Roman"/>
                <w:sz w:val="20"/>
                <w:szCs w:val="20"/>
              </w:rPr>
            </w:pPr>
            <w:r w:rsidRPr="0029564F">
              <w:rPr>
                <w:rFonts w:ascii="Calibri" w:hAnsi="Calibri" w:cs="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tcPr>
          <w:p w14:paraId="517D31B3" w14:textId="77777777" w:rsidR="00494065" w:rsidRPr="0029564F" w:rsidRDefault="00494065" w:rsidP="002D5EAA">
            <w:pPr>
              <w:spacing w:after="60"/>
              <w:rPr>
                <w:rFonts w:ascii="Calibri" w:hAnsi="Calibri"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tcPr>
          <w:p w14:paraId="4AE884BB" w14:textId="77777777" w:rsidR="00494065" w:rsidRPr="0029564F" w:rsidRDefault="00494065" w:rsidP="002D5EAA">
            <w:pPr>
              <w:spacing w:after="60"/>
              <w:jc w:val="center"/>
              <w:rPr>
                <w:rFonts w:ascii="Calibri" w:hAnsi="Calibri" w:cs="Times New Roman"/>
                <w:sz w:val="20"/>
                <w:szCs w:val="20"/>
              </w:rPr>
            </w:pPr>
          </w:p>
        </w:tc>
        <w:tc>
          <w:tcPr>
            <w:tcW w:w="776" w:type="pct"/>
            <w:tcBorders>
              <w:top w:val="single" w:sz="4" w:space="0" w:color="auto"/>
              <w:left w:val="single" w:sz="4" w:space="0" w:color="auto"/>
              <w:bottom w:val="single" w:sz="4" w:space="0" w:color="auto"/>
              <w:right w:val="single" w:sz="4" w:space="0" w:color="auto"/>
            </w:tcBorders>
          </w:tcPr>
          <w:p w14:paraId="5538D891" w14:textId="77777777" w:rsidR="00494065" w:rsidRPr="0029564F" w:rsidRDefault="00494065" w:rsidP="002D5EAA">
            <w:pPr>
              <w:spacing w:after="60"/>
              <w:jc w:val="center"/>
              <w:rPr>
                <w:rFonts w:ascii="Calibri" w:hAnsi="Calibri" w:cs="Times New Roman"/>
                <w:sz w:val="20"/>
                <w:szCs w:val="20"/>
              </w:rPr>
            </w:pPr>
          </w:p>
        </w:tc>
        <w:tc>
          <w:tcPr>
            <w:tcW w:w="710" w:type="pct"/>
            <w:tcBorders>
              <w:top w:val="single" w:sz="4" w:space="0" w:color="auto"/>
              <w:left w:val="single" w:sz="4" w:space="0" w:color="auto"/>
              <w:bottom w:val="single" w:sz="4" w:space="0" w:color="auto"/>
              <w:right w:val="single" w:sz="4" w:space="0" w:color="auto"/>
            </w:tcBorders>
          </w:tcPr>
          <w:p w14:paraId="00D91C54" w14:textId="77777777" w:rsidR="00494065" w:rsidRPr="0029564F" w:rsidRDefault="00494065" w:rsidP="002D5EAA">
            <w:pPr>
              <w:spacing w:after="60"/>
              <w:jc w:val="center"/>
              <w:rPr>
                <w:rFonts w:ascii="Calibri" w:hAnsi="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24207A57" w14:textId="77777777" w:rsidR="00494065" w:rsidRPr="0029564F" w:rsidRDefault="00494065" w:rsidP="002D5EAA">
            <w:pPr>
              <w:spacing w:after="60"/>
              <w:jc w:val="center"/>
              <w:rPr>
                <w:rFonts w:ascii="Calibri" w:hAnsi="Calibri"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0D021B73" w14:textId="77777777" w:rsidR="00494065" w:rsidRPr="0029564F" w:rsidRDefault="00494065" w:rsidP="002D5EAA">
            <w:pPr>
              <w:spacing w:after="60"/>
              <w:jc w:val="center"/>
              <w:rPr>
                <w:rFonts w:ascii="Calibri" w:hAnsi="Calibri" w:cs="Times New Roman"/>
                <w:sz w:val="20"/>
                <w:szCs w:val="20"/>
              </w:rPr>
            </w:pPr>
          </w:p>
        </w:tc>
        <w:tc>
          <w:tcPr>
            <w:tcW w:w="682" w:type="pct"/>
            <w:tcBorders>
              <w:top w:val="single" w:sz="4" w:space="0" w:color="auto"/>
              <w:left w:val="single" w:sz="4" w:space="0" w:color="auto"/>
              <w:bottom w:val="single" w:sz="4" w:space="0" w:color="auto"/>
              <w:right w:val="single" w:sz="4" w:space="0" w:color="auto"/>
            </w:tcBorders>
          </w:tcPr>
          <w:p w14:paraId="24E3C077" w14:textId="77777777" w:rsidR="00494065" w:rsidRPr="0029564F" w:rsidRDefault="00494065" w:rsidP="002D5EAA">
            <w:pPr>
              <w:spacing w:after="60"/>
              <w:jc w:val="center"/>
              <w:rPr>
                <w:rFonts w:ascii="Calibri" w:hAnsi="Calibri" w:cs="Times New Roman"/>
                <w:sz w:val="20"/>
                <w:szCs w:val="20"/>
              </w:rPr>
            </w:pPr>
          </w:p>
        </w:tc>
      </w:tr>
      <w:tr w:rsidR="00494065" w:rsidRPr="009D1392" w14:paraId="7820F8E3"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5CB71EAF" w14:textId="77777777" w:rsidR="00494065" w:rsidRPr="0029564F" w:rsidRDefault="00494065" w:rsidP="002D5EAA">
            <w:pPr>
              <w:spacing w:after="0"/>
              <w:rPr>
                <w:rFonts w:ascii="Calibri" w:hAnsi="Calibri" w:cs="Times New Roman"/>
                <w:b/>
                <w:sz w:val="20"/>
                <w:szCs w:val="20"/>
              </w:rPr>
            </w:pPr>
            <w:r w:rsidRPr="0029564F">
              <w:rPr>
                <w:rFonts w:ascii="Calibri" w:hAnsi="Calibri" w:cs="Times New Roman"/>
                <w:b/>
                <w:sz w:val="20"/>
                <w:szCs w:val="20"/>
              </w:rPr>
              <w:t>Exercise Capacity</w:t>
            </w:r>
          </w:p>
        </w:tc>
      </w:tr>
      <w:tr w:rsidR="00494065" w:rsidRPr="009D1392" w14:paraId="1B6A2308" w14:textId="77777777" w:rsidTr="002D5EAA">
        <w:tc>
          <w:tcPr>
            <w:tcW w:w="473" w:type="pct"/>
            <w:tcBorders>
              <w:top w:val="single" w:sz="4" w:space="0" w:color="auto"/>
              <w:left w:val="single" w:sz="4" w:space="0" w:color="auto"/>
              <w:bottom w:val="single" w:sz="4" w:space="0" w:color="auto"/>
              <w:right w:val="single" w:sz="4" w:space="0" w:color="auto"/>
            </w:tcBorders>
          </w:tcPr>
          <w:p w14:paraId="23F90A16"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0</w:t>
            </w:r>
          </w:p>
        </w:tc>
        <w:tc>
          <w:tcPr>
            <w:tcW w:w="580" w:type="pct"/>
            <w:tcBorders>
              <w:top w:val="single" w:sz="4" w:space="0" w:color="auto"/>
              <w:left w:val="single" w:sz="4" w:space="0" w:color="auto"/>
              <w:bottom w:val="single" w:sz="4" w:space="0" w:color="auto"/>
              <w:right w:val="single" w:sz="4" w:space="0" w:color="auto"/>
            </w:tcBorders>
          </w:tcPr>
          <w:p w14:paraId="2404BDF1" w14:textId="77777777" w:rsidR="00494065" w:rsidRPr="0029564F" w:rsidRDefault="00494065" w:rsidP="002D5EAA">
            <w:pPr>
              <w:spacing w:after="60"/>
              <w:rPr>
                <w:rFonts w:ascii="Calibri" w:hAnsi="Calibri" w:cs="Times New Roman"/>
                <w:sz w:val="20"/>
                <w:szCs w:val="20"/>
              </w:rPr>
            </w:pPr>
          </w:p>
        </w:tc>
        <w:tc>
          <w:tcPr>
            <w:tcW w:w="549" w:type="pct"/>
            <w:tcBorders>
              <w:top w:val="single" w:sz="4" w:space="0" w:color="auto"/>
              <w:left w:val="single" w:sz="4" w:space="0" w:color="auto"/>
              <w:bottom w:val="single" w:sz="4" w:space="0" w:color="auto"/>
              <w:right w:val="single" w:sz="4" w:space="0" w:color="auto"/>
            </w:tcBorders>
          </w:tcPr>
          <w:p w14:paraId="64F7991F" w14:textId="77777777" w:rsidR="00494065" w:rsidRPr="0029564F" w:rsidRDefault="00494065" w:rsidP="002D5EAA">
            <w:pPr>
              <w:spacing w:after="60"/>
              <w:jc w:val="center"/>
              <w:rPr>
                <w:rFonts w:ascii="Calibri" w:hAnsi="Calibri" w:cs="Times New Roman"/>
                <w:sz w:val="20"/>
                <w:szCs w:val="20"/>
              </w:rPr>
            </w:pPr>
          </w:p>
        </w:tc>
        <w:tc>
          <w:tcPr>
            <w:tcW w:w="776" w:type="pct"/>
            <w:tcBorders>
              <w:top w:val="single" w:sz="4" w:space="0" w:color="auto"/>
              <w:left w:val="single" w:sz="4" w:space="0" w:color="auto"/>
              <w:bottom w:val="single" w:sz="4" w:space="0" w:color="auto"/>
              <w:right w:val="single" w:sz="4" w:space="0" w:color="auto"/>
            </w:tcBorders>
          </w:tcPr>
          <w:p w14:paraId="09BA1A8C" w14:textId="77777777" w:rsidR="00494065" w:rsidRPr="0029564F" w:rsidRDefault="00494065" w:rsidP="002D5EAA">
            <w:pPr>
              <w:spacing w:after="60"/>
              <w:jc w:val="center"/>
              <w:rPr>
                <w:rFonts w:ascii="Calibri" w:hAnsi="Calibri" w:cs="Times New Roman"/>
                <w:sz w:val="20"/>
                <w:szCs w:val="20"/>
              </w:rPr>
            </w:pPr>
          </w:p>
        </w:tc>
        <w:tc>
          <w:tcPr>
            <w:tcW w:w="710" w:type="pct"/>
            <w:tcBorders>
              <w:top w:val="single" w:sz="4" w:space="0" w:color="auto"/>
              <w:left w:val="single" w:sz="4" w:space="0" w:color="auto"/>
              <w:bottom w:val="single" w:sz="4" w:space="0" w:color="auto"/>
              <w:right w:val="single" w:sz="4" w:space="0" w:color="auto"/>
            </w:tcBorders>
          </w:tcPr>
          <w:p w14:paraId="43992FFF" w14:textId="77777777" w:rsidR="00494065" w:rsidRPr="0029564F" w:rsidRDefault="00494065" w:rsidP="002D5EAA">
            <w:pPr>
              <w:spacing w:after="60"/>
              <w:jc w:val="center"/>
              <w:rPr>
                <w:rFonts w:ascii="Calibri" w:hAnsi="Calibri" w:cs="Times New Roman"/>
                <w:sz w:val="20"/>
                <w:szCs w:val="20"/>
              </w:rPr>
            </w:pPr>
          </w:p>
        </w:tc>
        <w:tc>
          <w:tcPr>
            <w:tcW w:w="687" w:type="pct"/>
            <w:tcBorders>
              <w:top w:val="single" w:sz="4" w:space="0" w:color="auto"/>
              <w:left w:val="single" w:sz="4" w:space="0" w:color="auto"/>
              <w:bottom w:val="single" w:sz="4" w:space="0" w:color="auto"/>
              <w:right w:val="single" w:sz="4" w:space="0" w:color="auto"/>
            </w:tcBorders>
          </w:tcPr>
          <w:p w14:paraId="66D319E2" w14:textId="77777777" w:rsidR="00494065" w:rsidRPr="0029564F" w:rsidRDefault="00494065" w:rsidP="002D5EAA">
            <w:pPr>
              <w:spacing w:after="60"/>
              <w:jc w:val="center"/>
              <w:rPr>
                <w:rFonts w:ascii="Calibri" w:hAnsi="Calibri" w:cs="Times New Roman"/>
                <w:sz w:val="20"/>
                <w:szCs w:val="20"/>
              </w:rPr>
            </w:pPr>
          </w:p>
        </w:tc>
        <w:tc>
          <w:tcPr>
            <w:tcW w:w="543" w:type="pct"/>
            <w:tcBorders>
              <w:top w:val="single" w:sz="4" w:space="0" w:color="auto"/>
              <w:left w:val="single" w:sz="4" w:space="0" w:color="auto"/>
              <w:bottom w:val="single" w:sz="4" w:space="0" w:color="auto"/>
              <w:right w:val="single" w:sz="4" w:space="0" w:color="auto"/>
            </w:tcBorders>
          </w:tcPr>
          <w:p w14:paraId="4B94E18C" w14:textId="77777777" w:rsidR="00494065" w:rsidRPr="0029564F" w:rsidRDefault="00494065" w:rsidP="002D5EAA">
            <w:pPr>
              <w:spacing w:after="60"/>
              <w:jc w:val="center"/>
              <w:rPr>
                <w:rFonts w:ascii="Calibri" w:hAnsi="Calibri" w:cs="Times New Roman"/>
                <w:sz w:val="20"/>
                <w:szCs w:val="20"/>
              </w:rPr>
            </w:pPr>
          </w:p>
        </w:tc>
        <w:tc>
          <w:tcPr>
            <w:tcW w:w="682" w:type="pct"/>
            <w:tcBorders>
              <w:top w:val="single" w:sz="4" w:space="0" w:color="auto"/>
              <w:left w:val="single" w:sz="4" w:space="0" w:color="auto"/>
              <w:bottom w:val="single" w:sz="4" w:space="0" w:color="auto"/>
              <w:right w:val="single" w:sz="4" w:space="0" w:color="auto"/>
            </w:tcBorders>
          </w:tcPr>
          <w:p w14:paraId="299D87A9" w14:textId="77777777" w:rsidR="00494065" w:rsidRPr="0029564F" w:rsidRDefault="00494065" w:rsidP="002D5EAA">
            <w:pPr>
              <w:spacing w:after="60"/>
              <w:jc w:val="center"/>
              <w:rPr>
                <w:rFonts w:ascii="Calibri" w:hAnsi="Calibri" w:cs="Times New Roman"/>
                <w:sz w:val="20"/>
                <w:szCs w:val="20"/>
              </w:rPr>
            </w:pPr>
          </w:p>
        </w:tc>
      </w:tr>
      <w:tr w:rsidR="00494065" w:rsidRPr="009D1392" w14:paraId="00ABF0EE" w14:textId="77777777" w:rsidTr="002D5EAA">
        <w:tc>
          <w:tcPr>
            <w:tcW w:w="5000" w:type="pct"/>
            <w:gridSpan w:val="8"/>
            <w:tcBorders>
              <w:top w:val="single" w:sz="4" w:space="0" w:color="auto"/>
              <w:left w:val="single" w:sz="4" w:space="0" w:color="auto"/>
              <w:bottom w:val="single" w:sz="4" w:space="0" w:color="auto"/>
              <w:right w:val="single" w:sz="4" w:space="0" w:color="auto"/>
            </w:tcBorders>
            <w:shd w:val="clear" w:color="auto" w:fill="CFDDED"/>
            <w:hideMark/>
          </w:tcPr>
          <w:p w14:paraId="51CEAC11" w14:textId="77777777" w:rsidR="00494065" w:rsidRPr="0029564F" w:rsidRDefault="00494065" w:rsidP="002D5EAA">
            <w:pPr>
              <w:spacing w:after="0"/>
              <w:rPr>
                <w:rFonts w:ascii="Calibri" w:hAnsi="Calibri" w:cs="Times New Roman"/>
                <w:b/>
                <w:sz w:val="20"/>
                <w:szCs w:val="20"/>
                <w:vertAlign w:val="superscript"/>
              </w:rPr>
            </w:pPr>
            <w:r w:rsidRPr="0029564F">
              <w:rPr>
                <w:rFonts w:ascii="Calibri" w:hAnsi="Calibri" w:cs="Times New Roman"/>
                <w:b/>
                <w:sz w:val="20"/>
                <w:szCs w:val="20"/>
              </w:rPr>
              <w:t>Breathlessness or Cough</w:t>
            </w:r>
          </w:p>
        </w:tc>
      </w:tr>
      <w:tr w:rsidR="00494065" w:rsidRPr="009D1392" w14:paraId="2E5553F0" w14:textId="77777777" w:rsidTr="002D5EAA">
        <w:tc>
          <w:tcPr>
            <w:tcW w:w="473" w:type="pct"/>
            <w:tcBorders>
              <w:top w:val="single" w:sz="4" w:space="0" w:color="auto"/>
              <w:left w:val="single" w:sz="4" w:space="0" w:color="auto"/>
              <w:bottom w:val="single" w:sz="4" w:space="0" w:color="auto"/>
              <w:right w:val="single" w:sz="4" w:space="0" w:color="auto"/>
            </w:tcBorders>
          </w:tcPr>
          <w:p w14:paraId="5F468B63"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1</w:t>
            </w:r>
          </w:p>
        </w:tc>
        <w:tc>
          <w:tcPr>
            <w:tcW w:w="580" w:type="pct"/>
            <w:tcBorders>
              <w:top w:val="single" w:sz="4" w:space="0" w:color="auto"/>
              <w:left w:val="single" w:sz="4" w:space="0" w:color="auto"/>
              <w:bottom w:val="single" w:sz="4" w:space="0" w:color="auto"/>
              <w:right w:val="single" w:sz="4" w:space="0" w:color="auto"/>
            </w:tcBorders>
          </w:tcPr>
          <w:p w14:paraId="305E4642" w14:textId="77777777" w:rsidR="00494065" w:rsidRPr="0029564F" w:rsidRDefault="00494065" w:rsidP="002D5EAA">
            <w:pPr>
              <w:spacing w:after="60"/>
              <w:rPr>
                <w:rFonts w:ascii="Calibri" w:hAnsi="Calibri" w:cs="Times New Roman"/>
                <w:sz w:val="20"/>
                <w:szCs w:val="20"/>
              </w:rPr>
            </w:pPr>
            <w:r w:rsidRPr="0029564F">
              <w:rPr>
                <w:rFonts w:ascii="Calibri" w:hAnsi="Calibri" w:cs="Times New Roman"/>
                <w:sz w:val="20"/>
                <w:szCs w:val="20"/>
              </w:rPr>
              <w:t>RCT</w:t>
            </w:r>
          </w:p>
        </w:tc>
        <w:tc>
          <w:tcPr>
            <w:tcW w:w="549" w:type="pct"/>
            <w:tcBorders>
              <w:top w:val="single" w:sz="4" w:space="0" w:color="auto"/>
              <w:left w:val="single" w:sz="4" w:space="0" w:color="auto"/>
              <w:bottom w:val="single" w:sz="4" w:space="0" w:color="auto"/>
              <w:right w:val="single" w:sz="4" w:space="0" w:color="auto"/>
            </w:tcBorders>
          </w:tcPr>
          <w:p w14:paraId="2BBA297F"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776" w:type="pct"/>
            <w:tcBorders>
              <w:top w:val="single" w:sz="4" w:space="0" w:color="auto"/>
              <w:left w:val="single" w:sz="4" w:space="0" w:color="auto"/>
              <w:bottom w:val="single" w:sz="4" w:space="0" w:color="auto"/>
              <w:right w:val="single" w:sz="4" w:space="0" w:color="auto"/>
            </w:tcBorders>
          </w:tcPr>
          <w:p w14:paraId="1FD6A69C"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Unable to rate (single study)</w:t>
            </w:r>
          </w:p>
        </w:tc>
        <w:tc>
          <w:tcPr>
            <w:tcW w:w="710" w:type="pct"/>
            <w:tcBorders>
              <w:top w:val="single" w:sz="4" w:space="0" w:color="auto"/>
              <w:left w:val="single" w:sz="4" w:space="0" w:color="auto"/>
              <w:bottom w:val="single" w:sz="4" w:space="0" w:color="auto"/>
              <w:right w:val="single" w:sz="4" w:space="0" w:color="auto"/>
            </w:tcBorders>
          </w:tcPr>
          <w:p w14:paraId="08C26E5D"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687" w:type="pct"/>
            <w:tcBorders>
              <w:top w:val="single" w:sz="4" w:space="0" w:color="auto"/>
              <w:left w:val="single" w:sz="4" w:space="0" w:color="auto"/>
              <w:bottom w:val="single" w:sz="4" w:space="0" w:color="auto"/>
              <w:right w:val="single" w:sz="4" w:space="0" w:color="auto"/>
            </w:tcBorders>
          </w:tcPr>
          <w:p w14:paraId="2610A866"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Serious</w:t>
            </w:r>
          </w:p>
        </w:tc>
        <w:tc>
          <w:tcPr>
            <w:tcW w:w="543" w:type="pct"/>
            <w:tcBorders>
              <w:top w:val="single" w:sz="4" w:space="0" w:color="auto"/>
              <w:left w:val="single" w:sz="4" w:space="0" w:color="auto"/>
              <w:bottom w:val="single" w:sz="4" w:space="0" w:color="auto"/>
              <w:right w:val="single" w:sz="4" w:space="0" w:color="auto"/>
            </w:tcBorders>
          </w:tcPr>
          <w:p w14:paraId="681916E3"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Small sample, short follow-up</w:t>
            </w:r>
          </w:p>
        </w:tc>
        <w:tc>
          <w:tcPr>
            <w:tcW w:w="682" w:type="pct"/>
            <w:tcBorders>
              <w:top w:val="single" w:sz="4" w:space="0" w:color="auto"/>
              <w:left w:val="single" w:sz="4" w:space="0" w:color="auto"/>
              <w:bottom w:val="single" w:sz="4" w:space="0" w:color="auto"/>
              <w:right w:val="single" w:sz="4" w:space="0" w:color="auto"/>
            </w:tcBorders>
          </w:tcPr>
          <w:p w14:paraId="258FE765"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cs="Times New Roman"/>
                <w:sz w:val="20"/>
                <w:szCs w:val="20"/>
              </w:rPr>
              <w:t xml:space="preserve">Very low </w:t>
            </w:r>
          </w:p>
          <w:p w14:paraId="1CACDADF" w14:textId="77777777" w:rsidR="00494065" w:rsidRPr="0029564F" w:rsidRDefault="00494065" w:rsidP="002D5EAA">
            <w:pPr>
              <w:spacing w:after="60"/>
              <w:jc w:val="center"/>
              <w:rPr>
                <w:rFonts w:ascii="Calibri" w:hAnsi="Calibri" w:cs="Times New Roman"/>
                <w:sz w:val="20"/>
                <w:szCs w:val="20"/>
              </w:rPr>
            </w:pPr>
            <w:r w:rsidRPr="0029564F">
              <w:rPr>
                <w:rFonts w:ascii="Calibri" w:hAnsi="Calibri"/>
                <w:sz w:val="20"/>
                <w:szCs w:val="20"/>
              </w:rPr>
              <w:t xml:space="preserve"> ●◌◌◌</w:t>
            </w:r>
          </w:p>
        </w:tc>
      </w:tr>
    </w:tbl>
    <w:p w14:paraId="1A81D723" w14:textId="7D271D9F" w:rsidR="00494065" w:rsidRDefault="00E2368B" w:rsidP="002D5EAA">
      <w:pPr>
        <w:spacing w:after="160"/>
      </w:pPr>
      <w:r w:rsidRPr="0029564F">
        <w:rPr>
          <w:sz w:val="20"/>
          <w:szCs w:val="20"/>
        </w:rPr>
        <w:t>Abbreviation. RCT: randomized controlled trial</w:t>
      </w:r>
      <w:r w:rsidRPr="006B012F">
        <w:rPr>
          <w:i/>
          <w:iCs/>
          <w:sz w:val="20"/>
          <w:szCs w:val="20"/>
        </w:rPr>
        <w:t>.</w:t>
      </w:r>
    </w:p>
    <w:p w14:paraId="02270EFE" w14:textId="77777777" w:rsidR="00494065" w:rsidRDefault="00494065" w:rsidP="002D5EAA">
      <w:pPr>
        <w:spacing w:after="160"/>
        <w:rPr>
          <w:rFonts w:ascii="Cambria" w:eastAsiaTheme="majorEastAsia" w:hAnsi="Cambria" w:cstheme="majorBidi"/>
          <w:b/>
          <w:color w:val="244061"/>
          <w:sz w:val="28"/>
          <w:szCs w:val="32"/>
        </w:rPr>
      </w:pPr>
      <w:r>
        <w:br w:type="page"/>
      </w:r>
    </w:p>
    <w:p w14:paraId="2F76DF5F" w14:textId="77777777" w:rsidR="00494065" w:rsidRDefault="00494065" w:rsidP="002D5EAA">
      <w:pPr>
        <w:pStyle w:val="H1NoBK"/>
      </w:pPr>
      <w:bookmarkStart w:id="63" w:name="_Toc72335286"/>
      <w:bookmarkStart w:id="64" w:name="_Toc87358456"/>
      <w:r>
        <w:lastRenderedPageBreak/>
        <w:t>Appendix C. Methods</w:t>
      </w:r>
      <w:bookmarkEnd w:id="63"/>
      <w:bookmarkEnd w:id="64"/>
    </w:p>
    <w:p w14:paraId="7E6402B9" w14:textId="77777777" w:rsidR="00494065" w:rsidRDefault="00494065" w:rsidP="00CB30F9">
      <w:pPr>
        <w:pStyle w:val="H3NoBK"/>
      </w:pPr>
      <w:bookmarkStart w:id="65" w:name="_Toc72335287"/>
      <w:r>
        <w:t>Scope Statement</w:t>
      </w:r>
      <w:bookmarkEnd w:id="65"/>
    </w:p>
    <w:p w14:paraId="5DC9616D" w14:textId="77777777" w:rsidR="00494065" w:rsidRPr="00F91455" w:rsidRDefault="00494065" w:rsidP="002D5EAA">
      <w:pPr>
        <w:pStyle w:val="H4NoBK"/>
        <w:rPr>
          <w:rFonts w:eastAsiaTheme="minorHAnsi"/>
        </w:rPr>
      </w:pPr>
      <w:r w:rsidRPr="00F91455">
        <w:rPr>
          <w:rFonts w:eastAsiaTheme="minorHAnsi"/>
        </w:rPr>
        <w:t>Populations</w:t>
      </w:r>
    </w:p>
    <w:p w14:paraId="11AB73EF" w14:textId="77777777" w:rsidR="00494065" w:rsidRPr="0010473E" w:rsidRDefault="00494065" w:rsidP="002D5EAA">
      <w:pPr>
        <w:spacing w:after="0" w:line="276" w:lineRule="auto"/>
        <w:ind w:left="720"/>
        <w:rPr>
          <w:rFonts w:ascii="Calibri" w:eastAsia="Arial" w:hAnsi="Calibri" w:cs="Arial"/>
          <w:lang w:val="en"/>
        </w:rPr>
      </w:pPr>
      <w:r w:rsidRPr="0010473E">
        <w:rPr>
          <w:rFonts w:ascii="Calibri" w:eastAsia="Arial" w:hAnsi="Calibri" w:cs="Arial"/>
          <w:lang w:val="en"/>
        </w:rPr>
        <w:t xml:space="preserve">Children and adults with cystic fibrosis, bronchiectasis, chronic obstructive pulmonary disorder, or </w:t>
      </w:r>
      <w:r w:rsidRPr="0010473E">
        <w:rPr>
          <w:rFonts w:ascii="Calibri" w:eastAsia="Arial" w:hAnsi="Calibri" w:cs="Calibri"/>
        </w:rPr>
        <w:t>pulmonary complications from neuromuscular disease resulting in chronic lung disease</w:t>
      </w:r>
    </w:p>
    <w:p w14:paraId="798B496C" w14:textId="77777777" w:rsidR="00494065" w:rsidRDefault="00494065" w:rsidP="002D5EAA">
      <w:pPr>
        <w:pStyle w:val="H4NoBK"/>
        <w:ind w:left="720"/>
        <w:rPr>
          <w:rFonts w:ascii="Calibri" w:eastAsia="Arial" w:hAnsi="Calibri" w:cs="Arial"/>
          <w:iCs w:val="0"/>
          <w:color w:val="auto"/>
          <w:sz w:val="22"/>
          <w:szCs w:val="22"/>
        </w:rPr>
      </w:pPr>
      <w:r w:rsidRPr="0010473E">
        <w:rPr>
          <w:rFonts w:ascii="Calibri" w:eastAsia="Arial" w:hAnsi="Calibri" w:cs="Arial"/>
          <w:iCs w:val="0"/>
          <w:color w:val="auto"/>
          <w:sz w:val="22"/>
          <w:szCs w:val="22"/>
        </w:rPr>
        <w:t>Population scoping notes: Patients without any of the above conditions are excluded.</w:t>
      </w:r>
    </w:p>
    <w:p w14:paraId="6F8CBDE0" w14:textId="77777777" w:rsidR="00494065" w:rsidRPr="00F91455" w:rsidRDefault="00494065" w:rsidP="002D5EAA">
      <w:pPr>
        <w:pStyle w:val="H4NoBK"/>
        <w:rPr>
          <w:rFonts w:eastAsiaTheme="minorHAnsi"/>
        </w:rPr>
      </w:pPr>
      <w:r w:rsidRPr="00F91455">
        <w:rPr>
          <w:rFonts w:eastAsiaTheme="minorHAnsi"/>
        </w:rPr>
        <w:t>Interventions</w:t>
      </w:r>
    </w:p>
    <w:p w14:paraId="055D2E25" w14:textId="77777777" w:rsidR="00494065" w:rsidRPr="0010473E" w:rsidRDefault="00494065" w:rsidP="002D5EAA">
      <w:pPr>
        <w:spacing w:after="0" w:line="276" w:lineRule="auto"/>
        <w:ind w:left="720"/>
        <w:rPr>
          <w:rFonts w:ascii="Calibri" w:eastAsia="Arial" w:hAnsi="Calibri" w:cs="Arial"/>
          <w:lang w:val="en"/>
        </w:rPr>
      </w:pPr>
      <w:r w:rsidRPr="0010473E">
        <w:rPr>
          <w:rFonts w:ascii="Calibri" w:eastAsia="Arial" w:hAnsi="Calibri" w:cs="Arial"/>
          <w:lang w:val="en"/>
        </w:rPr>
        <w:t>High-frequency chest wall oscillation devices approved for use in the US</w:t>
      </w:r>
    </w:p>
    <w:p w14:paraId="62BFE6FB" w14:textId="77777777" w:rsidR="00494065" w:rsidRPr="0010473E" w:rsidRDefault="00494065" w:rsidP="002D5EAA">
      <w:pPr>
        <w:pStyle w:val="H4NoBK"/>
        <w:ind w:left="720"/>
        <w:rPr>
          <w:rFonts w:ascii="Calibri" w:eastAsia="Arial" w:hAnsi="Calibri" w:cs="Arial"/>
          <w:iCs w:val="0"/>
          <w:color w:val="auto"/>
          <w:sz w:val="22"/>
          <w:szCs w:val="22"/>
        </w:rPr>
      </w:pPr>
      <w:r w:rsidRPr="0010473E">
        <w:rPr>
          <w:rFonts w:ascii="Calibri" w:eastAsia="Arial" w:hAnsi="Calibri" w:cs="Arial"/>
          <w:iCs w:val="0"/>
          <w:color w:val="auto"/>
          <w:sz w:val="22"/>
          <w:szCs w:val="22"/>
        </w:rPr>
        <w:t xml:space="preserve">Intervention exclusions: None </w:t>
      </w:r>
    </w:p>
    <w:p w14:paraId="770D0518" w14:textId="77777777" w:rsidR="00494065" w:rsidRPr="00F91455" w:rsidRDefault="00494065" w:rsidP="002D5EAA">
      <w:pPr>
        <w:pStyle w:val="H4NoBK"/>
        <w:rPr>
          <w:rFonts w:eastAsiaTheme="minorHAnsi"/>
        </w:rPr>
      </w:pPr>
      <w:r w:rsidRPr="00F91455">
        <w:rPr>
          <w:rFonts w:eastAsiaTheme="minorHAnsi"/>
        </w:rPr>
        <w:t>Comparators</w:t>
      </w:r>
    </w:p>
    <w:p w14:paraId="498968B9" w14:textId="6F84057B" w:rsidR="00494065" w:rsidRDefault="00494065" w:rsidP="002D5EAA">
      <w:pPr>
        <w:pStyle w:val="H4NoBK"/>
        <w:ind w:left="720"/>
        <w:rPr>
          <w:rFonts w:asciiTheme="minorHAnsi" w:eastAsiaTheme="minorEastAsia" w:hAnsiTheme="minorHAnsi" w:cstheme="minorBidi"/>
          <w:i w:val="0"/>
          <w:iCs w:val="0"/>
          <w:color w:val="auto"/>
          <w:sz w:val="22"/>
          <w:szCs w:val="22"/>
        </w:rPr>
      </w:pPr>
      <w:r w:rsidRPr="00104EC4">
        <w:rPr>
          <w:rFonts w:asciiTheme="minorHAnsi" w:eastAsiaTheme="minorEastAsia" w:hAnsiTheme="minorHAnsi" w:cstheme="minorBidi"/>
          <w:i w:val="0"/>
          <w:iCs w:val="0"/>
          <w:color w:val="auto"/>
          <w:sz w:val="22"/>
          <w:szCs w:val="22"/>
        </w:rPr>
        <w:t>Home physi</w:t>
      </w:r>
      <w:r w:rsidR="00975805">
        <w:rPr>
          <w:rFonts w:asciiTheme="minorHAnsi" w:eastAsiaTheme="minorEastAsia" w:hAnsiTheme="minorHAnsi" w:cstheme="minorBidi"/>
          <w:i w:val="0"/>
          <w:iCs w:val="0"/>
          <w:color w:val="auto"/>
          <w:sz w:val="22"/>
          <w:szCs w:val="22"/>
        </w:rPr>
        <w:t>o</w:t>
      </w:r>
      <w:r w:rsidRPr="00104EC4">
        <w:rPr>
          <w:rFonts w:asciiTheme="minorHAnsi" w:eastAsiaTheme="minorEastAsia" w:hAnsiTheme="minorHAnsi" w:cstheme="minorBidi"/>
          <w:i w:val="0"/>
          <w:iCs w:val="0"/>
          <w:color w:val="auto"/>
          <w:sz w:val="22"/>
          <w:szCs w:val="22"/>
        </w:rPr>
        <w:t>therapy, mechanical percussors, positive expiratory pressure masks, airway clearance devices (e.g., oscillating devices, intrapulmonary percussive ventilation), or other types of high-frequ</w:t>
      </w:r>
      <w:r>
        <w:rPr>
          <w:rFonts w:asciiTheme="minorHAnsi" w:eastAsiaTheme="minorEastAsia" w:hAnsiTheme="minorHAnsi" w:cstheme="minorBidi"/>
          <w:i w:val="0"/>
          <w:iCs w:val="0"/>
          <w:color w:val="auto"/>
          <w:sz w:val="22"/>
          <w:szCs w:val="22"/>
        </w:rPr>
        <w:t>e</w:t>
      </w:r>
      <w:r w:rsidRPr="00104EC4">
        <w:rPr>
          <w:rFonts w:asciiTheme="minorHAnsi" w:eastAsiaTheme="minorEastAsia" w:hAnsiTheme="minorHAnsi" w:cstheme="minorBidi"/>
          <w:i w:val="0"/>
          <w:iCs w:val="0"/>
          <w:color w:val="auto"/>
          <w:sz w:val="22"/>
          <w:szCs w:val="22"/>
        </w:rPr>
        <w:t>ncy chest wall oscillation devices not approved for use in the US</w:t>
      </w:r>
    </w:p>
    <w:p w14:paraId="3783568D" w14:textId="77777777" w:rsidR="00494065" w:rsidRPr="00F91455" w:rsidRDefault="00494065" w:rsidP="002D5EAA">
      <w:pPr>
        <w:pStyle w:val="H4NoBK"/>
        <w:rPr>
          <w:rFonts w:eastAsiaTheme="minorHAnsi"/>
        </w:rPr>
      </w:pPr>
      <w:r w:rsidRPr="00F91455">
        <w:rPr>
          <w:rFonts w:eastAsiaTheme="minorHAnsi"/>
        </w:rPr>
        <w:t>Outcomes</w:t>
      </w:r>
    </w:p>
    <w:p w14:paraId="449C34CA" w14:textId="77777777" w:rsidR="00494065" w:rsidRPr="00104EC4" w:rsidRDefault="00494065" w:rsidP="002D5EAA">
      <w:pPr>
        <w:autoSpaceDE w:val="0"/>
        <w:autoSpaceDN w:val="0"/>
        <w:adjustRightInd w:val="0"/>
        <w:spacing w:after="0" w:line="240" w:lineRule="auto"/>
        <w:ind w:left="720"/>
        <w:rPr>
          <w:rFonts w:ascii="Arial" w:eastAsia="Times New Roman" w:hAnsi="Arial" w:cs="Arial"/>
          <w:i/>
          <w:iCs/>
          <w:color w:val="000000"/>
          <w:sz w:val="24"/>
          <w:szCs w:val="24"/>
        </w:rPr>
      </w:pPr>
      <w:r w:rsidRPr="00104EC4">
        <w:rPr>
          <w:rFonts w:ascii="Calibri" w:eastAsia="Times New Roman" w:hAnsi="Calibri" w:cs="Times New Roman"/>
          <w:color w:val="000000"/>
        </w:rPr>
        <w:t>Critical: Hospitalizations, mortality</w:t>
      </w:r>
    </w:p>
    <w:p w14:paraId="37A213DB" w14:textId="77777777" w:rsidR="00494065" w:rsidRPr="00104EC4" w:rsidRDefault="00494065" w:rsidP="002D5EAA">
      <w:pPr>
        <w:spacing w:before="180" w:after="0" w:line="276" w:lineRule="auto"/>
        <w:ind w:left="720"/>
        <w:rPr>
          <w:rFonts w:ascii="Calibri" w:eastAsia="Arial" w:hAnsi="Calibri" w:cs="Arial"/>
        </w:rPr>
      </w:pPr>
      <w:r w:rsidRPr="00104EC4">
        <w:rPr>
          <w:rFonts w:ascii="Calibri" w:eastAsia="Arial" w:hAnsi="Calibri" w:cs="Arial"/>
        </w:rPr>
        <w:t xml:space="preserve">Important: </w:t>
      </w:r>
      <w:r w:rsidRPr="00104EC4">
        <w:rPr>
          <w:rFonts w:ascii="Calibri" w:eastAsia="Arial" w:hAnsi="Calibri" w:cs="Calibri"/>
        </w:rPr>
        <w:t>Frequency of pulmonary exacerbations requiring antibiotics, changes in exercise capacity, symptoms of breathlessness or cough</w:t>
      </w:r>
    </w:p>
    <w:p w14:paraId="5FE096AB" w14:textId="77777777" w:rsidR="00494065" w:rsidRDefault="00494065" w:rsidP="002D5EAA">
      <w:pPr>
        <w:pStyle w:val="H4NoBK"/>
        <w:ind w:left="720"/>
        <w:rPr>
          <w:rFonts w:ascii="Calibri" w:eastAsia="Arial" w:hAnsi="Calibri" w:cs="Calibri"/>
          <w:i w:val="0"/>
          <w:iCs w:val="0"/>
          <w:color w:val="auto"/>
          <w:sz w:val="22"/>
          <w:szCs w:val="22"/>
        </w:rPr>
      </w:pPr>
      <w:r w:rsidRPr="00104EC4">
        <w:rPr>
          <w:rFonts w:ascii="Calibri" w:eastAsia="Arial" w:hAnsi="Calibri" w:cs="Arial"/>
          <w:iCs w:val="0"/>
          <w:color w:val="auto"/>
          <w:sz w:val="22"/>
          <w:szCs w:val="22"/>
        </w:rPr>
        <w:t xml:space="preserve">Considered but not selected for GRADE Table: </w:t>
      </w:r>
      <w:r w:rsidRPr="00104EC4">
        <w:rPr>
          <w:rFonts w:ascii="Calibri" w:eastAsia="Arial" w:hAnsi="Calibri" w:cs="Calibri"/>
          <w:i w:val="0"/>
          <w:iCs w:val="0"/>
          <w:color w:val="auto"/>
          <w:sz w:val="22"/>
          <w:szCs w:val="22"/>
        </w:rPr>
        <w:t>Sputum volume or weight, forced expiratory volume, forced vital capacity, total lung capacity</w:t>
      </w:r>
    </w:p>
    <w:p w14:paraId="4600FD5B" w14:textId="77777777" w:rsidR="00494065" w:rsidRPr="00F91455" w:rsidRDefault="00494065" w:rsidP="002D5EAA">
      <w:pPr>
        <w:pStyle w:val="H4NoBK"/>
        <w:rPr>
          <w:rFonts w:eastAsiaTheme="minorHAnsi"/>
        </w:rPr>
      </w:pPr>
      <w:r w:rsidRPr="00F91455">
        <w:rPr>
          <w:rFonts w:eastAsiaTheme="minorHAnsi"/>
        </w:rPr>
        <w:t>Key Questions</w:t>
      </w:r>
    </w:p>
    <w:p w14:paraId="2F0460BB" w14:textId="77777777" w:rsidR="00494065" w:rsidRPr="006553FF" w:rsidRDefault="00494065" w:rsidP="002D5EAA">
      <w:pPr>
        <w:ind w:left="720"/>
      </w:pPr>
      <w:r w:rsidRPr="006553FF">
        <w:t xml:space="preserve">KQ1: </w:t>
      </w:r>
      <w:r w:rsidRPr="00104EC4">
        <w:t>What is the comparative effectiveness of high-frequency chest wall oscillation devices?</w:t>
      </w:r>
    </w:p>
    <w:p w14:paraId="55FFA326" w14:textId="77777777" w:rsidR="00494065" w:rsidRDefault="00494065" w:rsidP="002D5EAA">
      <w:pPr>
        <w:ind w:left="720"/>
      </w:pPr>
      <w:r w:rsidRPr="006553FF">
        <w:t xml:space="preserve">KQ2: </w:t>
      </w:r>
      <w:r>
        <w:t>Does the comparative effectiveness of high-frequency chest wall oscillation devices vary by:</w:t>
      </w:r>
    </w:p>
    <w:p w14:paraId="4B22D201" w14:textId="77777777" w:rsidR="00494065" w:rsidRDefault="00494065" w:rsidP="002D5EAA">
      <w:pPr>
        <w:ind w:left="1260"/>
      </w:pPr>
      <w:r>
        <w:t>a.</w:t>
      </w:r>
      <w:r>
        <w:tab/>
        <w:t>Disease type</w:t>
      </w:r>
    </w:p>
    <w:p w14:paraId="11DF4B1B" w14:textId="77777777" w:rsidR="00494065" w:rsidRDefault="00494065" w:rsidP="002D5EAA">
      <w:pPr>
        <w:ind w:left="1260"/>
      </w:pPr>
      <w:r>
        <w:t>b.</w:t>
      </w:r>
      <w:r>
        <w:tab/>
        <w:t>Patient characteristics</w:t>
      </w:r>
    </w:p>
    <w:p w14:paraId="3E50FD03" w14:textId="77777777" w:rsidR="00494065" w:rsidRDefault="00494065" w:rsidP="002D5EAA">
      <w:pPr>
        <w:ind w:left="1260"/>
      </w:pPr>
      <w:r>
        <w:t>c.</w:t>
      </w:r>
      <w:r>
        <w:tab/>
        <w:t>Device characteristics</w:t>
      </w:r>
    </w:p>
    <w:p w14:paraId="44072A64" w14:textId="77777777" w:rsidR="00494065" w:rsidRDefault="00494065" w:rsidP="002D5EAA">
      <w:pPr>
        <w:ind w:left="720"/>
      </w:pPr>
      <w:r>
        <w:t xml:space="preserve">KQ3: </w:t>
      </w:r>
      <w:r w:rsidRPr="00104EC4">
        <w:t>What are the harms of high-frequency chest wall oscillation devices?</w:t>
      </w:r>
    </w:p>
    <w:p w14:paraId="61F2110C" w14:textId="77777777" w:rsidR="00494065" w:rsidRDefault="00494065" w:rsidP="002D5EAA">
      <w:pPr>
        <w:ind w:left="720"/>
      </w:pPr>
      <w:r>
        <w:t xml:space="preserve">KQ4: </w:t>
      </w:r>
      <w:r w:rsidRPr="00104EC4">
        <w:t>What is the comparative cost effectiveness of high-frequency chest wall oscillation devices?</w:t>
      </w:r>
    </w:p>
    <w:p w14:paraId="1E84E795" w14:textId="77777777" w:rsidR="00494065" w:rsidRPr="00F91455" w:rsidRDefault="00494065" w:rsidP="002D5EAA">
      <w:pPr>
        <w:pStyle w:val="H4NoBK"/>
        <w:rPr>
          <w:rFonts w:eastAsiaTheme="minorHAnsi"/>
        </w:rPr>
      </w:pPr>
      <w:r>
        <w:rPr>
          <w:rFonts w:eastAsiaTheme="minorHAnsi"/>
        </w:rPr>
        <w:t>Contextual</w:t>
      </w:r>
      <w:r w:rsidRPr="00F91455">
        <w:rPr>
          <w:rFonts w:eastAsiaTheme="minorHAnsi"/>
        </w:rPr>
        <w:t xml:space="preserve"> Questions</w:t>
      </w:r>
    </w:p>
    <w:p w14:paraId="6BB4FA05" w14:textId="77777777" w:rsidR="00494065" w:rsidRPr="006553FF" w:rsidRDefault="00494065" w:rsidP="002D5EAA">
      <w:pPr>
        <w:ind w:left="720"/>
      </w:pPr>
      <w:r>
        <w:t>CQ</w:t>
      </w:r>
      <w:r w:rsidRPr="006553FF">
        <w:t xml:space="preserve">1: </w:t>
      </w:r>
      <w:r w:rsidRPr="00104EC4">
        <w:t>What resources are required to use the interventions and comparators?</w:t>
      </w:r>
    </w:p>
    <w:p w14:paraId="18E8892E" w14:textId="77777777" w:rsidR="00494065" w:rsidRPr="00DC7417" w:rsidRDefault="00494065" w:rsidP="00CB30F9">
      <w:pPr>
        <w:pStyle w:val="H3NoBK"/>
        <w:rPr>
          <w:rFonts w:eastAsia="Calibri"/>
        </w:rPr>
      </w:pPr>
      <w:bookmarkStart w:id="66" w:name="_Toc72335288"/>
      <w:r w:rsidRPr="00DC7417">
        <w:rPr>
          <w:rFonts w:eastAsia="Calibri"/>
        </w:rPr>
        <w:lastRenderedPageBreak/>
        <w:t>Search Strategy</w:t>
      </w:r>
      <w:bookmarkEnd w:id="66"/>
    </w:p>
    <w:p w14:paraId="2BE36AD3" w14:textId="77777777" w:rsidR="00494065" w:rsidRPr="00DC7417" w:rsidRDefault="00494065" w:rsidP="002D5EAA">
      <w:pPr>
        <w:spacing w:line="276" w:lineRule="auto"/>
        <w:rPr>
          <w:rFonts w:ascii="Calibri" w:eastAsia="Calibri" w:hAnsi="Calibri" w:cs="Times New Roman"/>
        </w:rPr>
      </w:pPr>
      <w:r w:rsidRPr="00DC7417">
        <w:rPr>
          <w:rFonts w:ascii="Calibri" w:eastAsia="Calibri" w:hAnsi="Calibri" w:cs="Times New Roman"/>
        </w:rPr>
        <w:t xml:space="preserve">A full search of the core sources was conducted to identify systematic reviews, meta-analyses, </w:t>
      </w:r>
      <w:r>
        <w:rPr>
          <w:rFonts w:ascii="Calibri" w:eastAsia="Calibri" w:hAnsi="Calibri" w:cs="Times New Roman"/>
        </w:rPr>
        <w:t>and technology assessments that meet</w:t>
      </w:r>
      <w:r w:rsidRPr="00DC7417">
        <w:rPr>
          <w:rFonts w:ascii="Calibri" w:eastAsia="Calibri" w:hAnsi="Calibri" w:cs="Times New Roman"/>
        </w:rPr>
        <w:t xml:space="preserve"> the criteria for the scope described above. Searches of core sources were limited to citations published after </w:t>
      </w:r>
      <w:r w:rsidRPr="00995A16">
        <w:rPr>
          <w:rFonts w:ascii="Calibri" w:eastAsia="Calibri" w:hAnsi="Calibri" w:cs="Arial"/>
          <w:szCs w:val="24"/>
        </w:rPr>
        <w:t>201</w:t>
      </w:r>
      <w:r>
        <w:rPr>
          <w:rFonts w:ascii="Calibri" w:eastAsia="Calibri" w:hAnsi="Calibri" w:cs="Arial"/>
          <w:szCs w:val="24"/>
        </w:rPr>
        <w:t>5</w:t>
      </w:r>
      <w:r w:rsidRPr="00DC7417">
        <w:rPr>
          <w:rFonts w:ascii="Calibri" w:eastAsia="Calibri" w:hAnsi="Calibri" w:cs="Times New Roman"/>
        </w:rPr>
        <w:t xml:space="preserve">. </w:t>
      </w:r>
    </w:p>
    <w:p w14:paraId="4E85F492" w14:textId="77777777" w:rsidR="00494065" w:rsidRPr="00DC7417" w:rsidRDefault="00494065" w:rsidP="002D5EAA">
      <w:pPr>
        <w:keepNext/>
        <w:spacing w:after="0" w:line="276" w:lineRule="auto"/>
        <w:rPr>
          <w:rFonts w:ascii="Calibri" w:eastAsia="Calibri" w:hAnsi="Calibri" w:cs="Times New Roman"/>
        </w:rPr>
      </w:pPr>
      <w:r w:rsidRPr="00DC7417">
        <w:rPr>
          <w:rFonts w:ascii="Calibri" w:eastAsia="Calibri" w:hAnsi="Calibri" w:cs="Times New Roman"/>
        </w:rPr>
        <w:t xml:space="preserve">The </w:t>
      </w:r>
      <w:r>
        <w:rPr>
          <w:rFonts w:ascii="Calibri" w:eastAsia="Calibri" w:hAnsi="Calibri" w:cs="Times New Roman"/>
        </w:rPr>
        <w:t xml:space="preserve">following </w:t>
      </w:r>
      <w:r w:rsidRPr="00DC7417">
        <w:rPr>
          <w:rFonts w:ascii="Calibri" w:eastAsia="Calibri" w:hAnsi="Calibri" w:cs="Times New Roman"/>
        </w:rPr>
        <w:t xml:space="preserve">core sources </w:t>
      </w:r>
      <w:r>
        <w:rPr>
          <w:rFonts w:ascii="Calibri" w:eastAsia="Calibri" w:hAnsi="Calibri" w:cs="Times New Roman"/>
        </w:rPr>
        <w:t xml:space="preserve">were </w:t>
      </w:r>
      <w:r w:rsidRPr="00DC7417">
        <w:rPr>
          <w:rFonts w:ascii="Calibri" w:eastAsia="Calibri" w:hAnsi="Calibri" w:cs="Times New Roman"/>
        </w:rPr>
        <w:t xml:space="preserve">searched: </w:t>
      </w:r>
    </w:p>
    <w:p w14:paraId="04046FAA"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Agency for Healthcare Research and Quality (AHRQ)</w:t>
      </w:r>
    </w:p>
    <w:p w14:paraId="393C9271"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Canadian Agency for Drugs and Technologies in Health (CADTH)</w:t>
      </w:r>
    </w:p>
    <w:p w14:paraId="63CAD00A"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Cochrane Library (Wiley</w:t>
      </w:r>
      <w:r w:rsidRPr="00DC7417">
        <w:rPr>
          <w:rFonts w:ascii="Calibri" w:eastAsia="Calibri" w:hAnsi="Calibri" w:cs="Arial"/>
          <w:szCs w:val="24"/>
        </w:rPr>
        <w:t xml:space="preserve"> </w:t>
      </w:r>
      <w:r w:rsidRPr="00DC7417">
        <w:rPr>
          <w:rFonts w:ascii="Calibri" w:eastAsia="Calibri" w:hAnsi="Calibri" w:cs="Times New Roman"/>
        </w:rPr>
        <w:t xml:space="preserve">Online Library) </w:t>
      </w:r>
    </w:p>
    <w:p w14:paraId="769C0B69"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Institute for Clinical and Economic Review (ICER)</w:t>
      </w:r>
    </w:p>
    <w:p w14:paraId="5B6EBE0B"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Medicaid Evidence-based Decisions Project (MED)</w:t>
      </w:r>
    </w:p>
    <w:p w14:paraId="427D926C"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National Institute for Health and Care Excellence (NICE)</w:t>
      </w:r>
    </w:p>
    <w:p w14:paraId="66671EAF"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Tufts Cost-effectiveness Analysis Registry</w:t>
      </w:r>
    </w:p>
    <w:p w14:paraId="1D111D88"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 xml:space="preserve">Veterans Administration Evidence-based Synthesis Program (ESP) </w:t>
      </w:r>
    </w:p>
    <w:p w14:paraId="34A6AAD8" w14:textId="77777777" w:rsidR="00494065" w:rsidRPr="00DC7417" w:rsidRDefault="00494065" w:rsidP="002D5EAA">
      <w:pPr>
        <w:spacing w:after="200" w:line="276" w:lineRule="auto"/>
        <w:ind w:left="720"/>
        <w:rPr>
          <w:rFonts w:ascii="Calibri" w:eastAsia="Calibri" w:hAnsi="Calibri" w:cs="Times New Roman"/>
        </w:rPr>
      </w:pPr>
      <w:r w:rsidRPr="00DC7417">
        <w:rPr>
          <w:rFonts w:ascii="Calibri" w:eastAsia="Calibri" w:hAnsi="Calibri" w:cs="Times New Roman"/>
        </w:rPr>
        <w:t>Washington State Health Technology Assessment Program</w:t>
      </w:r>
    </w:p>
    <w:p w14:paraId="78F50266" w14:textId="31D172E3" w:rsidR="00494065" w:rsidRPr="00DC7417" w:rsidRDefault="00494065" w:rsidP="002D5EAA">
      <w:pPr>
        <w:spacing w:line="276" w:lineRule="auto"/>
        <w:rPr>
          <w:rFonts w:ascii="Calibri" w:eastAsia="Calibri" w:hAnsi="Calibri" w:cs="Times New Roman"/>
        </w:rPr>
      </w:pPr>
      <w:r w:rsidRPr="00DC7417">
        <w:rPr>
          <w:rFonts w:ascii="Calibri" w:eastAsia="Calibri" w:hAnsi="Calibri" w:cs="Times New Roman"/>
        </w:rPr>
        <w:t>A</w:t>
      </w:r>
      <w:r w:rsidR="00B73D12">
        <w:rPr>
          <w:rFonts w:ascii="Calibri" w:eastAsia="Calibri" w:hAnsi="Calibri" w:cs="Times New Roman"/>
        </w:rPr>
        <w:t>n Ovid</w:t>
      </w:r>
      <w:r w:rsidRPr="00DC7417">
        <w:rPr>
          <w:rFonts w:ascii="Calibri" w:eastAsia="Calibri" w:hAnsi="Calibri" w:cs="Times New Roman"/>
        </w:rPr>
        <w:t xml:space="preserve"> MEDLINE® search was also conducted to identify systematic reviews, meta-analyses, and technology assessments, using the search terms </w:t>
      </w:r>
      <w:r>
        <w:rPr>
          <w:rFonts w:ascii="Calibri" w:eastAsia="Calibri" w:hAnsi="Calibri" w:cs="Times New Roman"/>
          <w:i/>
        </w:rPr>
        <w:t xml:space="preserve">chest wall oscillation, high frequency </w:t>
      </w:r>
      <w:r w:rsidR="006A064C">
        <w:rPr>
          <w:rFonts w:ascii="Calibri" w:eastAsia="Calibri" w:hAnsi="Calibri" w:cs="Times New Roman"/>
          <w:i/>
        </w:rPr>
        <w:t>chest wall oscillation</w:t>
      </w:r>
      <w:r>
        <w:rPr>
          <w:rFonts w:ascii="Calibri" w:eastAsia="Calibri" w:hAnsi="Calibri" w:cs="Times New Roman"/>
          <w:i/>
        </w:rPr>
        <w:t>, high frequency Che</w:t>
      </w:r>
      <w:r w:rsidR="00101CCF">
        <w:rPr>
          <w:rFonts w:ascii="Calibri" w:eastAsia="Calibri" w:hAnsi="Calibri" w:cs="Times New Roman"/>
          <w:i/>
        </w:rPr>
        <w:t>s</w:t>
      </w:r>
      <w:r>
        <w:rPr>
          <w:rFonts w:ascii="Calibri" w:eastAsia="Calibri" w:hAnsi="Calibri" w:cs="Times New Roman"/>
          <w:i/>
        </w:rPr>
        <w:t xml:space="preserve">t wall compression, Frequencer, SmartVest, MedPulse Respiratory Vest, Vest Airway Clearance System, ABI Vest, Respin11, bronchial clearance, InCourage Vest, </w:t>
      </w:r>
      <w:r w:rsidRPr="00D72A42">
        <w:rPr>
          <w:rFonts w:ascii="Calibri" w:eastAsia="Calibri" w:hAnsi="Calibri" w:cs="Times New Roman"/>
        </w:rPr>
        <w:t>and</w:t>
      </w:r>
      <w:r>
        <w:rPr>
          <w:rFonts w:ascii="Calibri" w:eastAsia="Calibri" w:hAnsi="Calibri" w:cs="Times New Roman"/>
          <w:i/>
        </w:rPr>
        <w:t xml:space="preserve"> Afflovest</w:t>
      </w:r>
      <w:r w:rsidRPr="00DC7417">
        <w:rPr>
          <w:rFonts w:ascii="Calibri" w:eastAsia="Calibri" w:hAnsi="Calibri" w:cs="Times New Roman"/>
        </w:rPr>
        <w:t>. The search was limited to publications</w:t>
      </w:r>
      <w:r>
        <w:rPr>
          <w:rFonts w:ascii="Calibri" w:eastAsia="Calibri" w:hAnsi="Calibri" w:cs="Times New Roman"/>
        </w:rPr>
        <w:t xml:space="preserve"> in English published since 2015</w:t>
      </w:r>
      <w:r w:rsidRPr="00DC7417">
        <w:rPr>
          <w:rFonts w:ascii="Calibri" w:eastAsia="Calibri" w:hAnsi="Calibri" w:cs="Times New Roman"/>
        </w:rPr>
        <w:t xml:space="preserve">. In addition, a MEDLINE® search was conducted for </w:t>
      </w:r>
      <w:r w:rsidRPr="00BF1FF6">
        <w:rPr>
          <w:rFonts w:ascii="Calibri" w:eastAsia="Calibri" w:hAnsi="Calibri" w:cs="Times New Roman"/>
        </w:rPr>
        <w:t>randomized controlled trials</w:t>
      </w:r>
      <w:r w:rsidRPr="00DC7417">
        <w:rPr>
          <w:rFonts w:ascii="Calibri" w:eastAsia="Calibri" w:hAnsi="Calibri" w:cs="Times New Roman"/>
        </w:rPr>
        <w:t xml:space="preserve"> published </w:t>
      </w:r>
      <w:r>
        <w:rPr>
          <w:rFonts w:ascii="Calibri" w:eastAsia="Calibri" w:hAnsi="Calibri" w:cs="Times New Roman"/>
        </w:rPr>
        <w:t xml:space="preserve">after the search dates of the </w:t>
      </w:r>
      <w:r w:rsidR="00F746EB">
        <w:rPr>
          <w:rFonts w:ascii="Calibri" w:eastAsia="Calibri" w:hAnsi="Calibri" w:cs="Times New Roman"/>
        </w:rPr>
        <w:t>identified</w:t>
      </w:r>
      <w:r w:rsidRPr="00DC7417">
        <w:rPr>
          <w:rFonts w:ascii="Calibri" w:eastAsia="Calibri" w:hAnsi="Calibri" w:cs="Times New Roman"/>
        </w:rPr>
        <w:t xml:space="preserve"> systematic review</w:t>
      </w:r>
      <w:r>
        <w:rPr>
          <w:rFonts w:ascii="Calibri" w:eastAsia="Calibri" w:hAnsi="Calibri" w:cs="Times New Roman"/>
        </w:rPr>
        <w:t>s for cystic fibrosis and bronchiectasis</w:t>
      </w:r>
      <w:r w:rsidRPr="00DC7417">
        <w:rPr>
          <w:rFonts w:ascii="Calibri" w:eastAsia="Calibri" w:hAnsi="Calibri" w:cs="Times New Roman"/>
        </w:rPr>
        <w:t>.</w:t>
      </w:r>
      <w:r>
        <w:rPr>
          <w:rFonts w:ascii="Calibri" w:eastAsia="Calibri" w:hAnsi="Calibri" w:cs="Times New Roman"/>
        </w:rPr>
        <w:t xml:space="preserve"> An additional search for randomized controlled trials published since 2006 was conducted for chronic obstructive pulmonary disorder and neuromuscular diseases with pulmonary complications leading to chronic lung disease, because no systematic reviews were identified for these populations.</w:t>
      </w:r>
      <w:r w:rsidRPr="00DC7417">
        <w:rPr>
          <w:rFonts w:ascii="Calibri" w:eastAsia="Calibri" w:hAnsi="Calibri" w:cs="Times New Roman"/>
        </w:rPr>
        <w:t xml:space="preserve"> The search</w:t>
      </w:r>
      <w:r>
        <w:rPr>
          <w:rFonts w:ascii="Calibri" w:eastAsia="Calibri" w:hAnsi="Calibri" w:cs="Times New Roman"/>
        </w:rPr>
        <w:t>es were</w:t>
      </w:r>
      <w:r w:rsidRPr="00DC7417">
        <w:rPr>
          <w:rFonts w:ascii="Calibri" w:eastAsia="Calibri" w:hAnsi="Calibri" w:cs="Times New Roman"/>
        </w:rPr>
        <w:t xml:space="preserve"> limited to pu</w:t>
      </w:r>
      <w:r>
        <w:rPr>
          <w:rFonts w:ascii="Calibri" w:eastAsia="Calibri" w:hAnsi="Calibri" w:cs="Times New Roman"/>
        </w:rPr>
        <w:t>blications in English.</w:t>
      </w:r>
    </w:p>
    <w:p w14:paraId="6A69EC67" w14:textId="77777777" w:rsidR="00494065" w:rsidRPr="00DC7417" w:rsidRDefault="00494065" w:rsidP="002D5EAA">
      <w:pPr>
        <w:spacing w:after="0" w:line="276" w:lineRule="auto"/>
        <w:rPr>
          <w:rFonts w:ascii="Calibri" w:eastAsia="Calibri" w:hAnsi="Calibri" w:cs="Times New Roman"/>
        </w:rPr>
      </w:pPr>
      <w:r w:rsidRPr="00DC7417">
        <w:rPr>
          <w:rFonts w:ascii="Calibri" w:eastAsia="Calibri" w:hAnsi="Calibri" w:cs="Times New Roman"/>
        </w:rPr>
        <w:t xml:space="preserve">Searches for clinical practice guidelines were limited to those published since </w:t>
      </w:r>
      <w:r w:rsidRPr="0031639E">
        <w:rPr>
          <w:rFonts w:ascii="Calibri" w:eastAsia="Calibri" w:hAnsi="Calibri" w:cs="Times New Roman"/>
        </w:rPr>
        <w:t>2015</w:t>
      </w:r>
      <w:r w:rsidRPr="00DC7417">
        <w:rPr>
          <w:rFonts w:ascii="Calibri" w:eastAsia="Calibri" w:hAnsi="Calibri" w:cs="Times New Roman"/>
        </w:rPr>
        <w:t xml:space="preserve">. A search for relevant clinical practice guidelines was also conducted using </w:t>
      </w:r>
      <w:r w:rsidRPr="0074303B">
        <w:rPr>
          <w:rFonts w:ascii="Calibri" w:eastAsia="Calibri" w:hAnsi="Calibri" w:cs="Times New Roman"/>
        </w:rPr>
        <w:t xml:space="preserve">MEDLINE® </w:t>
      </w:r>
      <w:r>
        <w:rPr>
          <w:rFonts w:ascii="Calibri" w:eastAsia="Calibri" w:hAnsi="Calibri" w:cs="Times New Roman"/>
        </w:rPr>
        <w:t xml:space="preserve">and </w:t>
      </w:r>
      <w:r w:rsidRPr="00DC7417">
        <w:rPr>
          <w:rFonts w:ascii="Calibri" w:eastAsia="Calibri" w:hAnsi="Calibri" w:cs="Times New Roman"/>
        </w:rPr>
        <w:t xml:space="preserve">the following sources: </w:t>
      </w:r>
    </w:p>
    <w:p w14:paraId="7C9F143D"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Australian Government National Health and Medical Research Council (NHMRC)</w:t>
      </w:r>
    </w:p>
    <w:p w14:paraId="7DD86CC8" w14:textId="77777777" w:rsidR="00494065" w:rsidRDefault="00494065" w:rsidP="002D5EAA">
      <w:pPr>
        <w:spacing w:after="0" w:line="276" w:lineRule="auto"/>
        <w:ind w:left="720"/>
        <w:rPr>
          <w:rFonts w:ascii="Calibri" w:eastAsia="Calibri" w:hAnsi="Calibri" w:cs="Times New Roman"/>
        </w:rPr>
      </w:pPr>
      <w:r w:rsidRPr="00445CED">
        <w:rPr>
          <w:rFonts w:ascii="Calibri" w:eastAsia="Calibri" w:hAnsi="Calibri" w:cs="Times New Roman"/>
        </w:rPr>
        <w:t xml:space="preserve">Canadian Agency for Drugs and Technologies in Health </w:t>
      </w:r>
      <w:r>
        <w:rPr>
          <w:rFonts w:ascii="Calibri" w:eastAsia="Calibri" w:hAnsi="Calibri" w:cs="Times New Roman"/>
        </w:rPr>
        <w:t>(CADTH)</w:t>
      </w:r>
    </w:p>
    <w:p w14:paraId="72D221F9"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Centers for Disease Control and Prevention (CDC)</w:t>
      </w:r>
      <w:r>
        <w:rPr>
          <w:rFonts w:ascii="Calibri" w:eastAsia="Calibri" w:hAnsi="Calibri" w:cs="Times New Roman"/>
        </w:rPr>
        <w:t xml:space="preserve">, </w:t>
      </w:r>
      <w:r w:rsidRPr="00DC7417">
        <w:rPr>
          <w:rFonts w:ascii="Calibri" w:eastAsia="Calibri" w:hAnsi="Calibri" w:cs="Times New Roman"/>
        </w:rPr>
        <w:t xml:space="preserve">Community Preventive Services </w:t>
      </w:r>
    </w:p>
    <w:p w14:paraId="026E4E43" w14:textId="77777777" w:rsidR="00494065" w:rsidRPr="00DC7417" w:rsidRDefault="00494065" w:rsidP="002D5EAA">
      <w:pPr>
        <w:spacing w:after="0" w:line="276" w:lineRule="auto"/>
        <w:ind w:left="720"/>
        <w:rPr>
          <w:rFonts w:ascii="Calibri" w:eastAsia="Calibri" w:hAnsi="Calibri" w:cs="Times New Roman"/>
        </w:rPr>
      </w:pPr>
      <w:r w:rsidRPr="00445CED">
        <w:rPr>
          <w:rFonts w:ascii="Calibri" w:eastAsia="Calibri" w:hAnsi="Calibri" w:cs="Times New Roman"/>
        </w:rPr>
        <w:t>National Institute for Health and Care Excellence</w:t>
      </w:r>
      <w:r>
        <w:rPr>
          <w:rFonts w:ascii="Calibri" w:eastAsia="Calibri" w:hAnsi="Calibri" w:cs="Times New Roman"/>
        </w:rPr>
        <w:t xml:space="preserve"> (</w:t>
      </w:r>
      <w:r w:rsidRPr="00DC7417">
        <w:rPr>
          <w:rFonts w:ascii="Calibri" w:eastAsia="Calibri" w:hAnsi="Calibri" w:cs="Times New Roman"/>
        </w:rPr>
        <w:t>NICE</w:t>
      </w:r>
      <w:r>
        <w:rPr>
          <w:rFonts w:ascii="Calibri" w:eastAsia="Calibri" w:hAnsi="Calibri" w:cs="Times New Roman"/>
        </w:rPr>
        <w:t>)</w:t>
      </w:r>
    </w:p>
    <w:p w14:paraId="5CBD1D1B"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Scottish Intercollegiate Guidelines Network (SIGN)</w:t>
      </w:r>
    </w:p>
    <w:p w14:paraId="5E127A90" w14:textId="77777777" w:rsidR="00494065" w:rsidRPr="00DC7417" w:rsidRDefault="00494065" w:rsidP="002D5EAA">
      <w:pPr>
        <w:spacing w:after="0" w:line="276" w:lineRule="auto"/>
        <w:ind w:left="720"/>
        <w:rPr>
          <w:rFonts w:ascii="Calibri" w:eastAsia="Calibri" w:hAnsi="Calibri" w:cs="Times New Roman"/>
        </w:rPr>
      </w:pPr>
      <w:r w:rsidRPr="00DC7417">
        <w:rPr>
          <w:rFonts w:ascii="Calibri" w:eastAsia="Calibri" w:hAnsi="Calibri" w:cs="Times New Roman"/>
        </w:rPr>
        <w:t>United States Preventive Services Task Force (USPSTF)</w:t>
      </w:r>
    </w:p>
    <w:p w14:paraId="05F4CA6C" w14:textId="77777777" w:rsidR="00494065" w:rsidRPr="00DC7417" w:rsidRDefault="00494065" w:rsidP="002D5EAA">
      <w:pPr>
        <w:spacing w:line="276" w:lineRule="auto"/>
        <w:ind w:left="720"/>
        <w:rPr>
          <w:rFonts w:ascii="Calibri" w:eastAsia="Calibri" w:hAnsi="Calibri" w:cs="Times New Roman"/>
        </w:rPr>
      </w:pPr>
      <w:r w:rsidRPr="00DC7417">
        <w:rPr>
          <w:rFonts w:ascii="Calibri" w:eastAsia="Calibri" w:hAnsi="Calibri" w:cs="Times New Roman"/>
        </w:rPr>
        <w:t>Veterans Administrat</w:t>
      </w:r>
      <w:r>
        <w:rPr>
          <w:rFonts w:ascii="Calibri" w:eastAsia="Calibri" w:hAnsi="Calibri" w:cs="Times New Roman"/>
        </w:rPr>
        <w:t>ion/Department of Defense (VA/Do</w:t>
      </w:r>
      <w:r w:rsidRPr="00DC7417">
        <w:rPr>
          <w:rFonts w:ascii="Calibri" w:eastAsia="Calibri" w:hAnsi="Calibri" w:cs="Times New Roman"/>
        </w:rPr>
        <w:t>D)</w:t>
      </w:r>
      <w:bookmarkStart w:id="67" w:name="_Toc269740540"/>
      <w:r w:rsidRPr="00DC7417">
        <w:rPr>
          <w:rFonts w:ascii="Calibri" w:eastAsia="Calibri" w:hAnsi="Calibri" w:cs="Arial"/>
          <w:szCs w:val="24"/>
        </w:rPr>
        <w:t xml:space="preserve"> </w:t>
      </w:r>
      <w:r w:rsidRPr="00DC7417">
        <w:rPr>
          <w:rFonts w:ascii="Calibri" w:eastAsia="Calibri" w:hAnsi="Calibri" w:cs="Times New Roman"/>
        </w:rPr>
        <w:t>Clinical Practice Guidelines</w:t>
      </w:r>
    </w:p>
    <w:p w14:paraId="1B063820" w14:textId="77777777" w:rsidR="00494065" w:rsidRPr="00DC7417" w:rsidRDefault="00494065" w:rsidP="00CB30F9">
      <w:pPr>
        <w:pStyle w:val="H4NoBK"/>
        <w:rPr>
          <w:rFonts w:eastAsia="Calibri"/>
        </w:rPr>
      </w:pPr>
      <w:r w:rsidRPr="00DC7417">
        <w:rPr>
          <w:rFonts w:eastAsia="Calibri"/>
        </w:rPr>
        <w:t>Inclusion/Exclusion Criteria</w:t>
      </w:r>
      <w:bookmarkEnd w:id="67"/>
    </w:p>
    <w:p w14:paraId="58A3E184" w14:textId="77777777" w:rsidR="00494065" w:rsidRDefault="00494065" w:rsidP="002D5EAA">
      <w:pPr>
        <w:rPr>
          <w:rFonts w:ascii="Calibri" w:eastAsia="Calibri" w:hAnsi="Calibri" w:cs="Times New Roman"/>
        </w:rPr>
      </w:pPr>
      <w:bookmarkStart w:id="68" w:name="_Toc269740541"/>
      <w:r w:rsidRPr="00DC7417">
        <w:rPr>
          <w:rFonts w:ascii="Calibri" w:eastAsia="Calibri" w:hAnsi="Calibri" w:cs="Times New Roman"/>
        </w:rPr>
        <w:t>Studies were excluded if they were not published in English, did not address the scope statement, or were study designs other than systematic reviews, meta-analyses, technology assessments</w:t>
      </w:r>
      <w:r w:rsidRPr="00BF1FF6">
        <w:rPr>
          <w:rFonts w:ascii="Calibri" w:eastAsia="Calibri" w:hAnsi="Calibri" w:cs="Times New Roman"/>
        </w:rPr>
        <w:t>, randomized controlled trials,</w:t>
      </w:r>
      <w:r>
        <w:rPr>
          <w:rFonts w:ascii="Calibri" w:eastAsia="Calibri" w:hAnsi="Calibri" w:cs="Times New Roman"/>
        </w:rPr>
        <w:t xml:space="preserve"> </w:t>
      </w:r>
      <w:r w:rsidRPr="00DC7417">
        <w:rPr>
          <w:rFonts w:ascii="Calibri" w:eastAsia="Calibri" w:hAnsi="Calibri" w:cs="Times New Roman"/>
        </w:rPr>
        <w:t>or clinical practice guidelines.</w:t>
      </w:r>
      <w:bookmarkEnd w:id="68"/>
      <w:r>
        <w:rPr>
          <w:rFonts w:ascii="Calibri" w:eastAsia="Calibri" w:hAnsi="Calibri" w:cs="Times New Roman"/>
        </w:rPr>
        <w:br w:type="page"/>
      </w:r>
    </w:p>
    <w:p w14:paraId="220F6025" w14:textId="77777777" w:rsidR="00494065" w:rsidRDefault="00494065" w:rsidP="002D5EAA">
      <w:pPr>
        <w:pStyle w:val="Heading1"/>
      </w:pPr>
      <w:bookmarkStart w:id="69" w:name="_Toc72335289"/>
      <w:bookmarkStart w:id="70" w:name="_Toc87358457"/>
      <w:r w:rsidRPr="006766C8">
        <w:lastRenderedPageBreak/>
        <w:t>Appendix D. Applicable Codes</w:t>
      </w:r>
      <w:bookmarkEnd w:id="69"/>
      <w:bookmarkEnd w:id="70"/>
    </w:p>
    <w:tbl>
      <w:tblPr>
        <w:tblpPr w:leftFromText="180" w:rightFromText="180" w:vertAnchor="text" w:horzAnchor="margin" w:tblpY="7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8185"/>
      </w:tblGrid>
      <w:tr w:rsidR="00494065" w:rsidRPr="006766C8" w14:paraId="3F5E7F41" w14:textId="77777777" w:rsidTr="0039754F">
        <w:trPr>
          <w:trHeight w:val="20"/>
        </w:trPr>
        <w:tc>
          <w:tcPr>
            <w:tcW w:w="0" w:type="auto"/>
            <w:gridSpan w:val="2"/>
            <w:tcBorders>
              <w:bottom w:val="single" w:sz="4" w:space="0" w:color="auto"/>
            </w:tcBorders>
            <w:shd w:val="clear" w:color="auto" w:fill="auto"/>
            <w:vAlign w:val="center"/>
          </w:tcPr>
          <w:p w14:paraId="5C338412" w14:textId="77777777" w:rsidR="00494065" w:rsidRPr="006766C8" w:rsidRDefault="00494065" w:rsidP="002D5EAA">
            <w:pPr>
              <w:spacing w:after="0" w:line="240" w:lineRule="auto"/>
              <w:outlineLvl w:val="0"/>
              <w:rPr>
                <w:rFonts w:ascii="Calibri" w:eastAsia="Calibri" w:hAnsi="Calibri" w:cs="Arial"/>
                <w:b/>
                <w:bCs/>
              </w:rPr>
            </w:pPr>
            <w:r w:rsidRPr="006766C8">
              <w:rPr>
                <w:rFonts w:ascii="Calibri" w:eastAsia="Calibri" w:hAnsi="Calibri" w:cs="Arial"/>
                <w:b/>
                <w:bCs/>
              </w:rPr>
              <w:t xml:space="preserve">HCPCS </w:t>
            </w:r>
          </w:p>
        </w:tc>
      </w:tr>
      <w:tr w:rsidR="00494065" w:rsidRPr="006766C8" w14:paraId="5355865A"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744BCDA" w14:textId="77777777" w:rsidR="00494065" w:rsidRPr="006766C8"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A7025</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130DC1AD" w14:textId="77777777" w:rsidR="00494065" w:rsidRPr="00637A1E" w:rsidRDefault="00494065" w:rsidP="002D5EAA">
            <w:pPr>
              <w:spacing w:after="0" w:line="240" w:lineRule="auto"/>
              <w:outlineLvl w:val="0"/>
              <w:rPr>
                <w:rFonts w:ascii="Calibri" w:eastAsia="Calibri" w:hAnsi="Calibri" w:cs="Arial"/>
                <w:bCs/>
                <w:sz w:val="20"/>
                <w:szCs w:val="20"/>
              </w:rPr>
            </w:pPr>
            <w:r w:rsidRPr="00637A1E">
              <w:rPr>
                <w:rFonts w:ascii="Calibri" w:eastAsia="Calibri" w:hAnsi="Calibri" w:cs="Arial"/>
                <w:bCs/>
                <w:sz w:val="20"/>
                <w:szCs w:val="20"/>
              </w:rPr>
              <w:t>High frequency chest wall oscillation system vest, replacement for use with</w:t>
            </w:r>
          </w:p>
          <w:p w14:paraId="11CBD275" w14:textId="77777777" w:rsidR="00494065" w:rsidRPr="006766C8" w:rsidRDefault="00494065" w:rsidP="002D5EAA">
            <w:pPr>
              <w:spacing w:after="0" w:line="240" w:lineRule="auto"/>
              <w:outlineLvl w:val="0"/>
              <w:rPr>
                <w:rFonts w:ascii="Calibri" w:eastAsia="Calibri" w:hAnsi="Calibri" w:cs="Arial"/>
                <w:bCs/>
                <w:sz w:val="20"/>
                <w:szCs w:val="20"/>
              </w:rPr>
            </w:pPr>
            <w:r w:rsidRPr="00637A1E">
              <w:rPr>
                <w:rFonts w:ascii="Calibri" w:eastAsia="Calibri" w:hAnsi="Calibri" w:cs="Arial"/>
                <w:bCs/>
                <w:sz w:val="20"/>
                <w:szCs w:val="20"/>
              </w:rPr>
              <w:t>patient owned equipment, each</w:t>
            </w:r>
          </w:p>
        </w:tc>
      </w:tr>
      <w:tr w:rsidR="00494065" w:rsidRPr="006766C8" w14:paraId="7812E288"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13101F36" w14:textId="77777777" w:rsidR="00494065" w:rsidRPr="006766C8"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A7026</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6C8A1F66" w14:textId="77777777" w:rsidR="00494065" w:rsidRPr="00637A1E" w:rsidRDefault="00494065" w:rsidP="002D5EAA">
            <w:pPr>
              <w:spacing w:after="0" w:line="240" w:lineRule="auto"/>
              <w:outlineLvl w:val="0"/>
              <w:rPr>
                <w:rFonts w:ascii="Calibri" w:eastAsia="Calibri" w:hAnsi="Calibri" w:cs="Arial"/>
                <w:sz w:val="20"/>
                <w:szCs w:val="20"/>
              </w:rPr>
            </w:pPr>
            <w:r w:rsidRPr="00637A1E">
              <w:rPr>
                <w:rFonts w:ascii="Calibri" w:eastAsia="Calibri" w:hAnsi="Calibri" w:cs="Arial"/>
                <w:sz w:val="20"/>
                <w:szCs w:val="20"/>
              </w:rPr>
              <w:t xml:space="preserve">High frequency chest wall oscillation system </w:t>
            </w:r>
            <w:r>
              <w:rPr>
                <w:rFonts w:ascii="Calibri" w:eastAsia="Calibri" w:hAnsi="Calibri" w:cs="Arial"/>
                <w:sz w:val="20"/>
                <w:szCs w:val="20"/>
              </w:rPr>
              <w:t>hose</w:t>
            </w:r>
            <w:r w:rsidRPr="00637A1E">
              <w:rPr>
                <w:rFonts w:ascii="Calibri" w:eastAsia="Calibri" w:hAnsi="Calibri" w:cs="Arial"/>
                <w:sz w:val="20"/>
                <w:szCs w:val="20"/>
              </w:rPr>
              <w:t>, replacement for use with</w:t>
            </w:r>
          </w:p>
          <w:p w14:paraId="09E38285" w14:textId="77777777" w:rsidR="00494065" w:rsidRPr="006766C8" w:rsidRDefault="00494065" w:rsidP="002D5EAA">
            <w:pPr>
              <w:spacing w:after="0" w:line="240" w:lineRule="auto"/>
              <w:outlineLvl w:val="0"/>
              <w:rPr>
                <w:rFonts w:ascii="Calibri" w:eastAsia="Calibri" w:hAnsi="Calibri" w:cs="Arial"/>
                <w:bCs/>
                <w:sz w:val="20"/>
                <w:szCs w:val="20"/>
              </w:rPr>
            </w:pPr>
            <w:r w:rsidRPr="00637A1E">
              <w:rPr>
                <w:rFonts w:ascii="Calibri" w:eastAsia="Calibri" w:hAnsi="Calibri" w:cs="Arial"/>
                <w:sz w:val="20"/>
                <w:szCs w:val="20"/>
              </w:rPr>
              <w:t>patient owned equipment, each</w:t>
            </w:r>
          </w:p>
        </w:tc>
      </w:tr>
      <w:tr w:rsidR="00494065" w:rsidRPr="006766C8" w14:paraId="3F6750D0"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78980C8"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E0467</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411E386C" w14:textId="77777777" w:rsidR="00494065" w:rsidRPr="00637A1E" w:rsidRDefault="00494065" w:rsidP="002D5EAA">
            <w:pPr>
              <w:spacing w:after="0" w:line="240" w:lineRule="auto"/>
              <w:outlineLvl w:val="0"/>
              <w:rPr>
                <w:rFonts w:ascii="Calibri" w:eastAsia="Calibri" w:hAnsi="Calibri" w:cs="Arial"/>
                <w:sz w:val="20"/>
                <w:szCs w:val="20"/>
              </w:rPr>
            </w:pPr>
            <w:r w:rsidRPr="00B251DA">
              <w:rPr>
                <w:rFonts w:ascii="Calibri" w:eastAsia="Calibri" w:hAnsi="Calibri" w:cs="Arial"/>
                <w:sz w:val="20"/>
                <w:szCs w:val="20"/>
              </w:rPr>
              <w:t>Home ventilator, multi-function respiratory device, also performs any or all of the additional functions of oxygen concentration, drug nebulization, aspiration, and cough stimulation, includes all accessories, components and supplies for all functions</w:t>
            </w:r>
          </w:p>
        </w:tc>
      </w:tr>
      <w:tr w:rsidR="00494065" w:rsidRPr="006766C8" w14:paraId="7201FCF8"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99423A2"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E0480</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43280985" w14:textId="77777777" w:rsidR="00494065" w:rsidRDefault="00494065" w:rsidP="002D5EAA">
            <w:pPr>
              <w:spacing w:after="0" w:line="240" w:lineRule="auto"/>
              <w:outlineLvl w:val="0"/>
              <w:rPr>
                <w:rFonts w:ascii="Calibri" w:eastAsia="Calibri" w:hAnsi="Calibri" w:cs="Arial"/>
                <w:bCs/>
                <w:sz w:val="20"/>
                <w:szCs w:val="20"/>
              </w:rPr>
            </w:pPr>
            <w:r>
              <w:rPr>
                <w:rFonts w:ascii="Calibri" w:eastAsia="Calibri" w:hAnsi="Calibri" w:cs="Arial"/>
                <w:bCs/>
                <w:sz w:val="20"/>
                <w:szCs w:val="20"/>
              </w:rPr>
              <w:t>Percussor, electric or pneumatic, home model</w:t>
            </w:r>
          </w:p>
        </w:tc>
      </w:tr>
      <w:tr w:rsidR="00494065" w:rsidRPr="006766C8" w14:paraId="1A18D154"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152A523"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E0481</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6A96110B" w14:textId="77777777" w:rsidR="00494065" w:rsidRDefault="00494065" w:rsidP="002D5EAA">
            <w:pPr>
              <w:spacing w:after="0" w:line="240" w:lineRule="auto"/>
              <w:outlineLvl w:val="0"/>
              <w:rPr>
                <w:rFonts w:ascii="Calibri" w:eastAsia="Calibri" w:hAnsi="Calibri" w:cs="Arial"/>
                <w:bCs/>
                <w:sz w:val="20"/>
                <w:szCs w:val="20"/>
              </w:rPr>
            </w:pPr>
            <w:r w:rsidRPr="000A62BB">
              <w:rPr>
                <w:rFonts w:ascii="Calibri" w:eastAsia="Calibri" w:hAnsi="Calibri" w:cs="Arial"/>
                <w:bCs/>
                <w:sz w:val="20"/>
                <w:szCs w:val="20"/>
              </w:rPr>
              <w:t>Intrapulmonary percussive ventilation system and related accessories</w:t>
            </w:r>
          </w:p>
        </w:tc>
      </w:tr>
      <w:tr w:rsidR="00494065" w:rsidRPr="006766C8" w14:paraId="623E5E86"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523406F"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E0482</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746BAFA6" w14:textId="77777777" w:rsidR="00494065" w:rsidRDefault="00494065" w:rsidP="002D5EAA">
            <w:pPr>
              <w:spacing w:after="0" w:line="240" w:lineRule="auto"/>
              <w:outlineLvl w:val="0"/>
              <w:rPr>
                <w:rFonts w:ascii="Calibri" w:eastAsia="Calibri" w:hAnsi="Calibri" w:cs="Arial"/>
                <w:bCs/>
                <w:sz w:val="20"/>
                <w:szCs w:val="20"/>
              </w:rPr>
            </w:pPr>
            <w:r w:rsidRPr="000A62BB">
              <w:rPr>
                <w:rFonts w:ascii="Calibri" w:eastAsia="Calibri" w:hAnsi="Calibri" w:cs="Arial"/>
                <w:bCs/>
                <w:sz w:val="20"/>
                <w:szCs w:val="20"/>
              </w:rPr>
              <w:t>Cough stimulating device, alternating positive and negative airway pressure</w:t>
            </w:r>
          </w:p>
        </w:tc>
      </w:tr>
      <w:tr w:rsidR="00494065" w:rsidRPr="006766C8" w14:paraId="2A97BE42"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DBD3830" w14:textId="77777777" w:rsidR="00494065" w:rsidRPr="006766C8"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E0483</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2F21466E" w14:textId="77777777" w:rsidR="00494065" w:rsidRPr="006766C8" w:rsidRDefault="00494065" w:rsidP="002D5EAA">
            <w:pPr>
              <w:spacing w:after="0" w:line="240" w:lineRule="auto"/>
              <w:outlineLvl w:val="0"/>
              <w:rPr>
                <w:rFonts w:ascii="Calibri" w:eastAsia="Calibri" w:hAnsi="Calibri" w:cs="Arial"/>
                <w:bCs/>
                <w:sz w:val="20"/>
                <w:szCs w:val="20"/>
              </w:rPr>
            </w:pPr>
            <w:r>
              <w:rPr>
                <w:rFonts w:ascii="Calibri" w:eastAsia="Calibri" w:hAnsi="Calibri" w:cs="Arial"/>
                <w:bCs/>
                <w:sz w:val="20"/>
                <w:szCs w:val="20"/>
              </w:rPr>
              <w:t>High frequency chest wall oscillation system, includes all accessories and supplies, each</w:t>
            </w:r>
          </w:p>
        </w:tc>
      </w:tr>
      <w:tr w:rsidR="00494065" w:rsidRPr="006766C8" w14:paraId="46040799"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1A6AAAB8" w14:textId="77777777" w:rsidR="00494065" w:rsidRPr="00CC17BD" w:rsidRDefault="00494065" w:rsidP="002D5EAA">
            <w:pPr>
              <w:spacing w:after="0" w:line="240" w:lineRule="auto"/>
              <w:outlineLvl w:val="0"/>
              <w:rPr>
                <w:rFonts w:ascii="Calibri" w:eastAsia="Calibri" w:hAnsi="Calibri" w:cs="Arial"/>
                <w:sz w:val="20"/>
                <w:szCs w:val="20"/>
              </w:rPr>
            </w:pPr>
            <w:r w:rsidRPr="00CC17BD">
              <w:rPr>
                <w:rFonts w:ascii="Calibri" w:eastAsia="Calibri" w:hAnsi="Calibri" w:cs="Arial"/>
                <w:sz w:val="20"/>
                <w:szCs w:val="20"/>
              </w:rPr>
              <w:t>E0484</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092405ED" w14:textId="77777777" w:rsidR="00494065" w:rsidRPr="00CC17BD" w:rsidRDefault="00494065" w:rsidP="002D5EAA">
            <w:pPr>
              <w:spacing w:after="0" w:line="240" w:lineRule="auto"/>
              <w:outlineLvl w:val="0"/>
              <w:rPr>
                <w:rFonts w:ascii="Calibri" w:eastAsia="Calibri" w:hAnsi="Calibri" w:cs="Arial"/>
                <w:bCs/>
                <w:sz w:val="20"/>
                <w:szCs w:val="20"/>
              </w:rPr>
            </w:pPr>
            <w:r w:rsidRPr="00CC17BD">
              <w:rPr>
                <w:rFonts w:ascii="Calibri" w:eastAsia="Calibri" w:hAnsi="Calibri" w:cs="Arial"/>
                <w:bCs/>
                <w:sz w:val="20"/>
                <w:szCs w:val="20"/>
              </w:rPr>
              <w:t>Oscillatory positive expiratory pressure device, non-electric, any type, each</w:t>
            </w:r>
          </w:p>
        </w:tc>
      </w:tr>
      <w:tr w:rsidR="00494065" w:rsidRPr="006766C8" w14:paraId="253D2BD6"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3A462C2" w14:textId="77777777" w:rsidR="00494065" w:rsidRPr="00CC17BD" w:rsidRDefault="00494065" w:rsidP="002D5EAA">
            <w:pPr>
              <w:spacing w:after="0" w:line="240" w:lineRule="auto"/>
              <w:outlineLvl w:val="0"/>
              <w:rPr>
                <w:rFonts w:ascii="Calibri" w:eastAsia="Calibri" w:hAnsi="Calibri" w:cs="Arial"/>
                <w:sz w:val="20"/>
                <w:szCs w:val="20"/>
              </w:rPr>
            </w:pPr>
            <w:r w:rsidRPr="00CC17BD">
              <w:rPr>
                <w:rFonts w:ascii="Calibri" w:eastAsia="Calibri" w:hAnsi="Calibri" w:cs="Arial"/>
                <w:sz w:val="20"/>
                <w:szCs w:val="20"/>
              </w:rPr>
              <w:t>E0656</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746D6EB6" w14:textId="77777777" w:rsidR="00494065" w:rsidRPr="00CC17BD" w:rsidRDefault="00494065" w:rsidP="002D5EAA">
            <w:pPr>
              <w:spacing w:after="0" w:line="240" w:lineRule="auto"/>
              <w:outlineLvl w:val="0"/>
              <w:rPr>
                <w:rFonts w:ascii="Calibri" w:eastAsia="Calibri" w:hAnsi="Calibri" w:cs="Arial"/>
                <w:bCs/>
                <w:sz w:val="20"/>
                <w:szCs w:val="20"/>
              </w:rPr>
            </w:pPr>
            <w:r w:rsidRPr="00CC17BD">
              <w:rPr>
                <w:rFonts w:ascii="Calibri" w:eastAsia="Calibri" w:hAnsi="Calibri" w:cs="Arial"/>
                <w:bCs/>
                <w:sz w:val="20"/>
                <w:szCs w:val="20"/>
              </w:rPr>
              <w:t>Segmental pneumatic appliance for use with pneumatic compressor, trunk</w:t>
            </w:r>
          </w:p>
        </w:tc>
      </w:tr>
      <w:tr w:rsidR="00494065" w:rsidRPr="006766C8" w14:paraId="0FC6F67D"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36C783FD" w14:textId="77777777" w:rsidR="00494065" w:rsidRPr="00CC17BD" w:rsidRDefault="00494065" w:rsidP="002D5EAA">
            <w:pPr>
              <w:spacing w:after="0" w:line="240" w:lineRule="auto"/>
              <w:outlineLvl w:val="0"/>
              <w:rPr>
                <w:rFonts w:ascii="Calibri" w:eastAsia="Calibri" w:hAnsi="Calibri" w:cs="Arial"/>
                <w:sz w:val="20"/>
                <w:szCs w:val="20"/>
              </w:rPr>
            </w:pPr>
            <w:r w:rsidRPr="00CC17BD">
              <w:rPr>
                <w:rFonts w:ascii="Calibri" w:eastAsia="Calibri" w:hAnsi="Calibri" w:cs="Arial"/>
                <w:sz w:val="20"/>
                <w:szCs w:val="20"/>
              </w:rPr>
              <w:t>E0657</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1F1F532F" w14:textId="77777777" w:rsidR="00494065" w:rsidRPr="00626248" w:rsidRDefault="00494065" w:rsidP="002D5EAA">
            <w:pPr>
              <w:spacing w:after="0" w:line="240" w:lineRule="auto"/>
              <w:outlineLvl w:val="0"/>
              <w:rPr>
                <w:rFonts w:ascii="Calibri" w:eastAsia="Calibri" w:hAnsi="Calibri" w:cs="Arial"/>
                <w:sz w:val="20"/>
                <w:szCs w:val="20"/>
              </w:rPr>
            </w:pPr>
            <w:r w:rsidRPr="00CC17BD">
              <w:rPr>
                <w:rFonts w:ascii="Calibri" w:eastAsia="Calibri" w:hAnsi="Calibri" w:cs="Arial"/>
                <w:bCs/>
                <w:sz w:val="20"/>
                <w:szCs w:val="20"/>
              </w:rPr>
              <w:t xml:space="preserve">Segmental pneumatic appliance for use with pneumatic compressor, </w:t>
            </w:r>
            <w:r w:rsidRPr="00626248">
              <w:rPr>
                <w:rFonts w:ascii="Calibri" w:eastAsia="Calibri" w:hAnsi="Calibri" w:cs="Arial"/>
                <w:sz w:val="20"/>
                <w:szCs w:val="20"/>
              </w:rPr>
              <w:t>chest</w:t>
            </w:r>
          </w:p>
        </w:tc>
      </w:tr>
      <w:tr w:rsidR="00A72984" w:rsidRPr="006766C8" w14:paraId="03F02B7D" w14:textId="77777777" w:rsidTr="00A72984">
        <w:trPr>
          <w:trHeight w:val="20"/>
        </w:trPr>
        <w:tc>
          <w:tcPr>
            <w:tcW w:w="9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828C0" w14:textId="29AF7BD1" w:rsidR="00A72984" w:rsidRPr="00E03151" w:rsidRDefault="00A72984" w:rsidP="002D5EAA">
            <w:pPr>
              <w:spacing w:after="0" w:line="240" w:lineRule="auto"/>
              <w:outlineLvl w:val="0"/>
              <w:rPr>
                <w:rFonts w:ascii="Calibri" w:eastAsia="Calibri" w:hAnsi="Calibri" w:cs="Arial"/>
                <w:b/>
                <w:sz w:val="20"/>
                <w:szCs w:val="20"/>
              </w:rPr>
            </w:pPr>
            <w:r w:rsidRPr="00E03151">
              <w:rPr>
                <w:rFonts w:ascii="Calibri" w:eastAsia="Calibri" w:hAnsi="Calibri" w:cs="Arial"/>
                <w:b/>
              </w:rPr>
              <w:t>CPT</w:t>
            </w:r>
          </w:p>
        </w:tc>
      </w:tr>
      <w:tr w:rsidR="00A72984" w:rsidRPr="006766C8" w14:paraId="542B16EE"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69C14417" w14:textId="2B4C81EE" w:rsidR="00A72984" w:rsidRPr="00E03151" w:rsidRDefault="00A72984" w:rsidP="002D5EAA">
            <w:pPr>
              <w:spacing w:after="0" w:line="240" w:lineRule="auto"/>
              <w:outlineLvl w:val="0"/>
              <w:rPr>
                <w:rFonts w:ascii="Calibri" w:eastAsia="Calibri" w:hAnsi="Calibri" w:cs="Arial"/>
                <w:sz w:val="20"/>
                <w:szCs w:val="20"/>
              </w:rPr>
            </w:pPr>
            <w:r w:rsidRPr="00E03151">
              <w:rPr>
                <w:rFonts w:ascii="Calibri" w:eastAsia="Calibri" w:hAnsi="Calibri" w:cs="Arial"/>
                <w:sz w:val="20"/>
                <w:szCs w:val="20"/>
              </w:rPr>
              <w:t>94669</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365E212A" w14:textId="71B18E9C" w:rsidR="00A72984" w:rsidRPr="00E03151" w:rsidRDefault="00E51E81" w:rsidP="002D5EAA">
            <w:pPr>
              <w:spacing w:after="0" w:line="240" w:lineRule="auto"/>
              <w:outlineLvl w:val="0"/>
              <w:rPr>
                <w:rFonts w:ascii="Calibri" w:eastAsia="Calibri" w:hAnsi="Calibri" w:cs="Arial"/>
                <w:sz w:val="20"/>
                <w:szCs w:val="20"/>
              </w:rPr>
            </w:pPr>
            <w:r w:rsidRPr="00E03151">
              <w:rPr>
                <w:rFonts w:ascii="Calibri" w:eastAsia="Calibri" w:hAnsi="Calibri" w:cs="Arial"/>
                <w:sz w:val="20"/>
                <w:szCs w:val="20"/>
              </w:rPr>
              <w:t>Mechanical chest wall oscillation to facilitate lung function, per session</w:t>
            </w:r>
          </w:p>
        </w:tc>
      </w:tr>
      <w:tr w:rsidR="00E345C8" w:rsidRPr="006766C8" w14:paraId="73E179B3" w14:textId="77777777" w:rsidTr="002860E5">
        <w:trPr>
          <w:trHeight w:val="20"/>
        </w:trPr>
        <w:tc>
          <w:tcPr>
            <w:tcW w:w="9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4D523" w14:textId="68603E28" w:rsidR="00E345C8" w:rsidRPr="00CC17BD" w:rsidRDefault="00E345C8" w:rsidP="002D5EAA">
            <w:pPr>
              <w:spacing w:after="0" w:line="240" w:lineRule="auto"/>
              <w:outlineLvl w:val="0"/>
              <w:rPr>
                <w:rFonts w:ascii="Calibri" w:eastAsia="Calibri" w:hAnsi="Calibri" w:cs="Arial"/>
                <w:bCs/>
                <w:sz w:val="20"/>
                <w:szCs w:val="20"/>
              </w:rPr>
            </w:pPr>
            <w:r w:rsidRPr="00CC17BD">
              <w:rPr>
                <w:rFonts w:ascii="Calibri" w:eastAsia="Calibri" w:hAnsi="Calibri" w:cs="Arial"/>
                <w:b/>
                <w:bCs/>
              </w:rPr>
              <w:t>ICD-10-CM</w:t>
            </w:r>
          </w:p>
        </w:tc>
      </w:tr>
      <w:tr w:rsidR="00494065" w:rsidRPr="006766C8" w14:paraId="1F2E2BC8"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C06CE00" w14:textId="77777777" w:rsidR="00494065" w:rsidRPr="00CC17BD" w:rsidRDefault="00494065" w:rsidP="002D5EAA">
            <w:pPr>
              <w:spacing w:after="0" w:line="240" w:lineRule="auto"/>
              <w:outlineLvl w:val="0"/>
              <w:rPr>
                <w:rFonts w:ascii="Calibri" w:eastAsia="Calibri" w:hAnsi="Calibri" w:cs="Arial"/>
                <w:sz w:val="20"/>
                <w:szCs w:val="20"/>
              </w:rPr>
            </w:pPr>
            <w:r w:rsidRPr="00CC17BD">
              <w:rPr>
                <w:rFonts w:ascii="Calibri" w:eastAsia="Calibri" w:hAnsi="Calibri" w:cs="Arial"/>
                <w:sz w:val="20"/>
                <w:szCs w:val="20"/>
              </w:rPr>
              <w:t>B91</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1C19A726" w14:textId="77777777" w:rsidR="00494065" w:rsidRPr="00CC17BD" w:rsidRDefault="00494065" w:rsidP="002D5EAA">
            <w:pPr>
              <w:spacing w:after="0" w:line="240" w:lineRule="auto"/>
              <w:outlineLvl w:val="0"/>
              <w:rPr>
                <w:rFonts w:ascii="Calibri" w:eastAsia="Calibri" w:hAnsi="Calibri" w:cs="Arial"/>
                <w:bCs/>
                <w:sz w:val="20"/>
                <w:szCs w:val="20"/>
              </w:rPr>
            </w:pPr>
            <w:r w:rsidRPr="00CC17BD">
              <w:rPr>
                <w:rFonts w:ascii="Calibri" w:eastAsia="Calibri" w:hAnsi="Calibri" w:cs="Arial"/>
                <w:bCs/>
                <w:sz w:val="20"/>
                <w:szCs w:val="20"/>
              </w:rPr>
              <w:t>Sequelae of poliomyelitis</w:t>
            </w:r>
          </w:p>
        </w:tc>
      </w:tr>
      <w:tr w:rsidR="00494065" w:rsidRPr="006766C8" w14:paraId="748AC76B"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9525C5E" w14:textId="77777777" w:rsidR="00494065" w:rsidRPr="00CC17BD" w:rsidRDefault="00494065" w:rsidP="002D5EAA">
            <w:pPr>
              <w:spacing w:after="0" w:line="240" w:lineRule="auto"/>
              <w:outlineLvl w:val="0"/>
              <w:rPr>
                <w:rFonts w:ascii="Calibri" w:eastAsia="Calibri" w:hAnsi="Calibri" w:cs="Arial"/>
                <w:sz w:val="20"/>
                <w:szCs w:val="20"/>
              </w:rPr>
            </w:pPr>
            <w:r w:rsidRPr="00CC17BD">
              <w:rPr>
                <w:rFonts w:ascii="Calibri" w:eastAsia="Calibri" w:hAnsi="Calibri" w:cs="Arial"/>
                <w:sz w:val="20"/>
                <w:szCs w:val="20"/>
              </w:rPr>
              <w:t>D81.810</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77AE4B46" w14:textId="77777777" w:rsidR="00494065" w:rsidRPr="00CC17BD" w:rsidRDefault="00494065" w:rsidP="002D5EAA">
            <w:pPr>
              <w:spacing w:after="0" w:line="240" w:lineRule="auto"/>
              <w:outlineLvl w:val="0"/>
              <w:rPr>
                <w:rFonts w:ascii="Calibri" w:eastAsia="Calibri" w:hAnsi="Calibri" w:cs="Arial"/>
                <w:bCs/>
                <w:sz w:val="20"/>
                <w:szCs w:val="20"/>
              </w:rPr>
            </w:pPr>
            <w:r w:rsidRPr="00CC17BD">
              <w:rPr>
                <w:rFonts w:ascii="Calibri" w:eastAsia="Calibri" w:hAnsi="Calibri" w:cs="Arial"/>
                <w:bCs/>
                <w:sz w:val="20"/>
                <w:szCs w:val="20"/>
              </w:rPr>
              <w:t>Biotinidase deficiency</w:t>
            </w:r>
          </w:p>
        </w:tc>
      </w:tr>
      <w:tr w:rsidR="00494065" w:rsidRPr="006766C8" w14:paraId="5AFDE1B9"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B1151FB"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D84.1</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3282B245" w14:textId="77777777" w:rsidR="00494065" w:rsidRDefault="00494065" w:rsidP="002D5EAA">
            <w:pPr>
              <w:spacing w:after="0" w:line="240" w:lineRule="auto"/>
              <w:outlineLvl w:val="0"/>
              <w:rPr>
                <w:rFonts w:ascii="Calibri" w:eastAsia="Calibri" w:hAnsi="Calibri" w:cs="Arial"/>
                <w:bCs/>
                <w:sz w:val="20"/>
                <w:szCs w:val="20"/>
              </w:rPr>
            </w:pPr>
            <w:r>
              <w:rPr>
                <w:rFonts w:ascii="Calibri" w:eastAsia="Calibri" w:hAnsi="Calibri" w:cs="Arial"/>
                <w:bCs/>
                <w:sz w:val="20"/>
                <w:szCs w:val="20"/>
              </w:rPr>
              <w:t>Defects in the complement system</w:t>
            </w:r>
          </w:p>
        </w:tc>
      </w:tr>
      <w:tr w:rsidR="00494065" w:rsidRPr="006766C8" w14:paraId="69804495"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8C95C2F" w14:textId="77777777" w:rsidR="00494065" w:rsidRPr="006766C8"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E84</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3FE25915" w14:textId="77777777" w:rsidR="00494065" w:rsidRPr="006766C8" w:rsidRDefault="00494065" w:rsidP="002D5EAA">
            <w:pPr>
              <w:spacing w:after="0" w:line="240" w:lineRule="auto"/>
              <w:outlineLvl w:val="0"/>
              <w:rPr>
                <w:rFonts w:ascii="Calibri" w:eastAsia="Calibri" w:hAnsi="Calibri" w:cs="Arial"/>
                <w:bCs/>
                <w:sz w:val="20"/>
                <w:szCs w:val="20"/>
              </w:rPr>
            </w:pPr>
            <w:r>
              <w:rPr>
                <w:rFonts w:ascii="Calibri" w:eastAsia="Calibri" w:hAnsi="Calibri" w:cs="Arial"/>
                <w:bCs/>
                <w:sz w:val="20"/>
                <w:szCs w:val="20"/>
              </w:rPr>
              <w:t>Cystic fibrosis</w:t>
            </w:r>
          </w:p>
        </w:tc>
      </w:tr>
      <w:tr w:rsidR="00494065" w:rsidRPr="006766C8" w14:paraId="2B623709"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8D3ECAE"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G12</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752BC645" w14:textId="77777777" w:rsidR="00494065" w:rsidRDefault="00494065" w:rsidP="002D5EAA">
            <w:pPr>
              <w:spacing w:after="0" w:line="240" w:lineRule="auto"/>
              <w:outlineLvl w:val="0"/>
              <w:rPr>
                <w:rFonts w:ascii="Calibri" w:eastAsia="Calibri" w:hAnsi="Calibri" w:cs="Arial"/>
                <w:bCs/>
                <w:sz w:val="20"/>
                <w:szCs w:val="20"/>
              </w:rPr>
            </w:pPr>
            <w:r w:rsidRPr="001F1DAC">
              <w:rPr>
                <w:rFonts w:ascii="Calibri" w:eastAsia="Calibri" w:hAnsi="Calibri" w:cs="Arial"/>
                <w:bCs/>
                <w:sz w:val="20"/>
                <w:szCs w:val="20"/>
              </w:rPr>
              <w:t>Spinal muscular atrophy and related syndromes</w:t>
            </w:r>
          </w:p>
        </w:tc>
      </w:tr>
      <w:tr w:rsidR="00494065" w:rsidRPr="006766C8" w14:paraId="44B86150"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1E61262"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G14</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225C29B2" w14:textId="77777777" w:rsidR="00494065" w:rsidRPr="001F1DAC" w:rsidRDefault="00494065" w:rsidP="002D5EAA">
            <w:pPr>
              <w:spacing w:after="0" w:line="240" w:lineRule="auto"/>
              <w:outlineLvl w:val="0"/>
              <w:rPr>
                <w:rFonts w:ascii="Calibri" w:eastAsia="Calibri" w:hAnsi="Calibri" w:cs="Arial"/>
                <w:bCs/>
                <w:sz w:val="20"/>
                <w:szCs w:val="20"/>
              </w:rPr>
            </w:pPr>
            <w:r>
              <w:rPr>
                <w:rFonts w:ascii="Calibri" w:eastAsia="Calibri" w:hAnsi="Calibri" w:cs="Arial"/>
                <w:bCs/>
                <w:sz w:val="20"/>
                <w:szCs w:val="20"/>
              </w:rPr>
              <w:t>Post-polio syndrome</w:t>
            </w:r>
          </w:p>
        </w:tc>
      </w:tr>
      <w:tr w:rsidR="00494065" w:rsidRPr="006766C8" w14:paraId="288C819F"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07A171F"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G35</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16D5F108" w14:textId="77777777" w:rsidR="00494065" w:rsidRDefault="00494065" w:rsidP="002D5EAA">
            <w:pPr>
              <w:spacing w:after="0" w:line="240" w:lineRule="auto"/>
              <w:outlineLvl w:val="0"/>
              <w:rPr>
                <w:rFonts w:ascii="Calibri" w:eastAsia="Calibri" w:hAnsi="Calibri" w:cs="Arial"/>
                <w:bCs/>
                <w:sz w:val="20"/>
                <w:szCs w:val="20"/>
              </w:rPr>
            </w:pPr>
            <w:r>
              <w:rPr>
                <w:rFonts w:ascii="Calibri" w:eastAsia="Calibri" w:hAnsi="Calibri" w:cs="Arial"/>
                <w:bCs/>
                <w:sz w:val="20"/>
                <w:szCs w:val="20"/>
              </w:rPr>
              <w:t>Multiple sclerosis</w:t>
            </w:r>
          </w:p>
        </w:tc>
      </w:tr>
      <w:tr w:rsidR="00494065" w:rsidRPr="006766C8" w14:paraId="7F799309"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31556FB4"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G71.0-G71.1</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35AB160C" w14:textId="77777777" w:rsidR="00494065" w:rsidRDefault="00494065" w:rsidP="002D5EAA">
            <w:pPr>
              <w:spacing w:after="0" w:line="240" w:lineRule="auto"/>
              <w:outlineLvl w:val="0"/>
              <w:rPr>
                <w:rFonts w:ascii="Calibri" w:eastAsia="Calibri" w:hAnsi="Calibri" w:cs="Arial"/>
                <w:bCs/>
                <w:sz w:val="20"/>
                <w:szCs w:val="20"/>
              </w:rPr>
            </w:pPr>
            <w:r>
              <w:rPr>
                <w:rFonts w:ascii="Calibri" w:eastAsia="Calibri" w:hAnsi="Calibri" w:cs="Arial"/>
                <w:bCs/>
                <w:sz w:val="20"/>
                <w:szCs w:val="20"/>
              </w:rPr>
              <w:t>Primary disorders of muscles</w:t>
            </w:r>
          </w:p>
        </w:tc>
      </w:tr>
      <w:tr w:rsidR="00494065" w:rsidRPr="006766C8" w14:paraId="229D6A1C"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60AC7D0"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G72</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16A06708" w14:textId="77777777" w:rsidR="00494065" w:rsidRDefault="00494065" w:rsidP="002D5EAA">
            <w:pPr>
              <w:spacing w:after="0" w:line="240" w:lineRule="auto"/>
              <w:outlineLvl w:val="0"/>
              <w:rPr>
                <w:rFonts w:ascii="Calibri" w:eastAsia="Calibri" w:hAnsi="Calibri" w:cs="Arial"/>
                <w:bCs/>
                <w:sz w:val="20"/>
                <w:szCs w:val="20"/>
              </w:rPr>
            </w:pPr>
            <w:r w:rsidRPr="008F2B32">
              <w:rPr>
                <w:rFonts w:ascii="Calibri" w:eastAsia="Calibri" w:hAnsi="Calibri" w:cs="Arial"/>
                <w:bCs/>
                <w:sz w:val="20"/>
                <w:szCs w:val="20"/>
              </w:rPr>
              <w:t>Other and unspecified myopathies</w:t>
            </w:r>
          </w:p>
        </w:tc>
      </w:tr>
      <w:tr w:rsidR="00494065" w:rsidRPr="006766C8" w14:paraId="56F9C56D"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0BFC8399"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G73.7</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71514CBC" w14:textId="77777777" w:rsidR="00494065" w:rsidRPr="008F2B32" w:rsidRDefault="00494065" w:rsidP="002D5EAA">
            <w:pPr>
              <w:spacing w:after="0" w:line="240" w:lineRule="auto"/>
              <w:outlineLvl w:val="0"/>
              <w:rPr>
                <w:rFonts w:ascii="Calibri" w:eastAsia="Calibri" w:hAnsi="Calibri" w:cs="Arial"/>
                <w:bCs/>
                <w:sz w:val="20"/>
                <w:szCs w:val="20"/>
              </w:rPr>
            </w:pPr>
            <w:r w:rsidRPr="008F2B32">
              <w:rPr>
                <w:rFonts w:ascii="Calibri" w:eastAsia="Calibri" w:hAnsi="Calibri" w:cs="Arial"/>
                <w:bCs/>
                <w:sz w:val="20"/>
                <w:szCs w:val="20"/>
              </w:rPr>
              <w:t>Myopathy in diseases classified elsewhere</w:t>
            </w:r>
          </w:p>
        </w:tc>
      </w:tr>
      <w:tr w:rsidR="00494065" w:rsidRPr="006766C8" w14:paraId="44862191"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717CDA0"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G82.5</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77384398" w14:textId="77777777" w:rsidR="00494065" w:rsidRPr="008F2B32" w:rsidRDefault="00494065" w:rsidP="002D5EAA">
            <w:pPr>
              <w:spacing w:after="0" w:line="240" w:lineRule="auto"/>
              <w:outlineLvl w:val="0"/>
              <w:rPr>
                <w:rFonts w:ascii="Calibri" w:eastAsia="Calibri" w:hAnsi="Calibri" w:cs="Arial"/>
                <w:bCs/>
                <w:sz w:val="20"/>
                <w:szCs w:val="20"/>
              </w:rPr>
            </w:pPr>
            <w:r w:rsidRPr="008F2B32">
              <w:rPr>
                <w:rFonts w:ascii="Calibri" w:eastAsia="Calibri" w:hAnsi="Calibri" w:cs="Arial"/>
                <w:bCs/>
                <w:sz w:val="20"/>
                <w:szCs w:val="20"/>
              </w:rPr>
              <w:t>Quadriplegia</w:t>
            </w:r>
          </w:p>
        </w:tc>
      </w:tr>
      <w:tr w:rsidR="00494065" w:rsidRPr="006766C8" w14:paraId="105FC61F"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68C2A18C"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G95</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0DBC6AF4" w14:textId="77777777" w:rsidR="00494065" w:rsidRPr="008F2B32" w:rsidRDefault="00494065" w:rsidP="002D5EAA">
            <w:pPr>
              <w:spacing w:after="0" w:line="240" w:lineRule="auto"/>
              <w:outlineLvl w:val="0"/>
              <w:rPr>
                <w:rFonts w:ascii="Calibri" w:eastAsia="Calibri" w:hAnsi="Calibri" w:cs="Arial"/>
                <w:bCs/>
                <w:sz w:val="20"/>
                <w:szCs w:val="20"/>
              </w:rPr>
            </w:pPr>
            <w:r w:rsidRPr="008F2B32">
              <w:rPr>
                <w:rFonts w:ascii="Calibri" w:eastAsia="Calibri" w:hAnsi="Calibri" w:cs="Arial"/>
                <w:bCs/>
                <w:sz w:val="20"/>
                <w:szCs w:val="20"/>
              </w:rPr>
              <w:t>Syringomyelia and syringobulbia</w:t>
            </w:r>
          </w:p>
        </w:tc>
      </w:tr>
      <w:tr w:rsidR="00494065" w:rsidRPr="006766C8" w14:paraId="2D8D8A30"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5403E92"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J44</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4CAD406E" w14:textId="77777777" w:rsidR="00494065" w:rsidRDefault="00494065" w:rsidP="002D5EAA">
            <w:pPr>
              <w:spacing w:after="0" w:line="240" w:lineRule="auto"/>
              <w:outlineLvl w:val="0"/>
              <w:rPr>
                <w:rFonts w:ascii="Calibri" w:eastAsia="Calibri" w:hAnsi="Calibri" w:cs="Arial"/>
                <w:bCs/>
                <w:sz w:val="20"/>
                <w:szCs w:val="20"/>
              </w:rPr>
            </w:pPr>
            <w:r>
              <w:rPr>
                <w:rFonts w:ascii="Calibri" w:eastAsia="Calibri" w:hAnsi="Calibri" w:cs="Arial"/>
                <w:bCs/>
                <w:sz w:val="20"/>
                <w:szCs w:val="20"/>
              </w:rPr>
              <w:t>Chronic obstructive pulmonary disease</w:t>
            </w:r>
          </w:p>
        </w:tc>
      </w:tr>
      <w:tr w:rsidR="00494065" w:rsidRPr="006766C8" w14:paraId="6BBBC12C"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29FB1F31"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J47</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21E866C8" w14:textId="77777777" w:rsidR="00494065" w:rsidRDefault="00494065" w:rsidP="002D5EAA">
            <w:pPr>
              <w:spacing w:after="0" w:line="240" w:lineRule="auto"/>
              <w:outlineLvl w:val="0"/>
              <w:rPr>
                <w:rFonts w:ascii="Calibri" w:eastAsia="Calibri" w:hAnsi="Calibri" w:cs="Arial"/>
                <w:bCs/>
                <w:sz w:val="20"/>
                <w:szCs w:val="20"/>
              </w:rPr>
            </w:pPr>
            <w:r>
              <w:rPr>
                <w:rFonts w:ascii="Calibri" w:eastAsia="Calibri" w:hAnsi="Calibri" w:cs="Arial"/>
                <w:bCs/>
                <w:sz w:val="20"/>
                <w:szCs w:val="20"/>
              </w:rPr>
              <w:t xml:space="preserve">Bronchiectasis </w:t>
            </w:r>
          </w:p>
        </w:tc>
      </w:tr>
      <w:tr w:rsidR="00494065" w:rsidRPr="006766C8" w14:paraId="524DE153"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1CEEAFDF" w14:textId="77777777" w:rsidR="00494065" w:rsidRDefault="00494065" w:rsidP="002D5EAA">
            <w:pPr>
              <w:spacing w:after="0" w:line="240" w:lineRule="auto"/>
              <w:outlineLvl w:val="0"/>
              <w:rPr>
                <w:rFonts w:ascii="Calibri" w:eastAsia="Calibri" w:hAnsi="Calibri" w:cs="Arial"/>
                <w:sz w:val="20"/>
                <w:szCs w:val="20"/>
              </w:rPr>
            </w:pPr>
            <w:r>
              <w:rPr>
                <w:rFonts w:ascii="Calibri" w:eastAsia="Calibri" w:hAnsi="Calibri" w:cs="Arial"/>
                <w:sz w:val="20"/>
                <w:szCs w:val="20"/>
              </w:rPr>
              <w:t>J98.6</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0BDDAD4C" w14:textId="77777777" w:rsidR="00494065" w:rsidRDefault="00494065" w:rsidP="002D5EAA">
            <w:pPr>
              <w:spacing w:after="0" w:line="240" w:lineRule="auto"/>
              <w:outlineLvl w:val="0"/>
              <w:rPr>
                <w:rFonts w:ascii="Calibri" w:eastAsia="Calibri" w:hAnsi="Calibri" w:cs="Arial"/>
                <w:bCs/>
                <w:sz w:val="20"/>
                <w:szCs w:val="20"/>
              </w:rPr>
            </w:pPr>
            <w:r>
              <w:rPr>
                <w:rFonts w:ascii="Calibri" w:eastAsia="Calibri" w:hAnsi="Calibri" w:cs="Arial"/>
                <w:bCs/>
                <w:sz w:val="20"/>
                <w:szCs w:val="20"/>
              </w:rPr>
              <w:t>Disorders of diaphragm</w:t>
            </w:r>
          </w:p>
        </w:tc>
      </w:tr>
      <w:tr w:rsidR="00494065" w:rsidRPr="006766C8" w14:paraId="35AC6416"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10CA0725" w14:textId="77777777" w:rsidR="00494065" w:rsidRPr="008F2B32" w:rsidRDefault="00494065" w:rsidP="002D5EAA">
            <w:pPr>
              <w:spacing w:after="0" w:line="240" w:lineRule="auto"/>
              <w:outlineLvl w:val="0"/>
              <w:rPr>
                <w:rFonts w:ascii="Calibri" w:eastAsia="Calibri" w:hAnsi="Calibri" w:cs="Arial"/>
                <w:bCs/>
                <w:sz w:val="20"/>
                <w:szCs w:val="20"/>
              </w:rPr>
            </w:pPr>
            <w:r w:rsidRPr="008F2B32">
              <w:rPr>
                <w:rFonts w:ascii="Calibri" w:eastAsia="Calibri" w:hAnsi="Calibri" w:cs="Arial"/>
                <w:bCs/>
                <w:sz w:val="20"/>
                <w:szCs w:val="20"/>
              </w:rPr>
              <w:t>M33</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3180CFB0" w14:textId="77777777" w:rsidR="00494065" w:rsidRDefault="00494065" w:rsidP="002D5EAA">
            <w:pPr>
              <w:spacing w:after="0" w:line="240" w:lineRule="auto"/>
              <w:outlineLvl w:val="0"/>
              <w:rPr>
                <w:rFonts w:ascii="Calibri" w:eastAsia="Calibri" w:hAnsi="Calibri" w:cs="Arial"/>
                <w:bCs/>
                <w:sz w:val="20"/>
                <w:szCs w:val="20"/>
              </w:rPr>
            </w:pPr>
            <w:r w:rsidRPr="008F2B32">
              <w:rPr>
                <w:rFonts w:ascii="Calibri" w:eastAsia="Calibri" w:hAnsi="Calibri" w:cs="Arial"/>
                <w:bCs/>
                <w:sz w:val="20"/>
                <w:szCs w:val="20"/>
              </w:rPr>
              <w:t>Dermatopolymyositis</w:t>
            </w:r>
          </w:p>
        </w:tc>
      </w:tr>
      <w:tr w:rsidR="00494065" w:rsidRPr="006766C8" w14:paraId="14F77BF8"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31886EF8" w14:textId="77777777" w:rsidR="00494065" w:rsidRPr="008F2B32" w:rsidRDefault="00494065" w:rsidP="002D5EAA">
            <w:pPr>
              <w:spacing w:after="0" w:line="240" w:lineRule="auto"/>
              <w:outlineLvl w:val="0"/>
              <w:rPr>
                <w:rFonts w:ascii="Calibri" w:eastAsia="Calibri" w:hAnsi="Calibri" w:cs="Arial"/>
                <w:bCs/>
                <w:sz w:val="20"/>
                <w:szCs w:val="20"/>
              </w:rPr>
            </w:pPr>
            <w:r w:rsidRPr="008F2B32">
              <w:rPr>
                <w:rFonts w:ascii="Calibri" w:eastAsia="Calibri" w:hAnsi="Calibri" w:cs="Arial"/>
                <w:bCs/>
                <w:sz w:val="20"/>
                <w:szCs w:val="20"/>
              </w:rPr>
              <w:t>M34.82</w:t>
            </w:r>
          </w:p>
        </w:tc>
        <w:tc>
          <w:tcPr>
            <w:tcW w:w="8185" w:type="dxa"/>
            <w:tcBorders>
              <w:top w:val="single" w:sz="4" w:space="0" w:color="auto"/>
              <w:left w:val="single" w:sz="4" w:space="0" w:color="auto"/>
              <w:bottom w:val="single" w:sz="4" w:space="0" w:color="auto"/>
              <w:right w:val="single" w:sz="4" w:space="0" w:color="auto"/>
            </w:tcBorders>
            <w:shd w:val="clear" w:color="auto" w:fill="auto"/>
          </w:tcPr>
          <w:p w14:paraId="5A15E4CD" w14:textId="77777777" w:rsidR="00494065" w:rsidRDefault="00494065" w:rsidP="002D5EAA">
            <w:pPr>
              <w:spacing w:after="0" w:line="240" w:lineRule="auto"/>
              <w:outlineLvl w:val="0"/>
              <w:rPr>
                <w:rFonts w:ascii="Calibri" w:eastAsia="Calibri" w:hAnsi="Calibri" w:cs="Arial"/>
                <w:bCs/>
                <w:sz w:val="20"/>
                <w:szCs w:val="20"/>
              </w:rPr>
            </w:pPr>
            <w:r w:rsidRPr="008F2B32">
              <w:rPr>
                <w:rFonts w:ascii="Calibri" w:eastAsia="Calibri" w:hAnsi="Calibri" w:cs="Arial"/>
                <w:bCs/>
                <w:sz w:val="20"/>
                <w:szCs w:val="20"/>
              </w:rPr>
              <w:t>Systemic sclerosis with myopathy</w:t>
            </w:r>
          </w:p>
        </w:tc>
      </w:tr>
      <w:tr w:rsidR="00494065" w:rsidRPr="006766C8" w14:paraId="540745E9"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tcPr>
          <w:p w14:paraId="755B975B" w14:textId="77777777" w:rsidR="00494065" w:rsidRPr="008F2B32" w:rsidRDefault="00494065" w:rsidP="002D5EAA">
            <w:pPr>
              <w:spacing w:after="0" w:line="240" w:lineRule="auto"/>
              <w:outlineLvl w:val="0"/>
              <w:rPr>
                <w:rFonts w:ascii="Calibri" w:eastAsia="Calibri" w:hAnsi="Calibri" w:cs="Arial"/>
                <w:bCs/>
                <w:sz w:val="20"/>
                <w:szCs w:val="20"/>
              </w:rPr>
            </w:pPr>
            <w:r w:rsidRPr="008F2B32">
              <w:rPr>
                <w:rFonts w:ascii="Calibri" w:eastAsia="Calibri" w:hAnsi="Calibri" w:cs="Arial"/>
                <w:bCs/>
                <w:sz w:val="20"/>
                <w:szCs w:val="20"/>
              </w:rPr>
              <w:t>M35.03</w:t>
            </w:r>
          </w:p>
        </w:tc>
        <w:tc>
          <w:tcPr>
            <w:tcW w:w="8185" w:type="dxa"/>
            <w:tcBorders>
              <w:top w:val="single" w:sz="4" w:space="0" w:color="auto"/>
              <w:left w:val="single" w:sz="4" w:space="0" w:color="auto"/>
              <w:bottom w:val="single" w:sz="4" w:space="0" w:color="auto"/>
              <w:right w:val="single" w:sz="4" w:space="0" w:color="auto"/>
            </w:tcBorders>
            <w:shd w:val="clear" w:color="auto" w:fill="auto"/>
          </w:tcPr>
          <w:p w14:paraId="55CA7C16" w14:textId="77777777" w:rsidR="00494065" w:rsidRDefault="00494065" w:rsidP="002D5EAA">
            <w:pPr>
              <w:spacing w:after="0" w:line="240" w:lineRule="auto"/>
              <w:outlineLvl w:val="0"/>
              <w:rPr>
                <w:rFonts w:ascii="Calibri" w:eastAsia="Calibri" w:hAnsi="Calibri" w:cs="Arial"/>
                <w:bCs/>
                <w:sz w:val="20"/>
                <w:szCs w:val="20"/>
              </w:rPr>
            </w:pPr>
            <w:r w:rsidRPr="008F2B32">
              <w:rPr>
                <w:rFonts w:ascii="Calibri" w:eastAsia="Calibri" w:hAnsi="Calibri" w:cs="Arial"/>
                <w:bCs/>
                <w:sz w:val="20"/>
                <w:szCs w:val="20"/>
              </w:rPr>
              <w:t>Sicca syndrome with myopathy</w:t>
            </w:r>
          </w:p>
        </w:tc>
      </w:tr>
      <w:tr w:rsidR="00494065" w:rsidRPr="006766C8" w14:paraId="1BB2931B" w14:textId="77777777" w:rsidTr="00E345C8">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3611E764" w14:textId="77777777" w:rsidR="00494065" w:rsidRPr="008F2B32" w:rsidRDefault="00494065" w:rsidP="002D5EAA">
            <w:pPr>
              <w:spacing w:after="0" w:line="240" w:lineRule="auto"/>
              <w:outlineLvl w:val="0"/>
              <w:rPr>
                <w:rFonts w:ascii="Calibri" w:eastAsia="Calibri" w:hAnsi="Calibri" w:cs="Arial"/>
                <w:bCs/>
                <w:sz w:val="20"/>
                <w:szCs w:val="20"/>
              </w:rPr>
            </w:pPr>
            <w:r w:rsidRPr="008F2B32">
              <w:rPr>
                <w:rFonts w:ascii="Calibri" w:eastAsia="Calibri" w:hAnsi="Calibri" w:cs="Arial"/>
                <w:bCs/>
                <w:sz w:val="20"/>
                <w:szCs w:val="20"/>
              </w:rPr>
              <w:t>Q33.4</w:t>
            </w:r>
          </w:p>
        </w:tc>
        <w:tc>
          <w:tcPr>
            <w:tcW w:w="8185" w:type="dxa"/>
            <w:tcBorders>
              <w:top w:val="single" w:sz="4" w:space="0" w:color="auto"/>
              <w:left w:val="single" w:sz="4" w:space="0" w:color="auto"/>
              <w:bottom w:val="single" w:sz="4" w:space="0" w:color="auto"/>
              <w:right w:val="single" w:sz="4" w:space="0" w:color="auto"/>
            </w:tcBorders>
            <w:shd w:val="clear" w:color="auto" w:fill="auto"/>
            <w:vAlign w:val="center"/>
          </w:tcPr>
          <w:p w14:paraId="67E6C8CF" w14:textId="77777777" w:rsidR="00494065" w:rsidRDefault="00494065" w:rsidP="002D5EAA">
            <w:pPr>
              <w:spacing w:after="0" w:line="240" w:lineRule="auto"/>
              <w:outlineLvl w:val="0"/>
              <w:rPr>
                <w:rFonts w:ascii="Calibri" w:eastAsia="Calibri" w:hAnsi="Calibri" w:cs="Arial"/>
                <w:bCs/>
                <w:sz w:val="20"/>
                <w:szCs w:val="20"/>
              </w:rPr>
            </w:pPr>
            <w:r>
              <w:rPr>
                <w:rFonts w:ascii="Calibri" w:eastAsia="Calibri" w:hAnsi="Calibri" w:cs="Arial"/>
                <w:bCs/>
                <w:sz w:val="20"/>
                <w:szCs w:val="20"/>
              </w:rPr>
              <w:t>Congenital bronchiectasis</w:t>
            </w:r>
          </w:p>
        </w:tc>
      </w:tr>
    </w:tbl>
    <w:p w14:paraId="12D10646" w14:textId="615AE3C5" w:rsidR="00494065" w:rsidRPr="0029564F" w:rsidRDefault="00494065" w:rsidP="0029564F">
      <w:pPr>
        <w:spacing w:before="40" w:after="240"/>
        <w:rPr>
          <w:sz w:val="20"/>
          <w:szCs w:val="20"/>
        </w:rPr>
      </w:pPr>
      <w:r w:rsidRPr="0029564F">
        <w:rPr>
          <w:sz w:val="20"/>
          <w:szCs w:val="20"/>
        </w:rPr>
        <w:t>Note</w:t>
      </w:r>
      <w:r w:rsidR="009018B7">
        <w:rPr>
          <w:sz w:val="20"/>
          <w:szCs w:val="20"/>
        </w:rPr>
        <w:t>.</w:t>
      </w:r>
      <w:r w:rsidRPr="0029564F">
        <w:rPr>
          <w:sz w:val="20"/>
          <w:szCs w:val="20"/>
        </w:rPr>
        <w:t xml:space="preserve"> Inclusion on this list does not guarantee coverage.</w:t>
      </w:r>
    </w:p>
    <w:p w14:paraId="77EA6532" w14:textId="77777777" w:rsidR="00494065" w:rsidRDefault="00494065" w:rsidP="002D5EAA"/>
    <w:p w14:paraId="76393116" w14:textId="77777777" w:rsidR="00494065" w:rsidRDefault="00494065"/>
    <w:p w14:paraId="0B1D1800" w14:textId="77777777" w:rsidR="00591CF2" w:rsidRDefault="00591CF2"/>
    <w:sectPr w:rsidR="00591CF2" w:rsidSect="002D5EAA">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1294" w14:textId="77777777" w:rsidR="008A647D" w:rsidRDefault="008A647D">
      <w:pPr>
        <w:spacing w:after="0" w:line="240" w:lineRule="auto"/>
      </w:pPr>
      <w:r>
        <w:separator/>
      </w:r>
    </w:p>
  </w:endnote>
  <w:endnote w:type="continuationSeparator" w:id="0">
    <w:p w14:paraId="6F59C02A" w14:textId="77777777" w:rsidR="008A647D" w:rsidRDefault="008A647D">
      <w:pPr>
        <w:spacing w:after="0" w:line="240" w:lineRule="auto"/>
      </w:pPr>
      <w:r>
        <w:continuationSeparator/>
      </w:r>
    </w:p>
  </w:endnote>
  <w:endnote w:type="continuationNotice" w:id="1">
    <w:p w14:paraId="3BD13E57" w14:textId="77777777" w:rsidR="008A647D" w:rsidRDefault="008A6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F69F" w14:textId="77777777" w:rsidR="00DC68A4" w:rsidRDefault="00DC68A4">
    <w:pPr>
      <w:pStyle w:val="Footer"/>
    </w:pPr>
    <w:r w:rsidRPr="004A662C">
      <w:rPr>
        <w:noProof/>
      </w:rPr>
      <w:drawing>
        <wp:inline distT="0" distB="0" distL="0" distR="0" wp14:anchorId="1873A113" wp14:editId="26F71059">
          <wp:extent cx="903605" cy="3613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5" cy="3613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9A73" w14:textId="3160ACDD" w:rsidR="00DC68A4" w:rsidRPr="00CC6A66" w:rsidRDefault="00DC68A4" w:rsidP="00240605">
    <w:pPr>
      <w:pStyle w:val="Footer"/>
      <w:tabs>
        <w:tab w:val="center" w:pos="302"/>
        <w:tab w:val="left" w:pos="432"/>
      </w:tabs>
      <w:spacing w:before="160" w:after="0" w:line="259" w:lineRule="auto"/>
      <w:ind w:left="432" w:hanging="432"/>
    </w:pPr>
    <w:r w:rsidRPr="008A5484">
      <w:rPr>
        <w:b/>
      </w:rPr>
      <w:fldChar w:fldCharType="begin"/>
    </w:r>
    <w:r w:rsidRPr="008A5484">
      <w:rPr>
        <w:b/>
      </w:rPr>
      <w:instrText xml:space="preserve"> PAGE   \* MERGEFORMAT </w:instrText>
    </w:r>
    <w:r w:rsidRPr="008A5484">
      <w:rPr>
        <w:b/>
      </w:rPr>
      <w:fldChar w:fldCharType="separate"/>
    </w:r>
    <w:r w:rsidR="0000482E">
      <w:rPr>
        <w:b/>
        <w:noProof/>
      </w:rPr>
      <w:t>39</w:t>
    </w:r>
    <w:r w:rsidRPr="008A5484">
      <w:rPr>
        <w:b/>
        <w:noProof/>
      </w:rPr>
      <w:fldChar w:fldCharType="end"/>
    </w:r>
    <w:r>
      <w:rPr>
        <w:b/>
        <w:noProof/>
      </w:rPr>
      <w:tab/>
    </w:r>
    <w:r w:rsidRPr="005D57EA">
      <w:t>│</w:t>
    </w:r>
    <w:r>
      <w:tab/>
      <w:t xml:space="preserve"> </w:t>
    </w:r>
    <w:r w:rsidRPr="0082088A">
      <w:t>High</w:t>
    </w:r>
    <w:r>
      <w:t>-</w:t>
    </w:r>
    <w:r w:rsidRPr="0082088A">
      <w:t>Frequency Chest Wall Oscillation Devices</w:t>
    </w:r>
  </w:p>
  <w:p w14:paraId="10B8A045" w14:textId="58112482" w:rsidR="00DC68A4" w:rsidRPr="00013A6A" w:rsidRDefault="00013A6A" w:rsidP="00013A6A">
    <w:pPr>
      <w:pStyle w:val="Footer"/>
      <w:spacing w:after="0"/>
      <w:jc w:val="both"/>
      <w:rPr>
        <w:bCs/>
        <w:color w:val="FF0000"/>
      </w:rPr>
    </w:pPr>
    <w:r w:rsidRPr="00013A6A">
      <w:rPr>
        <w:bCs/>
        <w:color w:val="FF0000"/>
      </w:rPr>
      <w:t xml:space="preserve">DRAFT </w:t>
    </w:r>
    <w:r w:rsidR="00D75A3D">
      <w:rPr>
        <w:bCs/>
        <w:color w:val="FF0000"/>
      </w:rPr>
      <w:t>for 8/11/2022 HERC meeting materials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941A" w14:textId="77777777" w:rsidR="008A647D" w:rsidRDefault="008A647D">
      <w:pPr>
        <w:spacing w:after="0" w:line="240" w:lineRule="auto"/>
      </w:pPr>
      <w:r>
        <w:separator/>
      </w:r>
    </w:p>
  </w:footnote>
  <w:footnote w:type="continuationSeparator" w:id="0">
    <w:p w14:paraId="47EAEB5A" w14:textId="77777777" w:rsidR="008A647D" w:rsidRDefault="008A647D">
      <w:pPr>
        <w:spacing w:after="0" w:line="240" w:lineRule="auto"/>
      </w:pPr>
      <w:r>
        <w:continuationSeparator/>
      </w:r>
    </w:p>
  </w:footnote>
  <w:footnote w:type="continuationNotice" w:id="1">
    <w:p w14:paraId="1B3F59B9" w14:textId="77777777" w:rsidR="008A647D" w:rsidRDefault="008A6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576153"/>
      <w:docPartObj>
        <w:docPartGallery w:val="Watermarks"/>
        <w:docPartUnique/>
      </w:docPartObj>
    </w:sdtPr>
    <w:sdtEndPr/>
    <w:sdtContent>
      <w:p w14:paraId="1FAB23CF" w14:textId="77777777" w:rsidR="00DC68A4" w:rsidRDefault="00E24E28">
        <w:pPr>
          <w:pStyle w:val="Header"/>
        </w:pPr>
        <w:r>
          <w:rPr>
            <w:noProof/>
          </w:rPr>
          <w:pict w14:anchorId="1E2AF6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C6C"/>
    <w:multiLevelType w:val="hybridMultilevel"/>
    <w:tmpl w:val="9DB6FD74"/>
    <w:lvl w:ilvl="0" w:tplc="D8CCB90E">
      <w:start w:val="1"/>
      <w:numFmt w:val="upperLetter"/>
      <w:lvlText w:val="%1)"/>
      <w:lvlJc w:val="left"/>
      <w:pPr>
        <w:ind w:left="840" w:hanging="360"/>
      </w:pPr>
      <w:rPr>
        <w:rFonts w:hint="default"/>
        <w:i w:val="0"/>
        <w:i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77F5611"/>
    <w:multiLevelType w:val="hybridMultilevel"/>
    <w:tmpl w:val="345A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E7129"/>
    <w:multiLevelType w:val="hybridMultilevel"/>
    <w:tmpl w:val="F14A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AD5"/>
    <w:multiLevelType w:val="hybridMultilevel"/>
    <w:tmpl w:val="77A0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BB324A"/>
    <w:multiLevelType w:val="hybridMultilevel"/>
    <w:tmpl w:val="F372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F012E"/>
    <w:multiLevelType w:val="hybridMultilevel"/>
    <w:tmpl w:val="14963E66"/>
    <w:lvl w:ilvl="0" w:tplc="93ACC5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E3284A"/>
    <w:multiLevelType w:val="hybridMultilevel"/>
    <w:tmpl w:val="A220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51C55"/>
    <w:multiLevelType w:val="hybridMultilevel"/>
    <w:tmpl w:val="41F4AD5A"/>
    <w:lvl w:ilvl="0" w:tplc="D2DE2956">
      <w:start w:val="1"/>
      <w:numFmt w:val="upperLetter"/>
      <w:lvlText w:val="%1)"/>
      <w:lvlJc w:val="left"/>
      <w:pPr>
        <w:ind w:left="840" w:hanging="360"/>
      </w:pPr>
      <w:rPr>
        <w:rFonts w:hint="default"/>
        <w:i w:val="0"/>
        <w:iCs/>
        <w:color w:val="auto"/>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118A0856"/>
    <w:multiLevelType w:val="hybridMultilevel"/>
    <w:tmpl w:val="3724C41C"/>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F83210"/>
    <w:multiLevelType w:val="hybridMultilevel"/>
    <w:tmpl w:val="81D8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7274C0"/>
    <w:multiLevelType w:val="hybridMultilevel"/>
    <w:tmpl w:val="F9421550"/>
    <w:lvl w:ilvl="0" w:tplc="04090011">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B5E44"/>
    <w:multiLevelType w:val="hybridMultilevel"/>
    <w:tmpl w:val="289AF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95203"/>
    <w:multiLevelType w:val="hybridMultilevel"/>
    <w:tmpl w:val="263A0BB4"/>
    <w:lvl w:ilvl="0" w:tplc="6776AC92">
      <w:start w:val="1"/>
      <w:numFmt w:val="decimal"/>
      <w:lvlText w:val="%1)"/>
      <w:lvlJc w:val="left"/>
      <w:pPr>
        <w:ind w:left="720" w:hanging="360"/>
      </w:pPr>
      <w:rPr>
        <w:rFonts w:ascii="Calibri" w:eastAsia="Calibri" w:hAnsi="Calibri" w:cs="Arial"/>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50A5E"/>
    <w:multiLevelType w:val="hybridMultilevel"/>
    <w:tmpl w:val="EB8E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805E0"/>
    <w:multiLevelType w:val="hybridMultilevel"/>
    <w:tmpl w:val="A33CB464"/>
    <w:lvl w:ilvl="0" w:tplc="5E88156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5" w15:restartNumberingAfterBreak="0">
    <w:nsid w:val="2AB51EF8"/>
    <w:multiLevelType w:val="hybridMultilevel"/>
    <w:tmpl w:val="7C5E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21B76"/>
    <w:multiLevelType w:val="hybridMultilevel"/>
    <w:tmpl w:val="EF4857DA"/>
    <w:lvl w:ilvl="0" w:tplc="8D7A04BC">
      <w:start w:val="1"/>
      <w:numFmt w:val="lowerLetter"/>
      <w:lvlText w:val="%1)"/>
      <w:lvlJc w:val="left"/>
      <w:pPr>
        <w:ind w:left="840" w:hanging="360"/>
      </w:pPr>
      <w:rPr>
        <w:rFonts w:hint="default"/>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2C7002D2"/>
    <w:multiLevelType w:val="hybridMultilevel"/>
    <w:tmpl w:val="0AD295FA"/>
    <w:lvl w:ilvl="0" w:tplc="0742D59C">
      <w:start w:val="1"/>
      <w:numFmt w:val="bullet"/>
      <w:suff w:val="space"/>
      <w:lvlText w:val=""/>
      <w:lvlJc w:val="left"/>
      <w:pPr>
        <w:ind w:left="432" w:hanging="72"/>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4579B"/>
    <w:multiLevelType w:val="hybridMultilevel"/>
    <w:tmpl w:val="577A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77A76"/>
    <w:multiLevelType w:val="hybridMultilevel"/>
    <w:tmpl w:val="A906E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661B7"/>
    <w:multiLevelType w:val="hybridMultilevel"/>
    <w:tmpl w:val="0C848C66"/>
    <w:lvl w:ilvl="0" w:tplc="8EFAAD08">
      <w:start w:val="1"/>
      <w:numFmt w:val="lowerLetter"/>
      <w:lvlText w:val="%1)"/>
      <w:lvlJc w:val="left"/>
      <w:pPr>
        <w:ind w:left="1200" w:hanging="360"/>
      </w:pPr>
      <w:rPr>
        <w:i w:val="0"/>
        <w:iC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1" w15:restartNumberingAfterBreak="0">
    <w:nsid w:val="3B14252B"/>
    <w:multiLevelType w:val="hybridMultilevel"/>
    <w:tmpl w:val="83302660"/>
    <w:lvl w:ilvl="0" w:tplc="8A58B61E">
      <w:start w:val="1"/>
      <w:numFmt w:val="upperLetter"/>
      <w:lvlText w:val="%1)"/>
      <w:lvlJc w:val="left"/>
      <w:pPr>
        <w:ind w:left="720" w:hanging="360"/>
      </w:pPr>
      <w:rPr>
        <w:rFonts w:ascii="Calibri" w:eastAsiaTheme="minorHAnsi" w:hAnsi="Calibri" w:cs="Calibri"/>
        <w:color w:val="1F4E79" w:themeColor="accent1" w:themeShade="80"/>
      </w:rPr>
    </w:lvl>
    <w:lvl w:ilvl="1" w:tplc="B17EAEA0">
      <w:start w:val="1"/>
      <w:numFmt w:val="decimal"/>
      <w:lvlText w:val="%2)"/>
      <w:lvlJc w:val="left"/>
      <w:pPr>
        <w:ind w:left="1440" w:hanging="360"/>
      </w:pPr>
      <w:rPr>
        <w:rFonts w:ascii="Calibri" w:hAnsi="Calibri" w:cs="Calibri" w:hint="default"/>
        <w:color w:val="1F4E79" w:themeColor="accent1" w:themeShade="8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C0492"/>
    <w:multiLevelType w:val="hybridMultilevel"/>
    <w:tmpl w:val="2CAE9124"/>
    <w:lvl w:ilvl="0" w:tplc="898AEDD0">
      <w:start w:val="1"/>
      <w:numFmt w:val="upperLetter"/>
      <w:lvlText w:val="%1)"/>
      <w:lvlJc w:val="left"/>
      <w:pPr>
        <w:ind w:left="840" w:hanging="360"/>
      </w:pPr>
      <w:rPr>
        <w:rFonts w:hint="default"/>
        <w:i w:val="0"/>
        <w:iCs/>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422956B7"/>
    <w:multiLevelType w:val="hybridMultilevel"/>
    <w:tmpl w:val="7DBE4162"/>
    <w:lvl w:ilvl="0" w:tplc="CF5C87CE">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925448"/>
    <w:multiLevelType w:val="hybridMultilevel"/>
    <w:tmpl w:val="F8F42FD4"/>
    <w:lvl w:ilvl="0" w:tplc="AAC4ADF8">
      <w:start w:val="1"/>
      <w:numFmt w:val="upperLetter"/>
      <w:lvlText w:val="%1)"/>
      <w:lvlJc w:val="left"/>
      <w:pPr>
        <w:ind w:left="840" w:hanging="360"/>
      </w:pPr>
      <w:rPr>
        <w:rFonts w:hint="default"/>
        <w:i w:val="0"/>
        <w:iCs/>
      </w:rPr>
    </w:lvl>
    <w:lvl w:ilvl="1" w:tplc="04090019">
      <w:start w:val="1"/>
      <w:numFmt w:val="lowerLetter"/>
      <w:lvlText w:val="%2."/>
      <w:lvlJc w:val="left"/>
      <w:pPr>
        <w:ind w:left="1560" w:hanging="360"/>
      </w:pPr>
    </w:lvl>
    <w:lvl w:ilvl="2" w:tplc="35CACEF0">
      <w:start w:val="1"/>
      <w:numFmt w:val="lowerLetter"/>
      <w:lvlText w:val="%3)"/>
      <w:lvlJc w:val="left"/>
      <w:pPr>
        <w:ind w:left="2460" w:hanging="360"/>
      </w:pPr>
      <w:rPr>
        <w:rFonts w:hint="default"/>
        <w:i w:val="0"/>
      </w:r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462F3115"/>
    <w:multiLevelType w:val="hybridMultilevel"/>
    <w:tmpl w:val="B198C39A"/>
    <w:lvl w:ilvl="0" w:tplc="04090017">
      <w:start w:val="1"/>
      <w:numFmt w:val="lowerLetter"/>
      <w:lvlText w:val="%1)"/>
      <w:lvlJc w:val="left"/>
      <w:pPr>
        <w:ind w:left="1800" w:hanging="360"/>
      </w:pPr>
    </w:lvl>
    <w:lvl w:ilvl="1" w:tplc="60A2B97A">
      <w:start w:val="1"/>
      <w:numFmt w:val="lowerLetter"/>
      <w:lvlText w:val="%2."/>
      <w:lvlJc w:val="left"/>
      <w:pPr>
        <w:ind w:left="2520" w:hanging="360"/>
      </w:pPr>
      <w:rPr>
        <w:i w:val="0"/>
        <w:iC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DC1ACF"/>
    <w:multiLevelType w:val="hybridMultilevel"/>
    <w:tmpl w:val="7B22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86B88"/>
    <w:multiLevelType w:val="hybridMultilevel"/>
    <w:tmpl w:val="1334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3028B2"/>
    <w:multiLevelType w:val="hybridMultilevel"/>
    <w:tmpl w:val="FAF05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E9612A"/>
    <w:multiLevelType w:val="hybridMultilevel"/>
    <w:tmpl w:val="9B8E0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A2301"/>
    <w:multiLevelType w:val="hybridMultilevel"/>
    <w:tmpl w:val="DE7E0C94"/>
    <w:lvl w:ilvl="0" w:tplc="7B4EBD18">
      <w:start w:val="1"/>
      <w:numFmt w:val="lowerLetter"/>
      <w:lvlText w:val="%1)"/>
      <w:lvlJc w:val="left"/>
      <w:pPr>
        <w:ind w:left="840" w:hanging="360"/>
      </w:pPr>
      <w:rPr>
        <w:rFonts w:hint="default"/>
        <w:i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1" w15:restartNumberingAfterBreak="0">
    <w:nsid w:val="5FCD13C2"/>
    <w:multiLevelType w:val="hybridMultilevel"/>
    <w:tmpl w:val="677EC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EE5115"/>
    <w:multiLevelType w:val="hybridMultilevel"/>
    <w:tmpl w:val="9E6AE65E"/>
    <w:lvl w:ilvl="0" w:tplc="04090001">
      <w:start w:val="1"/>
      <w:numFmt w:val="bullet"/>
      <w:lvlText w:val=""/>
      <w:lvlJc w:val="left"/>
      <w:pPr>
        <w:ind w:left="68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2124" w:hanging="360"/>
      </w:pPr>
      <w:rPr>
        <w:rFonts w:ascii="Wingdings" w:hAnsi="Wingdings" w:hint="default"/>
      </w:rPr>
    </w:lvl>
    <w:lvl w:ilvl="3" w:tplc="04090001" w:tentative="1">
      <w:start w:val="1"/>
      <w:numFmt w:val="bullet"/>
      <w:lvlText w:val=""/>
      <w:lvlJc w:val="left"/>
      <w:pPr>
        <w:ind w:left="2844" w:hanging="360"/>
      </w:pPr>
      <w:rPr>
        <w:rFonts w:ascii="Symbol" w:hAnsi="Symbol" w:hint="default"/>
      </w:rPr>
    </w:lvl>
    <w:lvl w:ilvl="4" w:tplc="04090003" w:tentative="1">
      <w:start w:val="1"/>
      <w:numFmt w:val="bullet"/>
      <w:lvlText w:val="o"/>
      <w:lvlJc w:val="left"/>
      <w:pPr>
        <w:ind w:left="3564" w:hanging="360"/>
      </w:pPr>
      <w:rPr>
        <w:rFonts w:ascii="Courier New" w:hAnsi="Courier New" w:cs="Courier New" w:hint="default"/>
      </w:rPr>
    </w:lvl>
    <w:lvl w:ilvl="5" w:tplc="04090005" w:tentative="1">
      <w:start w:val="1"/>
      <w:numFmt w:val="bullet"/>
      <w:lvlText w:val=""/>
      <w:lvlJc w:val="left"/>
      <w:pPr>
        <w:ind w:left="4284" w:hanging="360"/>
      </w:pPr>
      <w:rPr>
        <w:rFonts w:ascii="Wingdings" w:hAnsi="Wingdings" w:hint="default"/>
      </w:rPr>
    </w:lvl>
    <w:lvl w:ilvl="6" w:tplc="04090001" w:tentative="1">
      <w:start w:val="1"/>
      <w:numFmt w:val="bullet"/>
      <w:lvlText w:val=""/>
      <w:lvlJc w:val="left"/>
      <w:pPr>
        <w:ind w:left="5004" w:hanging="360"/>
      </w:pPr>
      <w:rPr>
        <w:rFonts w:ascii="Symbol" w:hAnsi="Symbol" w:hint="default"/>
      </w:rPr>
    </w:lvl>
    <w:lvl w:ilvl="7" w:tplc="04090003" w:tentative="1">
      <w:start w:val="1"/>
      <w:numFmt w:val="bullet"/>
      <w:lvlText w:val="o"/>
      <w:lvlJc w:val="left"/>
      <w:pPr>
        <w:ind w:left="5724" w:hanging="360"/>
      </w:pPr>
      <w:rPr>
        <w:rFonts w:ascii="Courier New" w:hAnsi="Courier New" w:cs="Courier New" w:hint="default"/>
      </w:rPr>
    </w:lvl>
    <w:lvl w:ilvl="8" w:tplc="04090005" w:tentative="1">
      <w:start w:val="1"/>
      <w:numFmt w:val="bullet"/>
      <w:lvlText w:val=""/>
      <w:lvlJc w:val="left"/>
      <w:pPr>
        <w:ind w:left="6444" w:hanging="360"/>
      </w:pPr>
      <w:rPr>
        <w:rFonts w:ascii="Wingdings" w:hAnsi="Wingdings" w:hint="default"/>
      </w:rPr>
    </w:lvl>
  </w:abstractNum>
  <w:abstractNum w:abstractNumId="33" w15:restartNumberingAfterBreak="0">
    <w:nsid w:val="65646C4F"/>
    <w:multiLevelType w:val="hybridMultilevel"/>
    <w:tmpl w:val="9D2C1E7A"/>
    <w:lvl w:ilvl="0" w:tplc="CAC6B28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311FA"/>
    <w:multiLevelType w:val="hybridMultilevel"/>
    <w:tmpl w:val="8DBCEF8C"/>
    <w:lvl w:ilvl="0" w:tplc="AAC4ADF8">
      <w:start w:val="1"/>
      <w:numFmt w:val="upperLetter"/>
      <w:lvlText w:val="%1)"/>
      <w:lvlJc w:val="left"/>
      <w:pPr>
        <w:ind w:left="840" w:hanging="360"/>
      </w:pPr>
      <w:rPr>
        <w:rFonts w:hint="default"/>
        <w:i w:val="0"/>
        <w:iCs/>
      </w:rPr>
    </w:lvl>
    <w:lvl w:ilvl="1" w:tplc="04090017">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5" w15:restartNumberingAfterBreak="0">
    <w:nsid w:val="67254F87"/>
    <w:multiLevelType w:val="hybridMultilevel"/>
    <w:tmpl w:val="5F304B82"/>
    <w:lvl w:ilvl="0" w:tplc="08AC023A">
      <w:start w:val="1"/>
      <w:numFmt w:val="lowerLetter"/>
      <w:lvlText w:val="%1)"/>
      <w:lvlJc w:val="left"/>
      <w:pPr>
        <w:ind w:left="1560" w:hanging="360"/>
      </w:pPr>
      <w:rPr>
        <w:i w:val="0"/>
        <w:iCs w:val="0"/>
        <w:color w:val="auto"/>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6" w15:restartNumberingAfterBreak="0">
    <w:nsid w:val="68321E7A"/>
    <w:multiLevelType w:val="hybridMultilevel"/>
    <w:tmpl w:val="C094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8067C8"/>
    <w:multiLevelType w:val="hybridMultilevel"/>
    <w:tmpl w:val="6E3A0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A35901"/>
    <w:multiLevelType w:val="hybridMultilevel"/>
    <w:tmpl w:val="3ED27694"/>
    <w:lvl w:ilvl="0" w:tplc="92C2BECE">
      <w:start w:val="1"/>
      <w:numFmt w:val="lowerLetter"/>
      <w:lvlText w:val="%1)"/>
      <w:lvlJc w:val="left"/>
      <w:pPr>
        <w:ind w:left="1200" w:hanging="360"/>
      </w:pPr>
      <w:rPr>
        <w:i w:val="0"/>
        <w:iC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9" w15:restartNumberingAfterBreak="0">
    <w:nsid w:val="7325267F"/>
    <w:multiLevelType w:val="hybridMultilevel"/>
    <w:tmpl w:val="5A806E48"/>
    <w:lvl w:ilvl="0" w:tplc="5DDC1E04">
      <w:start w:val="1"/>
      <w:numFmt w:val="upperLetter"/>
      <w:lvlText w:val="%1)"/>
      <w:lvlJc w:val="left"/>
      <w:pPr>
        <w:ind w:left="720" w:hanging="360"/>
      </w:pPr>
      <w:rPr>
        <w:rFonts w:hint="default"/>
        <w:color w:val="auto"/>
      </w:rPr>
    </w:lvl>
    <w:lvl w:ilvl="1" w:tplc="39E458BE">
      <w:start w:val="1"/>
      <w:numFmt w:val="decimal"/>
      <w:lvlText w:val="%2."/>
      <w:lvlJc w:val="left"/>
      <w:pPr>
        <w:ind w:left="1440" w:hanging="360"/>
      </w:pPr>
      <w:rPr>
        <w:rFonts w:ascii="Calibri" w:eastAsiaTheme="minorHAns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BB557B"/>
    <w:multiLevelType w:val="hybridMultilevel"/>
    <w:tmpl w:val="2878028E"/>
    <w:lvl w:ilvl="0" w:tplc="04090017">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D73E1"/>
    <w:multiLevelType w:val="hybridMultilevel"/>
    <w:tmpl w:val="C28AD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C66578"/>
    <w:multiLevelType w:val="hybridMultilevel"/>
    <w:tmpl w:val="D2E2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3"/>
  </w:num>
  <w:num w:numId="3">
    <w:abstractNumId w:val="23"/>
  </w:num>
  <w:num w:numId="4">
    <w:abstractNumId w:val="17"/>
  </w:num>
  <w:num w:numId="5">
    <w:abstractNumId w:val="11"/>
  </w:num>
  <w:num w:numId="6">
    <w:abstractNumId w:val="4"/>
  </w:num>
  <w:num w:numId="7">
    <w:abstractNumId w:val="31"/>
  </w:num>
  <w:num w:numId="8">
    <w:abstractNumId w:val="41"/>
  </w:num>
  <w:num w:numId="9">
    <w:abstractNumId w:val="19"/>
  </w:num>
  <w:num w:numId="10">
    <w:abstractNumId w:val="6"/>
  </w:num>
  <w:num w:numId="11">
    <w:abstractNumId w:val="27"/>
  </w:num>
  <w:num w:numId="12">
    <w:abstractNumId w:val="15"/>
  </w:num>
  <w:num w:numId="13">
    <w:abstractNumId w:val="18"/>
  </w:num>
  <w:num w:numId="14">
    <w:abstractNumId w:val="9"/>
  </w:num>
  <w:num w:numId="15">
    <w:abstractNumId w:val="26"/>
  </w:num>
  <w:num w:numId="16">
    <w:abstractNumId w:val="2"/>
  </w:num>
  <w:num w:numId="17">
    <w:abstractNumId w:val="1"/>
  </w:num>
  <w:num w:numId="18">
    <w:abstractNumId w:val="37"/>
  </w:num>
  <w:num w:numId="19">
    <w:abstractNumId w:val="13"/>
  </w:num>
  <w:num w:numId="20">
    <w:abstractNumId w:val="28"/>
  </w:num>
  <w:num w:numId="21">
    <w:abstractNumId w:val="42"/>
  </w:num>
  <w:num w:numId="22">
    <w:abstractNumId w:val="29"/>
  </w:num>
  <w:num w:numId="23">
    <w:abstractNumId w:val="36"/>
  </w:num>
  <w:num w:numId="24">
    <w:abstractNumId w:val="32"/>
  </w:num>
  <w:num w:numId="25">
    <w:abstractNumId w:val="10"/>
  </w:num>
  <w:num w:numId="26">
    <w:abstractNumId w:val="8"/>
  </w:num>
  <w:num w:numId="27">
    <w:abstractNumId w:val="12"/>
  </w:num>
  <w:num w:numId="28">
    <w:abstractNumId w:val="14"/>
  </w:num>
  <w:num w:numId="29">
    <w:abstractNumId w:val="5"/>
  </w:num>
  <w:num w:numId="30">
    <w:abstractNumId w:val="24"/>
  </w:num>
  <w:num w:numId="31">
    <w:abstractNumId w:val="0"/>
  </w:num>
  <w:num w:numId="32">
    <w:abstractNumId w:val="7"/>
  </w:num>
  <w:num w:numId="33">
    <w:abstractNumId w:val="38"/>
  </w:num>
  <w:num w:numId="34">
    <w:abstractNumId w:val="16"/>
  </w:num>
  <w:num w:numId="35">
    <w:abstractNumId w:val="34"/>
  </w:num>
  <w:num w:numId="36">
    <w:abstractNumId w:val="20"/>
  </w:num>
  <w:num w:numId="37">
    <w:abstractNumId w:val="30"/>
  </w:num>
  <w:num w:numId="38">
    <w:abstractNumId w:val="22"/>
  </w:num>
  <w:num w:numId="39">
    <w:abstractNumId w:val="40"/>
  </w:num>
  <w:num w:numId="40">
    <w:abstractNumId w:val="25"/>
  </w:num>
  <w:num w:numId="41">
    <w:abstractNumId w:val="35"/>
  </w:num>
  <w:num w:numId="42">
    <w:abstractNumId w:val="2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94065"/>
    <w:rsid w:val="0000482E"/>
    <w:rsid w:val="000062D0"/>
    <w:rsid w:val="00013A6A"/>
    <w:rsid w:val="00015262"/>
    <w:rsid w:val="0001662C"/>
    <w:rsid w:val="00022229"/>
    <w:rsid w:val="000226EE"/>
    <w:rsid w:val="000265FD"/>
    <w:rsid w:val="00027F19"/>
    <w:rsid w:val="00036E85"/>
    <w:rsid w:val="00040B8A"/>
    <w:rsid w:val="00040D0E"/>
    <w:rsid w:val="00050819"/>
    <w:rsid w:val="00050C62"/>
    <w:rsid w:val="00053E0A"/>
    <w:rsid w:val="00065EF3"/>
    <w:rsid w:val="00067513"/>
    <w:rsid w:val="00067705"/>
    <w:rsid w:val="00074B5D"/>
    <w:rsid w:val="00076452"/>
    <w:rsid w:val="0007705D"/>
    <w:rsid w:val="0009549C"/>
    <w:rsid w:val="000A05BD"/>
    <w:rsid w:val="000A0A5B"/>
    <w:rsid w:val="000A1044"/>
    <w:rsid w:val="000A40A7"/>
    <w:rsid w:val="000A5BAC"/>
    <w:rsid w:val="000B0388"/>
    <w:rsid w:val="000B07C6"/>
    <w:rsid w:val="000B2932"/>
    <w:rsid w:val="000C17CC"/>
    <w:rsid w:val="000D1D17"/>
    <w:rsid w:val="000E258F"/>
    <w:rsid w:val="000E2C76"/>
    <w:rsid w:val="000E37A4"/>
    <w:rsid w:val="000F5F4A"/>
    <w:rsid w:val="00101CCF"/>
    <w:rsid w:val="0010468A"/>
    <w:rsid w:val="00105D41"/>
    <w:rsid w:val="00121408"/>
    <w:rsid w:val="0012311A"/>
    <w:rsid w:val="00125366"/>
    <w:rsid w:val="001314C7"/>
    <w:rsid w:val="001315D6"/>
    <w:rsid w:val="00134E48"/>
    <w:rsid w:val="0013787E"/>
    <w:rsid w:val="00143F7C"/>
    <w:rsid w:val="00150543"/>
    <w:rsid w:val="0015443B"/>
    <w:rsid w:val="001649BF"/>
    <w:rsid w:val="00167343"/>
    <w:rsid w:val="00167A24"/>
    <w:rsid w:val="00171458"/>
    <w:rsid w:val="00172013"/>
    <w:rsid w:val="00173429"/>
    <w:rsid w:val="00186FB4"/>
    <w:rsid w:val="001870E2"/>
    <w:rsid w:val="00190A3F"/>
    <w:rsid w:val="00191BC1"/>
    <w:rsid w:val="0019299F"/>
    <w:rsid w:val="00192E33"/>
    <w:rsid w:val="00194557"/>
    <w:rsid w:val="00197ADD"/>
    <w:rsid w:val="00197E3C"/>
    <w:rsid w:val="001A062E"/>
    <w:rsid w:val="001A58CB"/>
    <w:rsid w:val="001B0B80"/>
    <w:rsid w:val="001B445B"/>
    <w:rsid w:val="001B7D34"/>
    <w:rsid w:val="001C7B0F"/>
    <w:rsid w:val="001D15A8"/>
    <w:rsid w:val="001D1875"/>
    <w:rsid w:val="001D24DF"/>
    <w:rsid w:val="001D27B8"/>
    <w:rsid w:val="001D2F8F"/>
    <w:rsid w:val="001D3B55"/>
    <w:rsid w:val="001D4CFB"/>
    <w:rsid w:val="001D7825"/>
    <w:rsid w:val="001F4760"/>
    <w:rsid w:val="00200E66"/>
    <w:rsid w:val="00201554"/>
    <w:rsid w:val="0020244C"/>
    <w:rsid w:val="00211DBB"/>
    <w:rsid w:val="00212B83"/>
    <w:rsid w:val="00214F8D"/>
    <w:rsid w:val="0021745A"/>
    <w:rsid w:val="0022034D"/>
    <w:rsid w:val="00220BB7"/>
    <w:rsid w:val="00221484"/>
    <w:rsid w:val="00221FEF"/>
    <w:rsid w:val="00222489"/>
    <w:rsid w:val="00223352"/>
    <w:rsid w:val="00223DF6"/>
    <w:rsid w:val="0023273C"/>
    <w:rsid w:val="0023382E"/>
    <w:rsid w:val="00240605"/>
    <w:rsid w:val="00241080"/>
    <w:rsid w:val="00242751"/>
    <w:rsid w:val="0024428C"/>
    <w:rsid w:val="0025121A"/>
    <w:rsid w:val="0025759B"/>
    <w:rsid w:val="00262D27"/>
    <w:rsid w:val="0026572B"/>
    <w:rsid w:val="0027576A"/>
    <w:rsid w:val="00275AC1"/>
    <w:rsid w:val="00275DA0"/>
    <w:rsid w:val="00283759"/>
    <w:rsid w:val="0028442B"/>
    <w:rsid w:val="00284E89"/>
    <w:rsid w:val="002860E5"/>
    <w:rsid w:val="002866F7"/>
    <w:rsid w:val="002903A5"/>
    <w:rsid w:val="00293F72"/>
    <w:rsid w:val="00294F6F"/>
    <w:rsid w:val="0029564F"/>
    <w:rsid w:val="002972FA"/>
    <w:rsid w:val="002A03E6"/>
    <w:rsid w:val="002A7C9D"/>
    <w:rsid w:val="002B3A90"/>
    <w:rsid w:val="002C36C2"/>
    <w:rsid w:val="002C6BFC"/>
    <w:rsid w:val="002D0CCE"/>
    <w:rsid w:val="002D2EA4"/>
    <w:rsid w:val="002D5EAA"/>
    <w:rsid w:val="002E0B7A"/>
    <w:rsid w:val="002E36CE"/>
    <w:rsid w:val="002E487B"/>
    <w:rsid w:val="002F06A9"/>
    <w:rsid w:val="002F4DA5"/>
    <w:rsid w:val="00300765"/>
    <w:rsid w:val="00301379"/>
    <w:rsid w:val="003028E9"/>
    <w:rsid w:val="00303060"/>
    <w:rsid w:val="0030408D"/>
    <w:rsid w:val="00312E65"/>
    <w:rsid w:val="00315235"/>
    <w:rsid w:val="0032471D"/>
    <w:rsid w:val="00324C8D"/>
    <w:rsid w:val="00337C65"/>
    <w:rsid w:val="00337F7D"/>
    <w:rsid w:val="00345E61"/>
    <w:rsid w:val="00351F29"/>
    <w:rsid w:val="00354EEC"/>
    <w:rsid w:val="003613A0"/>
    <w:rsid w:val="00365E6A"/>
    <w:rsid w:val="00374C29"/>
    <w:rsid w:val="003850A1"/>
    <w:rsid w:val="00386645"/>
    <w:rsid w:val="003918D5"/>
    <w:rsid w:val="00394021"/>
    <w:rsid w:val="0039754F"/>
    <w:rsid w:val="003B6094"/>
    <w:rsid w:val="003B6472"/>
    <w:rsid w:val="003B6EA2"/>
    <w:rsid w:val="003C0871"/>
    <w:rsid w:val="003C3E01"/>
    <w:rsid w:val="003D2B00"/>
    <w:rsid w:val="003D2D06"/>
    <w:rsid w:val="003D31A7"/>
    <w:rsid w:val="003E07D6"/>
    <w:rsid w:val="003E131D"/>
    <w:rsid w:val="003E2C7C"/>
    <w:rsid w:val="003E2DB2"/>
    <w:rsid w:val="003E5B5E"/>
    <w:rsid w:val="003E680B"/>
    <w:rsid w:val="003F20E5"/>
    <w:rsid w:val="003F29D3"/>
    <w:rsid w:val="004052BB"/>
    <w:rsid w:val="004144D0"/>
    <w:rsid w:val="00421AFC"/>
    <w:rsid w:val="004237B5"/>
    <w:rsid w:val="0042612B"/>
    <w:rsid w:val="00445EB6"/>
    <w:rsid w:val="0045056F"/>
    <w:rsid w:val="004516FB"/>
    <w:rsid w:val="00452866"/>
    <w:rsid w:val="004528E4"/>
    <w:rsid w:val="0047182A"/>
    <w:rsid w:val="00471D78"/>
    <w:rsid w:val="00487490"/>
    <w:rsid w:val="004906ED"/>
    <w:rsid w:val="00492BC5"/>
    <w:rsid w:val="00494065"/>
    <w:rsid w:val="00496060"/>
    <w:rsid w:val="004A7C1B"/>
    <w:rsid w:val="004B00CE"/>
    <w:rsid w:val="004B05A8"/>
    <w:rsid w:val="004B37B7"/>
    <w:rsid w:val="004B463F"/>
    <w:rsid w:val="004B6819"/>
    <w:rsid w:val="004C152F"/>
    <w:rsid w:val="004C229C"/>
    <w:rsid w:val="004C26B9"/>
    <w:rsid w:val="004C56E3"/>
    <w:rsid w:val="004E2260"/>
    <w:rsid w:val="004E24E0"/>
    <w:rsid w:val="00507DFA"/>
    <w:rsid w:val="00511032"/>
    <w:rsid w:val="00517DA4"/>
    <w:rsid w:val="00521BE6"/>
    <w:rsid w:val="00532561"/>
    <w:rsid w:val="00532A6A"/>
    <w:rsid w:val="005352AD"/>
    <w:rsid w:val="00535374"/>
    <w:rsid w:val="00536952"/>
    <w:rsid w:val="00544A60"/>
    <w:rsid w:val="00545A9F"/>
    <w:rsid w:val="00545CFA"/>
    <w:rsid w:val="005538F2"/>
    <w:rsid w:val="00560DA8"/>
    <w:rsid w:val="00564A86"/>
    <w:rsid w:val="00573093"/>
    <w:rsid w:val="0058340B"/>
    <w:rsid w:val="00585EC6"/>
    <w:rsid w:val="00590A37"/>
    <w:rsid w:val="00591CF2"/>
    <w:rsid w:val="005A4B49"/>
    <w:rsid w:val="005A4CEA"/>
    <w:rsid w:val="005A7F30"/>
    <w:rsid w:val="005B1E50"/>
    <w:rsid w:val="005B5DB5"/>
    <w:rsid w:val="005B6FDE"/>
    <w:rsid w:val="005C42AF"/>
    <w:rsid w:val="005C6FD7"/>
    <w:rsid w:val="005D3ECF"/>
    <w:rsid w:val="005E356B"/>
    <w:rsid w:val="005E40FD"/>
    <w:rsid w:val="005F17E9"/>
    <w:rsid w:val="005F1C15"/>
    <w:rsid w:val="005F52B3"/>
    <w:rsid w:val="005F599C"/>
    <w:rsid w:val="00601695"/>
    <w:rsid w:val="0060367F"/>
    <w:rsid w:val="00604676"/>
    <w:rsid w:val="00604928"/>
    <w:rsid w:val="00616629"/>
    <w:rsid w:val="00622BE5"/>
    <w:rsid w:val="0062377A"/>
    <w:rsid w:val="00626248"/>
    <w:rsid w:val="00626E54"/>
    <w:rsid w:val="00627766"/>
    <w:rsid w:val="00630C8C"/>
    <w:rsid w:val="006311A4"/>
    <w:rsid w:val="00631F54"/>
    <w:rsid w:val="0063421B"/>
    <w:rsid w:val="006366AB"/>
    <w:rsid w:val="00636B79"/>
    <w:rsid w:val="00650F39"/>
    <w:rsid w:val="0066659B"/>
    <w:rsid w:val="006669AD"/>
    <w:rsid w:val="00670D46"/>
    <w:rsid w:val="00682258"/>
    <w:rsid w:val="006960B2"/>
    <w:rsid w:val="00696659"/>
    <w:rsid w:val="006A064C"/>
    <w:rsid w:val="006A2043"/>
    <w:rsid w:val="006A493B"/>
    <w:rsid w:val="006B2E3B"/>
    <w:rsid w:val="006B4EB5"/>
    <w:rsid w:val="006B77D7"/>
    <w:rsid w:val="006C1674"/>
    <w:rsid w:val="006C39A3"/>
    <w:rsid w:val="006C3BBB"/>
    <w:rsid w:val="006D2097"/>
    <w:rsid w:val="006D4567"/>
    <w:rsid w:val="006D6C00"/>
    <w:rsid w:val="006E5551"/>
    <w:rsid w:val="006E6CB0"/>
    <w:rsid w:val="006F532A"/>
    <w:rsid w:val="007002CC"/>
    <w:rsid w:val="007002D2"/>
    <w:rsid w:val="00701F70"/>
    <w:rsid w:val="007054A7"/>
    <w:rsid w:val="00707B2B"/>
    <w:rsid w:val="00711A4A"/>
    <w:rsid w:val="00711D51"/>
    <w:rsid w:val="00712155"/>
    <w:rsid w:val="007133ED"/>
    <w:rsid w:val="00714F5D"/>
    <w:rsid w:val="00717CFC"/>
    <w:rsid w:val="00722BB9"/>
    <w:rsid w:val="00727D06"/>
    <w:rsid w:val="0073059D"/>
    <w:rsid w:val="00740CF6"/>
    <w:rsid w:val="0074169E"/>
    <w:rsid w:val="00742760"/>
    <w:rsid w:val="00744097"/>
    <w:rsid w:val="007452F0"/>
    <w:rsid w:val="00745884"/>
    <w:rsid w:val="00753C52"/>
    <w:rsid w:val="007549FD"/>
    <w:rsid w:val="00755596"/>
    <w:rsid w:val="007572CF"/>
    <w:rsid w:val="00761F32"/>
    <w:rsid w:val="00763F76"/>
    <w:rsid w:val="0077449F"/>
    <w:rsid w:val="00782001"/>
    <w:rsid w:val="007845F9"/>
    <w:rsid w:val="00785BEC"/>
    <w:rsid w:val="00795968"/>
    <w:rsid w:val="007965A8"/>
    <w:rsid w:val="007A147E"/>
    <w:rsid w:val="007A3BE0"/>
    <w:rsid w:val="007B0076"/>
    <w:rsid w:val="007B2E94"/>
    <w:rsid w:val="007C1649"/>
    <w:rsid w:val="007D44D7"/>
    <w:rsid w:val="007D5532"/>
    <w:rsid w:val="007D5E7B"/>
    <w:rsid w:val="007E1333"/>
    <w:rsid w:val="007E3D4D"/>
    <w:rsid w:val="007E5A13"/>
    <w:rsid w:val="007F005E"/>
    <w:rsid w:val="007F0F70"/>
    <w:rsid w:val="0080458A"/>
    <w:rsid w:val="008077E4"/>
    <w:rsid w:val="00807CE9"/>
    <w:rsid w:val="00810367"/>
    <w:rsid w:val="008115C6"/>
    <w:rsid w:val="00812844"/>
    <w:rsid w:val="0081573E"/>
    <w:rsid w:val="008218E1"/>
    <w:rsid w:val="00821C44"/>
    <w:rsid w:val="00823EEF"/>
    <w:rsid w:val="008276B2"/>
    <w:rsid w:val="00832DAB"/>
    <w:rsid w:val="00833B7F"/>
    <w:rsid w:val="008344E2"/>
    <w:rsid w:val="00841C09"/>
    <w:rsid w:val="00842818"/>
    <w:rsid w:val="00842A9C"/>
    <w:rsid w:val="00843210"/>
    <w:rsid w:val="0084717C"/>
    <w:rsid w:val="00847180"/>
    <w:rsid w:val="00851584"/>
    <w:rsid w:val="008518AE"/>
    <w:rsid w:val="008550BA"/>
    <w:rsid w:val="008574DE"/>
    <w:rsid w:val="0086108F"/>
    <w:rsid w:val="00864C40"/>
    <w:rsid w:val="0087252D"/>
    <w:rsid w:val="008734D7"/>
    <w:rsid w:val="008758E3"/>
    <w:rsid w:val="00875C93"/>
    <w:rsid w:val="00876392"/>
    <w:rsid w:val="008844AF"/>
    <w:rsid w:val="008972E0"/>
    <w:rsid w:val="008A25F8"/>
    <w:rsid w:val="008A2B50"/>
    <w:rsid w:val="008A647D"/>
    <w:rsid w:val="008B3DB2"/>
    <w:rsid w:val="008B46DA"/>
    <w:rsid w:val="008B4C98"/>
    <w:rsid w:val="008C0214"/>
    <w:rsid w:val="008C28D3"/>
    <w:rsid w:val="008C5D97"/>
    <w:rsid w:val="008C6F4A"/>
    <w:rsid w:val="008C720D"/>
    <w:rsid w:val="008C7B43"/>
    <w:rsid w:val="008D04CF"/>
    <w:rsid w:val="008D3C11"/>
    <w:rsid w:val="008D7445"/>
    <w:rsid w:val="008F2E2A"/>
    <w:rsid w:val="008F331A"/>
    <w:rsid w:val="008F59AA"/>
    <w:rsid w:val="0090006A"/>
    <w:rsid w:val="00900CE1"/>
    <w:rsid w:val="009018B7"/>
    <w:rsid w:val="00906A2D"/>
    <w:rsid w:val="009072CA"/>
    <w:rsid w:val="009149EB"/>
    <w:rsid w:val="009164FB"/>
    <w:rsid w:val="009201EF"/>
    <w:rsid w:val="0092684E"/>
    <w:rsid w:val="0092688A"/>
    <w:rsid w:val="0093221D"/>
    <w:rsid w:val="009340A0"/>
    <w:rsid w:val="00934AF3"/>
    <w:rsid w:val="00935A3C"/>
    <w:rsid w:val="00937538"/>
    <w:rsid w:val="009432C2"/>
    <w:rsid w:val="00962B08"/>
    <w:rsid w:val="0096622E"/>
    <w:rsid w:val="009717A0"/>
    <w:rsid w:val="00974E74"/>
    <w:rsid w:val="00975805"/>
    <w:rsid w:val="00977018"/>
    <w:rsid w:val="00980A9A"/>
    <w:rsid w:val="0098434F"/>
    <w:rsid w:val="00985612"/>
    <w:rsid w:val="009A22FB"/>
    <w:rsid w:val="009A2E4A"/>
    <w:rsid w:val="009B5F1E"/>
    <w:rsid w:val="009C0EAF"/>
    <w:rsid w:val="009C66BF"/>
    <w:rsid w:val="009C7587"/>
    <w:rsid w:val="009D2391"/>
    <w:rsid w:val="009D5607"/>
    <w:rsid w:val="009D5951"/>
    <w:rsid w:val="009E35C9"/>
    <w:rsid w:val="009E6925"/>
    <w:rsid w:val="009E6D3E"/>
    <w:rsid w:val="009E7FDC"/>
    <w:rsid w:val="009F1FDD"/>
    <w:rsid w:val="009F292E"/>
    <w:rsid w:val="00A13D6F"/>
    <w:rsid w:val="00A13E13"/>
    <w:rsid w:val="00A14790"/>
    <w:rsid w:val="00A1578C"/>
    <w:rsid w:val="00A20F88"/>
    <w:rsid w:val="00A220A2"/>
    <w:rsid w:val="00A2549D"/>
    <w:rsid w:val="00A337C4"/>
    <w:rsid w:val="00A40B45"/>
    <w:rsid w:val="00A44D96"/>
    <w:rsid w:val="00A6216A"/>
    <w:rsid w:val="00A65C24"/>
    <w:rsid w:val="00A72984"/>
    <w:rsid w:val="00A81FC9"/>
    <w:rsid w:val="00A82000"/>
    <w:rsid w:val="00A85632"/>
    <w:rsid w:val="00A95B9F"/>
    <w:rsid w:val="00AA09D6"/>
    <w:rsid w:val="00AA57B1"/>
    <w:rsid w:val="00AB2B84"/>
    <w:rsid w:val="00AC3E8D"/>
    <w:rsid w:val="00AD0D9D"/>
    <w:rsid w:val="00AD3A81"/>
    <w:rsid w:val="00AF0EEA"/>
    <w:rsid w:val="00B038A3"/>
    <w:rsid w:val="00B03A57"/>
    <w:rsid w:val="00B03EDB"/>
    <w:rsid w:val="00B04B22"/>
    <w:rsid w:val="00B05ADD"/>
    <w:rsid w:val="00B11FF0"/>
    <w:rsid w:val="00B1588F"/>
    <w:rsid w:val="00B25689"/>
    <w:rsid w:val="00B26B69"/>
    <w:rsid w:val="00B3659E"/>
    <w:rsid w:val="00B365C6"/>
    <w:rsid w:val="00B44BC5"/>
    <w:rsid w:val="00B505AE"/>
    <w:rsid w:val="00B6072F"/>
    <w:rsid w:val="00B63E92"/>
    <w:rsid w:val="00B72804"/>
    <w:rsid w:val="00B73D12"/>
    <w:rsid w:val="00B80362"/>
    <w:rsid w:val="00B931A4"/>
    <w:rsid w:val="00BA21E0"/>
    <w:rsid w:val="00BA402F"/>
    <w:rsid w:val="00BB1848"/>
    <w:rsid w:val="00BB3966"/>
    <w:rsid w:val="00BB5736"/>
    <w:rsid w:val="00BD1833"/>
    <w:rsid w:val="00BD2614"/>
    <w:rsid w:val="00BD4C11"/>
    <w:rsid w:val="00BE01C5"/>
    <w:rsid w:val="00BF7AF6"/>
    <w:rsid w:val="00C01888"/>
    <w:rsid w:val="00C049B2"/>
    <w:rsid w:val="00C072F7"/>
    <w:rsid w:val="00C1166F"/>
    <w:rsid w:val="00C23A97"/>
    <w:rsid w:val="00C33141"/>
    <w:rsid w:val="00C454BF"/>
    <w:rsid w:val="00C46ED1"/>
    <w:rsid w:val="00C52A57"/>
    <w:rsid w:val="00C56C10"/>
    <w:rsid w:val="00C6154E"/>
    <w:rsid w:val="00C72743"/>
    <w:rsid w:val="00C76B9B"/>
    <w:rsid w:val="00C82FED"/>
    <w:rsid w:val="00C95B22"/>
    <w:rsid w:val="00C97446"/>
    <w:rsid w:val="00CA0102"/>
    <w:rsid w:val="00CB0755"/>
    <w:rsid w:val="00CB2813"/>
    <w:rsid w:val="00CB30F9"/>
    <w:rsid w:val="00CB4C36"/>
    <w:rsid w:val="00CC178F"/>
    <w:rsid w:val="00CC17BD"/>
    <w:rsid w:val="00CC2DA6"/>
    <w:rsid w:val="00CC7696"/>
    <w:rsid w:val="00CD064C"/>
    <w:rsid w:val="00CD2D56"/>
    <w:rsid w:val="00CD488C"/>
    <w:rsid w:val="00CE00B9"/>
    <w:rsid w:val="00CE030D"/>
    <w:rsid w:val="00CE06FD"/>
    <w:rsid w:val="00CE2A70"/>
    <w:rsid w:val="00CE46D0"/>
    <w:rsid w:val="00D053F7"/>
    <w:rsid w:val="00D15B55"/>
    <w:rsid w:val="00D17F63"/>
    <w:rsid w:val="00D21C38"/>
    <w:rsid w:val="00D24E56"/>
    <w:rsid w:val="00D42AC8"/>
    <w:rsid w:val="00D460AA"/>
    <w:rsid w:val="00D55C4E"/>
    <w:rsid w:val="00D56553"/>
    <w:rsid w:val="00D6157D"/>
    <w:rsid w:val="00D75A3D"/>
    <w:rsid w:val="00D97C3F"/>
    <w:rsid w:val="00DA03D2"/>
    <w:rsid w:val="00DA1D92"/>
    <w:rsid w:val="00DA4DCD"/>
    <w:rsid w:val="00DB0A7C"/>
    <w:rsid w:val="00DB0EF1"/>
    <w:rsid w:val="00DB113D"/>
    <w:rsid w:val="00DB4597"/>
    <w:rsid w:val="00DB553A"/>
    <w:rsid w:val="00DB5829"/>
    <w:rsid w:val="00DB71E9"/>
    <w:rsid w:val="00DC478A"/>
    <w:rsid w:val="00DC68A4"/>
    <w:rsid w:val="00DD0B9A"/>
    <w:rsid w:val="00DD2A06"/>
    <w:rsid w:val="00DE097E"/>
    <w:rsid w:val="00DE506C"/>
    <w:rsid w:val="00DE64D3"/>
    <w:rsid w:val="00DF3E9B"/>
    <w:rsid w:val="00DF4FD2"/>
    <w:rsid w:val="00E02EDF"/>
    <w:rsid w:val="00E03151"/>
    <w:rsid w:val="00E037DC"/>
    <w:rsid w:val="00E05554"/>
    <w:rsid w:val="00E059EE"/>
    <w:rsid w:val="00E05C33"/>
    <w:rsid w:val="00E112B4"/>
    <w:rsid w:val="00E12E7B"/>
    <w:rsid w:val="00E1521A"/>
    <w:rsid w:val="00E21980"/>
    <w:rsid w:val="00E2368B"/>
    <w:rsid w:val="00E24E28"/>
    <w:rsid w:val="00E301F8"/>
    <w:rsid w:val="00E3456E"/>
    <w:rsid w:val="00E345C8"/>
    <w:rsid w:val="00E35F94"/>
    <w:rsid w:val="00E37AEB"/>
    <w:rsid w:val="00E51E81"/>
    <w:rsid w:val="00E547A7"/>
    <w:rsid w:val="00E577A2"/>
    <w:rsid w:val="00E6598A"/>
    <w:rsid w:val="00E725CE"/>
    <w:rsid w:val="00E73B8C"/>
    <w:rsid w:val="00E77607"/>
    <w:rsid w:val="00E80293"/>
    <w:rsid w:val="00E85EE5"/>
    <w:rsid w:val="00E87840"/>
    <w:rsid w:val="00E92540"/>
    <w:rsid w:val="00E92C5E"/>
    <w:rsid w:val="00E93D99"/>
    <w:rsid w:val="00E944F8"/>
    <w:rsid w:val="00E94818"/>
    <w:rsid w:val="00E94CBD"/>
    <w:rsid w:val="00EC0844"/>
    <w:rsid w:val="00EC23AD"/>
    <w:rsid w:val="00ED09FE"/>
    <w:rsid w:val="00ED46B2"/>
    <w:rsid w:val="00EF03BB"/>
    <w:rsid w:val="00EF4CEC"/>
    <w:rsid w:val="00EF5D3D"/>
    <w:rsid w:val="00F072EF"/>
    <w:rsid w:val="00F165BB"/>
    <w:rsid w:val="00F20BF5"/>
    <w:rsid w:val="00F37108"/>
    <w:rsid w:val="00F56C56"/>
    <w:rsid w:val="00F57438"/>
    <w:rsid w:val="00F57DA3"/>
    <w:rsid w:val="00F6151F"/>
    <w:rsid w:val="00F61733"/>
    <w:rsid w:val="00F61BF2"/>
    <w:rsid w:val="00F71CAE"/>
    <w:rsid w:val="00F7373C"/>
    <w:rsid w:val="00F746EB"/>
    <w:rsid w:val="00F82068"/>
    <w:rsid w:val="00F914FF"/>
    <w:rsid w:val="00F929BA"/>
    <w:rsid w:val="00FA22A6"/>
    <w:rsid w:val="00FA3DE8"/>
    <w:rsid w:val="00FA54D6"/>
    <w:rsid w:val="00FB5B1B"/>
    <w:rsid w:val="00FC1993"/>
    <w:rsid w:val="00FC3B64"/>
    <w:rsid w:val="00FD2E5B"/>
    <w:rsid w:val="00FD7600"/>
    <w:rsid w:val="00FF2012"/>
    <w:rsid w:val="00FF5223"/>
    <w:rsid w:val="00FF5CE7"/>
    <w:rsid w:val="1360CE00"/>
    <w:rsid w:val="4B26DE50"/>
    <w:rsid w:val="71A9F0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AE351A"/>
  <w15:chartTrackingRefBased/>
  <w15:docId w15:val="{426ACCCA-6753-4D75-B19E-63EE3287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65"/>
    <w:pPr>
      <w:spacing w:after="120"/>
    </w:pPr>
    <w:rPr>
      <w:rFonts w:eastAsiaTheme="minorEastAsia"/>
    </w:rPr>
  </w:style>
  <w:style w:type="paragraph" w:styleId="Heading1">
    <w:name w:val="heading 1"/>
    <w:basedOn w:val="Normal"/>
    <w:next w:val="Normal"/>
    <w:link w:val="Heading1Char"/>
    <w:uiPriority w:val="9"/>
    <w:qFormat/>
    <w:rsid w:val="00494065"/>
    <w:pPr>
      <w:keepNext/>
      <w:keepLines/>
      <w:spacing w:after="160"/>
      <w:outlineLvl w:val="0"/>
    </w:pPr>
    <w:rPr>
      <w:rFonts w:ascii="Cambria" w:eastAsiaTheme="majorEastAsia" w:hAnsi="Cambria" w:cstheme="majorBidi"/>
      <w:b/>
      <w:color w:val="244061"/>
      <w:sz w:val="32"/>
      <w:szCs w:val="32"/>
    </w:rPr>
  </w:style>
  <w:style w:type="paragraph" w:styleId="Heading2">
    <w:name w:val="heading 2"/>
    <w:basedOn w:val="Heading1"/>
    <w:next w:val="Normal"/>
    <w:link w:val="Heading2Char"/>
    <w:autoRedefine/>
    <w:uiPriority w:val="9"/>
    <w:unhideWhenUsed/>
    <w:qFormat/>
    <w:rsid w:val="00494065"/>
    <w:pPr>
      <w:spacing w:before="120"/>
      <w:outlineLvl w:val="1"/>
    </w:pPr>
    <w:rPr>
      <w:sz w:val="30"/>
      <w:szCs w:val="26"/>
    </w:rPr>
  </w:style>
  <w:style w:type="paragraph" w:styleId="Heading3">
    <w:name w:val="heading 3"/>
    <w:basedOn w:val="Heading2"/>
    <w:next w:val="Normal"/>
    <w:link w:val="Heading3Char"/>
    <w:autoRedefine/>
    <w:uiPriority w:val="9"/>
    <w:unhideWhenUsed/>
    <w:qFormat/>
    <w:rsid w:val="00494065"/>
    <w:pPr>
      <w:outlineLvl w:val="2"/>
    </w:pPr>
    <w:rPr>
      <w:sz w:val="26"/>
      <w:szCs w:val="24"/>
    </w:rPr>
  </w:style>
  <w:style w:type="paragraph" w:styleId="Heading4">
    <w:name w:val="heading 4"/>
    <w:basedOn w:val="Heading3"/>
    <w:next w:val="Normal"/>
    <w:link w:val="Heading4Char"/>
    <w:uiPriority w:val="9"/>
    <w:unhideWhenUsed/>
    <w:rsid w:val="00494065"/>
    <w:pPr>
      <w:spacing w:before="40" w:after="0"/>
      <w:outlineLvl w:val="3"/>
    </w:pPr>
    <w:rPr>
      <w:b w:val="0"/>
      <w:i/>
      <w:iCs/>
    </w:rPr>
  </w:style>
  <w:style w:type="paragraph" w:styleId="Heading5">
    <w:name w:val="heading 5"/>
    <w:basedOn w:val="Heading4"/>
    <w:next w:val="Normal"/>
    <w:link w:val="Heading5Char"/>
    <w:uiPriority w:val="9"/>
    <w:unhideWhenUsed/>
    <w:rsid w:val="00494065"/>
    <w:pP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494065"/>
    <w:rPr>
      <w:rFonts w:ascii="Cambria" w:eastAsiaTheme="majorEastAsia" w:hAnsi="Cambria" w:cstheme="majorBidi"/>
      <w:b/>
      <w:color w:val="244061"/>
      <w:sz w:val="32"/>
      <w:szCs w:val="32"/>
    </w:rPr>
  </w:style>
  <w:style w:type="character" w:customStyle="1" w:styleId="Heading2Char">
    <w:name w:val="Heading 2 Char"/>
    <w:basedOn w:val="DefaultParagraphFont"/>
    <w:link w:val="Heading2"/>
    <w:uiPriority w:val="9"/>
    <w:rsid w:val="00494065"/>
    <w:rPr>
      <w:rFonts w:ascii="Cambria" w:eastAsiaTheme="majorEastAsia" w:hAnsi="Cambria" w:cstheme="majorBidi"/>
      <w:b/>
      <w:color w:val="244061"/>
      <w:sz w:val="30"/>
      <w:szCs w:val="26"/>
    </w:rPr>
  </w:style>
  <w:style w:type="character" w:customStyle="1" w:styleId="Heading3Char">
    <w:name w:val="Heading 3 Char"/>
    <w:basedOn w:val="DefaultParagraphFont"/>
    <w:link w:val="Heading3"/>
    <w:uiPriority w:val="9"/>
    <w:rsid w:val="00494065"/>
    <w:rPr>
      <w:rFonts w:ascii="Cambria" w:eastAsiaTheme="majorEastAsia" w:hAnsi="Cambria" w:cstheme="majorBidi"/>
      <w:b/>
      <w:color w:val="244061"/>
      <w:sz w:val="26"/>
      <w:szCs w:val="24"/>
    </w:rPr>
  </w:style>
  <w:style w:type="character" w:customStyle="1" w:styleId="Heading4Char">
    <w:name w:val="Heading 4 Char"/>
    <w:basedOn w:val="DefaultParagraphFont"/>
    <w:link w:val="Heading4"/>
    <w:uiPriority w:val="9"/>
    <w:rsid w:val="00494065"/>
    <w:rPr>
      <w:rFonts w:ascii="Cambria" w:eastAsiaTheme="majorEastAsia" w:hAnsi="Cambria" w:cstheme="majorBidi"/>
      <w:i/>
      <w:iCs/>
      <w:color w:val="244061"/>
      <w:sz w:val="26"/>
      <w:szCs w:val="24"/>
    </w:rPr>
  </w:style>
  <w:style w:type="character" w:customStyle="1" w:styleId="Heading5Char">
    <w:name w:val="Heading 5 Char"/>
    <w:basedOn w:val="DefaultParagraphFont"/>
    <w:link w:val="Heading5"/>
    <w:uiPriority w:val="9"/>
    <w:rsid w:val="00494065"/>
    <w:rPr>
      <w:rFonts w:ascii="Cambria" w:eastAsiaTheme="majorEastAsia" w:hAnsi="Cambria" w:cstheme="majorBidi"/>
      <w:i/>
      <w:iCs/>
      <w:color w:val="244061"/>
      <w:sz w:val="24"/>
      <w:szCs w:val="24"/>
    </w:rPr>
  </w:style>
  <w:style w:type="paragraph" w:customStyle="1" w:styleId="H1NoBK">
    <w:name w:val="H1 NoBK"/>
    <w:basedOn w:val="Heading1"/>
    <w:next w:val="Normal"/>
    <w:link w:val="H1NoBKChar"/>
    <w:qFormat/>
    <w:rsid w:val="00337C65"/>
    <w:pPr>
      <w:spacing w:before="360" w:after="120"/>
      <w:outlineLvl w:val="9"/>
    </w:pPr>
  </w:style>
  <w:style w:type="paragraph" w:customStyle="1" w:styleId="H2NoBK">
    <w:name w:val="H2 NoBK"/>
    <w:basedOn w:val="Heading2"/>
    <w:next w:val="Normal"/>
    <w:link w:val="H2NoBKChar"/>
    <w:qFormat/>
    <w:rsid w:val="00337C65"/>
    <w:pPr>
      <w:spacing w:before="240" w:after="120"/>
      <w:outlineLvl w:val="9"/>
    </w:pPr>
    <w:rPr>
      <w:szCs w:val="24"/>
    </w:rPr>
  </w:style>
  <w:style w:type="character" w:customStyle="1" w:styleId="H1NoBKChar">
    <w:name w:val="H1 NoBK Char"/>
    <w:basedOn w:val="DefaultParagraphFont"/>
    <w:link w:val="H1NoBK"/>
    <w:rsid w:val="00494065"/>
    <w:rPr>
      <w:rFonts w:ascii="Cambria" w:eastAsiaTheme="majorEastAsia" w:hAnsi="Cambria" w:cstheme="majorBidi"/>
      <w:b/>
      <w:color w:val="244061"/>
      <w:sz w:val="32"/>
      <w:szCs w:val="32"/>
    </w:rPr>
  </w:style>
  <w:style w:type="paragraph" w:styleId="BodyText">
    <w:name w:val="Body Text"/>
    <w:basedOn w:val="Normal"/>
    <w:link w:val="BodyTextChar"/>
    <w:uiPriority w:val="99"/>
    <w:semiHidden/>
    <w:unhideWhenUsed/>
    <w:rsid w:val="00494065"/>
  </w:style>
  <w:style w:type="character" w:customStyle="1" w:styleId="BodyTextChar">
    <w:name w:val="Body Text Char"/>
    <w:basedOn w:val="DefaultParagraphFont"/>
    <w:link w:val="BodyText"/>
    <w:uiPriority w:val="99"/>
    <w:semiHidden/>
    <w:rsid w:val="00494065"/>
    <w:rPr>
      <w:rFonts w:eastAsiaTheme="minorEastAsia"/>
    </w:rPr>
  </w:style>
  <w:style w:type="paragraph" w:customStyle="1" w:styleId="H3NoBK">
    <w:name w:val="H3 NoBK"/>
    <w:basedOn w:val="Heading3"/>
    <w:next w:val="Normal"/>
    <w:link w:val="H3NoBKChar"/>
    <w:qFormat/>
    <w:rsid w:val="00337C65"/>
    <w:pPr>
      <w:spacing w:after="120"/>
      <w:outlineLvl w:val="9"/>
    </w:pPr>
  </w:style>
  <w:style w:type="character" w:customStyle="1" w:styleId="H2NoBKChar">
    <w:name w:val="H2 NoBK Char"/>
    <w:basedOn w:val="DefaultParagraphFont"/>
    <w:link w:val="H2NoBK"/>
    <w:rsid w:val="00494065"/>
    <w:rPr>
      <w:rFonts w:ascii="Cambria" w:eastAsiaTheme="majorEastAsia" w:hAnsi="Cambria" w:cstheme="majorBidi"/>
      <w:b/>
      <w:color w:val="244061"/>
      <w:sz w:val="30"/>
      <w:szCs w:val="24"/>
    </w:rPr>
  </w:style>
  <w:style w:type="paragraph" w:customStyle="1" w:styleId="H4NoBK">
    <w:name w:val="H4 NoBK"/>
    <w:basedOn w:val="Heading4"/>
    <w:next w:val="Normal"/>
    <w:link w:val="H4NoBKChar"/>
    <w:qFormat/>
    <w:rsid w:val="00494065"/>
    <w:pPr>
      <w:spacing w:before="120" w:after="60"/>
      <w:outlineLvl w:val="9"/>
    </w:pPr>
  </w:style>
  <w:style w:type="character" w:customStyle="1" w:styleId="H3NoBKChar">
    <w:name w:val="H3 NoBK Char"/>
    <w:basedOn w:val="DefaultParagraphFont"/>
    <w:link w:val="H3NoBK"/>
    <w:rsid w:val="00494065"/>
    <w:rPr>
      <w:rFonts w:ascii="Cambria" w:eastAsiaTheme="majorEastAsia" w:hAnsi="Cambria" w:cstheme="majorBidi"/>
      <w:b/>
      <w:color w:val="244061"/>
      <w:sz w:val="26"/>
      <w:szCs w:val="24"/>
    </w:rPr>
  </w:style>
  <w:style w:type="paragraph" w:customStyle="1" w:styleId="H5NoBK">
    <w:name w:val="H5 NoBK"/>
    <w:basedOn w:val="Heading5"/>
    <w:next w:val="Normal"/>
    <w:link w:val="H5NoBKChar"/>
    <w:qFormat/>
    <w:rsid w:val="00494065"/>
    <w:pPr>
      <w:spacing w:before="120" w:after="60"/>
      <w:outlineLvl w:val="9"/>
    </w:pPr>
  </w:style>
  <w:style w:type="character" w:customStyle="1" w:styleId="H4NoBKChar">
    <w:name w:val="H4 NoBK Char"/>
    <w:basedOn w:val="DefaultParagraphFont"/>
    <w:link w:val="H4NoBK"/>
    <w:rsid w:val="00494065"/>
    <w:rPr>
      <w:rFonts w:ascii="Cambria" w:eastAsiaTheme="majorEastAsia" w:hAnsi="Cambria" w:cstheme="majorBidi"/>
      <w:i/>
      <w:iCs/>
      <w:color w:val="244061"/>
      <w:sz w:val="26"/>
      <w:szCs w:val="24"/>
    </w:rPr>
  </w:style>
  <w:style w:type="character" w:customStyle="1" w:styleId="H5NoBKChar">
    <w:name w:val="H5 NoBK Char"/>
    <w:basedOn w:val="DefaultParagraphFont"/>
    <w:link w:val="H5NoBK"/>
    <w:rsid w:val="00494065"/>
    <w:rPr>
      <w:rFonts w:ascii="Cambria" w:eastAsiaTheme="majorEastAsia" w:hAnsi="Cambria" w:cstheme="majorBidi"/>
      <w:i/>
      <w:iCs/>
      <w:color w:val="244061"/>
      <w:sz w:val="24"/>
      <w:szCs w:val="24"/>
    </w:rPr>
  </w:style>
  <w:style w:type="paragraph" w:styleId="TOC2">
    <w:name w:val="toc 2"/>
    <w:basedOn w:val="Normal"/>
    <w:next w:val="Normal"/>
    <w:autoRedefine/>
    <w:uiPriority w:val="39"/>
    <w:unhideWhenUsed/>
    <w:rsid w:val="00494065"/>
    <w:pPr>
      <w:spacing w:after="100"/>
      <w:ind w:left="220"/>
    </w:pPr>
  </w:style>
  <w:style w:type="character" w:styleId="Hyperlink">
    <w:name w:val="Hyperlink"/>
    <w:basedOn w:val="DefaultParagraphFont"/>
    <w:uiPriority w:val="99"/>
    <w:unhideWhenUsed/>
    <w:rsid w:val="00494065"/>
    <w:rPr>
      <w:color w:val="0563C1" w:themeColor="hyperlink"/>
      <w:u w:val="single"/>
    </w:rPr>
  </w:style>
  <w:style w:type="paragraph" w:styleId="TOC1">
    <w:name w:val="toc 1"/>
    <w:basedOn w:val="Normal"/>
    <w:next w:val="Normal"/>
    <w:autoRedefine/>
    <w:uiPriority w:val="39"/>
    <w:unhideWhenUsed/>
    <w:rsid w:val="00494065"/>
    <w:pPr>
      <w:tabs>
        <w:tab w:val="right" w:leader="dot" w:pos="9350"/>
      </w:tabs>
      <w:spacing w:after="100"/>
    </w:pPr>
    <w:rPr>
      <w:szCs w:val="24"/>
    </w:rPr>
  </w:style>
  <w:style w:type="paragraph" w:customStyle="1" w:styleId="TableofContents">
    <w:name w:val="Table of Contents"/>
    <w:basedOn w:val="TOC1"/>
    <w:next w:val="Normal"/>
    <w:qFormat/>
    <w:rsid w:val="00494065"/>
    <w:pPr>
      <w:keepNext/>
      <w:spacing w:after="160"/>
    </w:pPr>
    <w:rPr>
      <w:rFonts w:ascii="Cambria" w:hAnsi="Cambria"/>
      <w:b/>
      <w:color w:val="244061"/>
      <w:sz w:val="24"/>
    </w:rPr>
  </w:style>
  <w:style w:type="paragraph" w:customStyle="1" w:styleId="HERCSubtitle-Red">
    <w:name w:val="HERC Subtitle-Red"/>
    <w:basedOn w:val="Heading1"/>
    <w:next w:val="Normal"/>
    <w:qFormat/>
    <w:rsid w:val="00494065"/>
    <w:pPr>
      <w:jc w:val="center"/>
      <w:outlineLvl w:val="9"/>
    </w:pPr>
    <w:rPr>
      <w:color w:val="FF0000"/>
      <w:sz w:val="24"/>
      <w:szCs w:val="24"/>
    </w:rPr>
  </w:style>
  <w:style w:type="paragraph" w:customStyle="1" w:styleId="CGBoxText">
    <w:name w:val="CG Box Text"/>
    <w:basedOn w:val="Normal"/>
    <w:link w:val="CGBoxTextChar"/>
    <w:uiPriority w:val="2"/>
    <w:qFormat/>
    <w:rsid w:val="00494065"/>
    <w:pPr>
      <w:spacing w:after="80" w:line="240" w:lineRule="auto"/>
    </w:pPr>
    <w:rPr>
      <w:rFonts w:ascii="Calibri" w:eastAsia="Calibri" w:hAnsi="Calibri" w:cs="Arial"/>
      <w:color w:val="244061"/>
      <w:szCs w:val="24"/>
    </w:rPr>
  </w:style>
  <w:style w:type="paragraph" w:customStyle="1" w:styleId="CGTitle">
    <w:name w:val="CG Title"/>
    <w:basedOn w:val="Heading1"/>
    <w:next w:val="Normal"/>
    <w:qFormat/>
    <w:rsid w:val="00494065"/>
    <w:pPr>
      <w:jc w:val="center"/>
      <w:outlineLvl w:val="9"/>
    </w:pPr>
  </w:style>
  <w:style w:type="character" w:customStyle="1" w:styleId="CGBoxTextChar">
    <w:name w:val="CG Box Text Char"/>
    <w:link w:val="CGBoxText"/>
    <w:uiPriority w:val="2"/>
    <w:rsid w:val="00494065"/>
    <w:rPr>
      <w:rFonts w:ascii="Calibri" w:eastAsia="Calibri" w:hAnsi="Calibri" w:cs="Arial"/>
      <w:color w:val="244061"/>
      <w:szCs w:val="24"/>
    </w:rPr>
  </w:style>
  <w:style w:type="paragraph" w:styleId="BalloonText">
    <w:name w:val="Balloon Text"/>
    <w:basedOn w:val="Normal"/>
    <w:link w:val="BalloonTextChar"/>
    <w:uiPriority w:val="99"/>
    <w:semiHidden/>
    <w:unhideWhenUsed/>
    <w:rsid w:val="004940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065"/>
    <w:rPr>
      <w:rFonts w:ascii="Segoe UI" w:eastAsiaTheme="minorEastAsia" w:hAnsi="Segoe UI" w:cs="Segoe UI"/>
      <w:sz w:val="18"/>
      <w:szCs w:val="18"/>
    </w:rPr>
  </w:style>
  <w:style w:type="paragraph" w:styleId="ListParagraph">
    <w:name w:val="List Paragraph"/>
    <w:basedOn w:val="Normal"/>
    <w:uiPriority w:val="34"/>
    <w:qFormat/>
    <w:rsid w:val="00494065"/>
    <w:pPr>
      <w:ind w:left="720"/>
      <w:contextualSpacing/>
    </w:pPr>
  </w:style>
  <w:style w:type="table" w:styleId="ListTable6Colorful-Accent2">
    <w:name w:val="List Table 6 Colorful Accent 2"/>
    <w:basedOn w:val="TableNormal"/>
    <w:uiPriority w:val="51"/>
    <w:rsid w:val="00494065"/>
    <w:pPr>
      <w:spacing w:after="0" w:line="240" w:lineRule="auto"/>
    </w:pPr>
    <w:rPr>
      <w:rFonts w:eastAsiaTheme="minorEastAsia"/>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Grid">
    <w:name w:val="Table Grid"/>
    <w:basedOn w:val="TableNormal"/>
    <w:uiPriority w:val="39"/>
    <w:rsid w:val="00494065"/>
    <w:pPr>
      <w:spacing w:after="0" w:line="240" w:lineRule="auto"/>
    </w:pPr>
    <w:rPr>
      <w:rFonts w:eastAsiaTheme="minorEastAsia"/>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F8ECEC"/>
      </w:tcPr>
    </w:tblStylePr>
  </w:style>
  <w:style w:type="character" w:styleId="CommentReference">
    <w:name w:val="annotation reference"/>
    <w:basedOn w:val="DefaultParagraphFont"/>
    <w:uiPriority w:val="99"/>
    <w:semiHidden/>
    <w:unhideWhenUsed/>
    <w:rsid w:val="00494065"/>
    <w:rPr>
      <w:sz w:val="16"/>
      <w:szCs w:val="16"/>
    </w:rPr>
  </w:style>
  <w:style w:type="paragraph" w:styleId="CommentText">
    <w:name w:val="annotation text"/>
    <w:basedOn w:val="Normal"/>
    <w:link w:val="CommentTextChar"/>
    <w:uiPriority w:val="99"/>
    <w:semiHidden/>
    <w:unhideWhenUsed/>
    <w:rsid w:val="00494065"/>
    <w:pPr>
      <w:spacing w:line="240" w:lineRule="auto"/>
    </w:pPr>
    <w:rPr>
      <w:sz w:val="20"/>
      <w:szCs w:val="20"/>
    </w:rPr>
  </w:style>
  <w:style w:type="character" w:customStyle="1" w:styleId="CommentTextChar">
    <w:name w:val="Comment Text Char"/>
    <w:basedOn w:val="DefaultParagraphFont"/>
    <w:link w:val="CommentText"/>
    <w:uiPriority w:val="99"/>
    <w:semiHidden/>
    <w:rsid w:val="0049406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94065"/>
    <w:rPr>
      <w:b/>
      <w:bCs/>
    </w:rPr>
  </w:style>
  <w:style w:type="character" w:customStyle="1" w:styleId="CommentSubjectChar">
    <w:name w:val="Comment Subject Char"/>
    <w:basedOn w:val="CommentTextChar"/>
    <w:link w:val="CommentSubject"/>
    <w:uiPriority w:val="99"/>
    <w:semiHidden/>
    <w:rsid w:val="00494065"/>
    <w:rPr>
      <w:rFonts w:eastAsiaTheme="minorEastAsia"/>
      <w:b/>
      <w:bCs/>
      <w:sz w:val="20"/>
      <w:szCs w:val="20"/>
    </w:rPr>
  </w:style>
  <w:style w:type="paragraph" w:styleId="Footer">
    <w:name w:val="footer"/>
    <w:basedOn w:val="Normal"/>
    <w:link w:val="FooterChar"/>
    <w:uiPriority w:val="99"/>
    <w:unhideWhenUsed/>
    <w:rsid w:val="00494065"/>
    <w:pPr>
      <w:spacing w:before="100" w:line="276" w:lineRule="auto"/>
    </w:pPr>
    <w:rPr>
      <w:rFonts w:ascii="Calibri" w:eastAsia="Calibri" w:hAnsi="Calibri" w:cs="Arial"/>
      <w:szCs w:val="24"/>
    </w:rPr>
  </w:style>
  <w:style w:type="character" w:customStyle="1" w:styleId="FooterChar">
    <w:name w:val="Footer Char"/>
    <w:basedOn w:val="DefaultParagraphFont"/>
    <w:link w:val="Footer"/>
    <w:uiPriority w:val="99"/>
    <w:rsid w:val="00494065"/>
    <w:rPr>
      <w:rFonts w:ascii="Calibri" w:eastAsia="Calibri" w:hAnsi="Calibri" w:cs="Arial"/>
      <w:szCs w:val="24"/>
    </w:rPr>
  </w:style>
  <w:style w:type="paragraph" w:customStyle="1" w:styleId="Tabletext">
    <w:name w:val="Table text"/>
    <w:basedOn w:val="Normal"/>
    <w:qFormat/>
    <w:rsid w:val="00494065"/>
    <w:pPr>
      <w:spacing w:before="40" w:after="40" w:line="240" w:lineRule="auto"/>
    </w:pPr>
  </w:style>
  <w:style w:type="paragraph" w:customStyle="1" w:styleId="Tablecaption">
    <w:name w:val="Table caption"/>
    <w:basedOn w:val="Normal"/>
    <w:qFormat/>
    <w:rsid w:val="00494065"/>
    <w:pPr>
      <w:keepNext/>
      <w:keepLines/>
      <w:widowControl w:val="0"/>
      <w:tabs>
        <w:tab w:val="left" w:pos="1008"/>
      </w:tabs>
      <w:spacing w:before="360" w:after="80" w:line="240" w:lineRule="auto"/>
      <w:jc w:val="center"/>
    </w:pPr>
    <w:rPr>
      <w:rFonts w:eastAsiaTheme="minorHAnsi" w:cs="Segoe UI Semibold"/>
      <w:b/>
      <w:color w:val="275C9D"/>
      <w:kern w:val="28"/>
    </w:rPr>
  </w:style>
  <w:style w:type="paragraph" w:styleId="Header">
    <w:name w:val="header"/>
    <w:basedOn w:val="Normal"/>
    <w:link w:val="HeaderChar"/>
    <w:uiPriority w:val="99"/>
    <w:unhideWhenUsed/>
    <w:rsid w:val="00494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065"/>
    <w:rPr>
      <w:rFonts w:eastAsiaTheme="minorEastAsia"/>
    </w:rPr>
  </w:style>
  <w:style w:type="paragraph" w:customStyle="1" w:styleId="CGBoxHeader">
    <w:name w:val="CG Box Header"/>
    <w:basedOn w:val="H1NoBK"/>
    <w:next w:val="CGBoxText"/>
    <w:qFormat/>
    <w:rsid w:val="00494065"/>
    <w:pPr>
      <w:spacing w:before="40" w:after="140"/>
      <w:jc w:val="center"/>
    </w:pPr>
    <w:rPr>
      <w:sz w:val="24"/>
    </w:rPr>
  </w:style>
  <w:style w:type="paragraph" w:customStyle="1" w:styleId="EndNoteBibliographyTitle">
    <w:name w:val="EndNote Bibliography Title"/>
    <w:basedOn w:val="Normal"/>
    <w:link w:val="EndNoteBibliographyTitleChar"/>
    <w:rsid w:val="00494065"/>
    <w:pPr>
      <w:framePr w:hSpace="180" w:wrap="around" w:vAnchor="text" w:hAnchor="margin" w:y="188"/>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94065"/>
    <w:rPr>
      <w:rFonts w:ascii="Calibri" w:eastAsiaTheme="minorEastAsia" w:hAnsi="Calibri" w:cs="Calibri"/>
      <w:noProof/>
    </w:rPr>
  </w:style>
  <w:style w:type="paragraph" w:customStyle="1" w:styleId="EndNoteBibliography">
    <w:name w:val="EndNote Bibliography"/>
    <w:basedOn w:val="Normal"/>
    <w:link w:val="EndNoteBibliographyChar"/>
    <w:rsid w:val="00494065"/>
    <w:pPr>
      <w:framePr w:hSpace="180" w:wrap="around" w:vAnchor="text" w:hAnchor="margin" w:y="188"/>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494065"/>
    <w:rPr>
      <w:rFonts w:ascii="Calibri" w:eastAsiaTheme="minorEastAsia" w:hAnsi="Calibri" w:cs="Calibri"/>
      <w:noProof/>
    </w:rPr>
  </w:style>
  <w:style w:type="character" w:styleId="FollowedHyperlink">
    <w:name w:val="FollowedHyperlink"/>
    <w:basedOn w:val="DefaultParagraphFont"/>
    <w:uiPriority w:val="99"/>
    <w:semiHidden/>
    <w:unhideWhenUsed/>
    <w:rsid w:val="00494065"/>
    <w:rPr>
      <w:color w:val="954F72" w:themeColor="followedHyperlink"/>
      <w:u w:val="single"/>
    </w:rPr>
  </w:style>
  <w:style w:type="character" w:customStyle="1" w:styleId="UnresolvedMention1">
    <w:name w:val="Unresolved Mention1"/>
    <w:basedOn w:val="DefaultParagraphFont"/>
    <w:uiPriority w:val="99"/>
    <w:semiHidden/>
    <w:unhideWhenUsed/>
    <w:rsid w:val="00494065"/>
    <w:rPr>
      <w:color w:val="605E5C"/>
      <w:shd w:val="clear" w:color="auto" w:fill="E1DFDD"/>
    </w:rPr>
  </w:style>
  <w:style w:type="paragraph" w:styleId="Revision">
    <w:name w:val="Revision"/>
    <w:hidden/>
    <w:uiPriority w:val="99"/>
    <w:semiHidden/>
    <w:rsid w:val="00494065"/>
    <w:pPr>
      <w:spacing w:after="0" w:line="240" w:lineRule="auto"/>
    </w:pPr>
    <w:rPr>
      <w:rFonts w:eastAsiaTheme="minorEastAsia"/>
    </w:rPr>
  </w:style>
  <w:style w:type="character" w:customStyle="1" w:styleId="UnresolvedMention10">
    <w:name w:val="Unresolved Mention10"/>
    <w:basedOn w:val="DefaultParagraphFont"/>
    <w:uiPriority w:val="99"/>
    <w:semiHidden/>
    <w:unhideWhenUsed/>
    <w:rsid w:val="00494065"/>
    <w:rPr>
      <w:color w:val="605E5C"/>
      <w:shd w:val="clear" w:color="auto" w:fill="E1DFDD"/>
    </w:rPr>
  </w:style>
  <w:style w:type="character" w:customStyle="1" w:styleId="UnresolvedMention2">
    <w:name w:val="Unresolved Mention2"/>
    <w:basedOn w:val="DefaultParagraphFont"/>
    <w:uiPriority w:val="99"/>
    <w:semiHidden/>
    <w:unhideWhenUsed/>
    <w:rsid w:val="00201554"/>
    <w:rPr>
      <w:color w:val="605E5C"/>
      <w:shd w:val="clear" w:color="auto" w:fill="E1DFDD"/>
    </w:rPr>
  </w:style>
  <w:style w:type="character" w:customStyle="1" w:styleId="UnresolvedMention100">
    <w:name w:val="Unresolved Mention100"/>
    <w:basedOn w:val="DefaultParagraphFont"/>
    <w:uiPriority w:val="99"/>
    <w:semiHidden/>
    <w:unhideWhenUsed/>
    <w:rsid w:val="00841C09"/>
    <w:rPr>
      <w:color w:val="605E5C"/>
      <w:shd w:val="clear" w:color="auto" w:fill="E1DFDD"/>
    </w:rPr>
  </w:style>
  <w:style w:type="character" w:customStyle="1" w:styleId="UnresolvedMention1000">
    <w:name w:val="Unresolved Mention1000"/>
    <w:basedOn w:val="DefaultParagraphFont"/>
    <w:uiPriority w:val="99"/>
    <w:semiHidden/>
    <w:unhideWhenUsed/>
    <w:rsid w:val="004237B5"/>
    <w:rPr>
      <w:color w:val="605E5C"/>
      <w:shd w:val="clear" w:color="auto" w:fill="E1DFDD"/>
    </w:rPr>
  </w:style>
  <w:style w:type="paragraph" w:customStyle="1" w:styleId="paragraph">
    <w:name w:val="paragraph"/>
    <w:basedOn w:val="Normal"/>
    <w:rsid w:val="00DA03D2"/>
    <w:pPr>
      <w:spacing w:before="100" w:beforeAutospacing="1" w:after="100" w:afterAutospacing="1" w:line="240" w:lineRule="auto"/>
    </w:pPr>
    <w:rPr>
      <w:rFonts w:ascii="Calibri" w:eastAsiaTheme="minorHAnsi" w:hAnsi="Calibri" w:cs="Calibri"/>
    </w:rPr>
  </w:style>
  <w:style w:type="character" w:customStyle="1" w:styleId="normaltextrun">
    <w:name w:val="normaltextrun"/>
    <w:basedOn w:val="DefaultParagraphFont"/>
    <w:rsid w:val="00DA03D2"/>
  </w:style>
  <w:style w:type="character" w:customStyle="1" w:styleId="eop">
    <w:name w:val="eop"/>
    <w:basedOn w:val="DefaultParagraphFont"/>
    <w:rsid w:val="00DA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021">
      <w:bodyDiv w:val="1"/>
      <w:marLeft w:val="0"/>
      <w:marRight w:val="0"/>
      <w:marTop w:val="0"/>
      <w:marBottom w:val="0"/>
      <w:divBdr>
        <w:top w:val="none" w:sz="0" w:space="0" w:color="auto"/>
        <w:left w:val="none" w:sz="0" w:space="0" w:color="auto"/>
        <w:bottom w:val="none" w:sz="0" w:space="0" w:color="auto"/>
        <w:right w:val="none" w:sz="0" w:space="0" w:color="auto"/>
      </w:divBdr>
    </w:div>
    <w:div w:id="15653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x.doi.org/10.1177/08830738093502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opic xmlns="d7642df7-a9d3-4b62-8293-79467a4eb5af">117</Topic>
    <IACategory xmlns="59da1016-2a1b-4f8a-9768-d7a4932f6f16" xsi:nil="true"/>
    <Category xmlns="d7642df7-a9d3-4b62-8293-79467a4eb5af">Coverage Guidance</Category>
    <UpdateWF xmlns="d7642df7-a9d3-4b62-8293-79467a4eb5af" xsi:nil="true"/>
    <DocumentExpirationDate xmlns="59da1016-2a1b-4f8a-9768-d7a4932f6f16" xsi:nil="true"/>
    <IATopic xmlns="59da1016-2a1b-4f8a-9768-d7a4932f6f16" xsi:nil="true"/>
    <Visible xmlns="d7642df7-a9d3-4b62-8293-79467a4eb5af">false</Visible>
    <PublicCommentStarts xmlns="d7642df7-a9d3-4b62-8293-79467a4eb5af" xsi:nil="true"/>
    <IASubtopic xmlns="59da1016-2a1b-4f8a-9768-d7a4932f6f16" xsi:nil="true"/>
    <URL xmlns="http://schemas.microsoft.com/sharepoint/v3">
      <Url>https://www.oregon.gov/oha/HPA/DSI-HERC/EvidenceBasedReports/High%20Frequency%20Chest%20Oscillation%20Devices2022-07-29.docx</Url>
      <Description>Coverage Guidance</Description>
    </URL>
    <Filename xmlns="d7642df7-a9d3-4b62-8293-79467a4eb5af">High Frequency Chest Oscillation Devices2022-07-29.docx</Filename>
    <Status xmlns="d7642df7-a9d3-4b62-8293-79467a4eb5af">Draft</Status>
    <PublicCommentEnds xmlns="d7642df7-a9d3-4b62-8293-79467a4eb5af" xsi:nil="true"/>
    <PostedDate xmlns="d7642df7-a9d3-4b62-8293-79467a4eb5af" xsi:nil="true"/>
    <InForceStart xmlns="d7642df7-a9d3-4b62-8293-79467a4eb5af" xsi:nil="true"/>
    <InForceEnd xmlns="d7642df7-a9d3-4b62-8293-79467a4eb5af" xsi:nil="true"/>
    <Meta_x0020_Keywords xmlns="d7642df7-a9d3-4b62-8293-79467a4eb5af">;</Meta_x0020_Keywords>
    <Meta_x0020_Description xmlns="d7642df7-a9d3-4b62-8293-79467a4eb5af">;</Meta_x0020_Descrip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5CA3801207F04AADEBA374DF431807" ma:contentTypeVersion="24" ma:contentTypeDescription="Create a new document." ma:contentTypeScope="" ma:versionID="3e7d25dbd82acb47f945899b3231fe1d">
  <xsd:schema xmlns:xsd="http://www.w3.org/2001/XMLSchema" xmlns:xs="http://www.w3.org/2001/XMLSchema" xmlns:p="http://schemas.microsoft.com/office/2006/metadata/properties" xmlns:ns1="http://schemas.microsoft.com/sharepoint/v3" xmlns:ns2="d7642df7-a9d3-4b62-8293-79467a4eb5af" xmlns:ns3="59da1016-2a1b-4f8a-9768-d7a4932f6f16" targetNamespace="http://schemas.microsoft.com/office/2006/metadata/properties" ma:root="true" ma:fieldsID="0795b1b0da8ee728cd82060efcd3badd" ns1:_="" ns2:_="" ns3:_="">
    <xsd:import namespace="http://schemas.microsoft.com/sharepoint/v3"/>
    <xsd:import namespace="d7642df7-a9d3-4b62-8293-79467a4eb5af"/>
    <xsd:import namespace="59da1016-2a1b-4f8a-9768-d7a4932f6f16"/>
    <xsd:element name="properties">
      <xsd:complexType>
        <xsd:sequence>
          <xsd:element name="documentManagement">
            <xsd:complexType>
              <xsd:all>
                <xsd:element ref="ns2:Category" minOccurs="0"/>
                <xsd:element ref="ns2:Status" minOccurs="0"/>
                <xsd:element ref="ns2:PostedDate" minOccurs="0"/>
                <xsd:element ref="ns2:PublicCommentStarts" minOccurs="0"/>
                <xsd:element ref="ns2:PublicCommentEnds" minOccurs="0"/>
                <xsd:element ref="ns2:Topic" minOccurs="0"/>
                <xsd:element ref="ns2:Visible" minOccurs="0"/>
                <xsd:element ref="ns2:InForceStart" minOccurs="0"/>
                <xsd:element ref="ns2:InForceEnd" minOccurs="0"/>
                <xsd:element ref="ns3:IACategory" minOccurs="0"/>
                <xsd:element ref="ns3:IATopic" minOccurs="0"/>
                <xsd:element ref="ns3:IASubtopic" minOccurs="0"/>
                <xsd:element ref="ns2:Meta_x0020_Description" minOccurs="0"/>
                <xsd:element ref="ns2:Meta_x0020_Keywords" minOccurs="0"/>
                <xsd:element ref="ns3:DocumentExpirationDate" minOccurs="0"/>
                <xsd:element ref="ns1:URL" minOccurs="0"/>
                <xsd:element ref="ns2:Topic_x003a_Date_x0020_Approved" minOccurs="0"/>
                <xsd:element ref="ns2:Filename" minOccurs="0"/>
                <xsd:element ref="ns2:UpdateWF"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21" nillable="true" ma:displayName="Documents" ma:description="*read only"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642df7-a9d3-4b62-8293-79467a4eb5af" elementFormDefault="qualified">
    <xsd:import namespace="http://schemas.microsoft.com/office/2006/documentManagement/types"/>
    <xsd:import namespace="http://schemas.microsoft.com/office/infopath/2007/PartnerControls"/>
    <xsd:element name="Category" ma:index="2" nillable="true" ma:displayName="Category" ma:description="Type of document (e.g. Covg Guidance)&#10;Put PCDs in the Public Comments Library!" ma:format="Dropdown" ma:internalName="Category" ma:readOnly="false">
      <xsd:simpleType>
        <xsd:restriction base="dms:Choice">
          <xsd:enumeration value="Coverage Guidance"/>
          <xsd:enumeration value="Evidence-based report"/>
          <xsd:enumeration value="Multi-Sector Interventions Report"/>
          <xsd:enumeration value="Prioritization Changes"/>
          <xsd:enumeration value="Rescanning Summary"/>
          <xsd:enumeration value="Scope Statement"/>
        </xsd:restriction>
      </xsd:simpleType>
    </xsd:element>
    <xsd:element name="Status" ma:index="3" nillable="true" ma:displayName="Status" ma:format="Dropdown" ma:internalName="Status" ma:readOnly="false">
      <xsd:simpleType>
        <xsd:restriction base="dms:Choice">
          <xsd:enumeration value="Draft"/>
          <xsd:enumeration value="Approved"/>
          <xsd:enumeration value="Superseded"/>
          <xsd:enumeration value="Rescinded"/>
        </xsd:restriction>
      </xsd:simpleType>
    </xsd:element>
    <xsd:element name="PostedDate" ma:index="4" nillable="true" ma:displayName="Last Reviewed" ma:default="[today]" ma:description="Date approved by HERC" ma:format="DateOnly" ma:internalName="PostedDate" ma:readOnly="false">
      <xsd:simpleType>
        <xsd:restriction base="dms:DateTime"/>
      </xsd:simpleType>
    </xsd:element>
    <xsd:element name="PublicCommentStarts" ma:index="5" nillable="true" ma:displayName="Public Comment Starts" ma:description="Date public comment starts" ma:format="DateOnly" ma:internalName="PublicCommentStarts" ma:readOnly="false">
      <xsd:simpleType>
        <xsd:restriction base="dms:DateTime"/>
      </xsd:simpleType>
    </xsd:element>
    <xsd:element name="PublicCommentEnds" ma:index="6" nillable="true" ma:displayName="Public Comment Ends" ma:description="Date and time public comment ends (always 8 a.m.)" ma:format="DateTime" ma:internalName="PublicCommentEnds" ma:readOnly="false">
      <xsd:simpleType>
        <xsd:restriction base="dms:DateTime"/>
      </xsd:simpleType>
    </xsd:element>
    <xsd:element name="Topic" ma:index="8" nillable="true" ma:displayName="Topic" ma:list="{362945ba-7a7e-4f15-8333-9dd8733e369b}" ma:internalName="Topic" ma:readOnly="false" ma:showField="Title">
      <xsd:simpleType>
        <xsd:restriction base="dms:Lookup"/>
      </xsd:simpleType>
    </xsd:element>
    <xsd:element name="Visible" ma:index="9" nillable="true" ma:displayName="Visible on Blog" ma:default="0" ma:description="Visible in documents box at top of blogs (if not in superseded status)" ma:internalName="Visible" ma:readOnly="false">
      <xsd:simpleType>
        <xsd:restriction base="dms:Boolean"/>
      </xsd:simpleType>
    </xsd:element>
    <xsd:element name="InForceStart" ma:index="10" nillable="true" ma:displayName="In Force Start" ma:format="DateOnly" ma:internalName="InForceStart" ma:readOnly="false">
      <xsd:simpleType>
        <xsd:restriction base="dms:DateTime"/>
      </xsd:simpleType>
    </xsd:element>
    <xsd:element name="InForceEnd" ma:index="11" nillable="true" ma:displayName="In Force End" ma:format="DateOnly" ma:internalName="InForceEnd" ma:readOnly="false">
      <xsd:simpleType>
        <xsd:restriction base="dms:DateTime"/>
      </xsd:simpleType>
    </xsd:element>
    <xsd:element name="Meta_x0020_Description" ma:index="15" nillable="true" ma:displayName="Meta Description" ma:default=";" ma:internalName="Meta_x0020_Description" ma:readOnly="false">
      <xsd:simpleType>
        <xsd:restriction base="dms:Text">
          <xsd:maxLength value="255"/>
        </xsd:restriction>
      </xsd:simpleType>
    </xsd:element>
    <xsd:element name="Meta_x0020_Keywords" ma:index="16" nillable="true" ma:displayName="Meta Keywords" ma:default=";" ma:internalName="Meta_x0020_Keywords" ma:readOnly="false">
      <xsd:simpleType>
        <xsd:restriction base="dms:Text">
          <xsd:maxLength value="255"/>
        </xsd:restriction>
      </xsd:simpleType>
    </xsd:element>
    <xsd:element name="Topic_x003a_Date_x0020_Approved" ma:index="22" nillable="true" ma:displayName="Topic:Date Approved" ma:list="{362945ba-7a7e-4f15-8333-9dd8733e369b}" ma:internalName="Topic_x003a_Date_x0020_Approved" ma:readOnly="true" ma:showField="DateApproved" ma:web="f7889773-618c-44a8-8e18-3b54cc57bbce">
      <xsd:simpleType>
        <xsd:restriction base="dms:Lookup"/>
      </xsd:simpleType>
    </xsd:element>
    <xsd:element name="Filename" ma:index="26" nillable="true" ma:displayName="Filename" ma:hidden="true" ma:internalName="Filename" ma:readOnly="false">
      <xsd:simpleType>
        <xsd:restriction base="dms:Text">
          <xsd:maxLength value="255"/>
        </xsd:restriction>
      </xsd:simpleType>
    </xsd:element>
    <xsd:element name="UpdateWF" ma:index="27" nillable="true" ma:displayName="UpdateWF" ma:hidden="true" ma:internalName="UpdateWF"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2"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3"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4"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8" nillable="true" ma:displayName="Document Expiration Date" ma:format="DateOnly" ma:hidden="true" ma:internalName="DocumentExpirationDate" ma:readOnly="false">
      <xsd:simpleType>
        <xsd:restriction base="dms:DateTime"/>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FB7CDC-B952-4B65-984D-75CFC4CB2A5C}">
  <ds:schemaRefs>
    <ds:schemaRef ds:uri="http://schemas.openxmlformats.org/officeDocument/2006/bibliography"/>
  </ds:schemaRefs>
</ds:datastoreItem>
</file>

<file path=customXml/itemProps2.xml><?xml version="1.0" encoding="utf-8"?>
<ds:datastoreItem xmlns:ds="http://schemas.openxmlformats.org/officeDocument/2006/customXml" ds:itemID="{C69DD664-5EA5-426E-9A82-33E0C7C17D0D}">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6bf1183-4e63-4d67-9fd5-b11cbbfeca8c"/>
    <ds:schemaRef ds:uri="http://purl.org/dc/terms/"/>
    <ds:schemaRef ds:uri="http://www.w3.org/XML/1998/namespace"/>
  </ds:schemaRefs>
</ds:datastoreItem>
</file>

<file path=customXml/itemProps3.xml><?xml version="1.0" encoding="utf-8"?>
<ds:datastoreItem xmlns:ds="http://schemas.openxmlformats.org/officeDocument/2006/customXml" ds:itemID="{CBF5D1F0-83DE-4DB0-91B5-47549DEFC826}">
  <ds:schemaRefs>
    <ds:schemaRef ds:uri="http://schemas.microsoft.com/sharepoint/v3/contenttype/forms"/>
  </ds:schemaRefs>
</ds:datastoreItem>
</file>

<file path=customXml/itemProps4.xml><?xml version="1.0" encoding="utf-8"?>
<ds:datastoreItem xmlns:ds="http://schemas.openxmlformats.org/officeDocument/2006/customXml" ds:itemID="{4988EB07-33C7-4E11-A078-2AEE75E578B4}"/>
</file>

<file path=docProps/app.xml><?xml version="1.0" encoding="utf-8"?>
<Properties xmlns="http://schemas.openxmlformats.org/officeDocument/2006/extended-properties" xmlns:vt="http://schemas.openxmlformats.org/officeDocument/2006/docPropsVTypes">
  <Template>Normal.dotm</Template>
  <TotalTime>0</TotalTime>
  <Pages>42</Pages>
  <Words>13123</Words>
  <Characters>74803</Characters>
  <Application>Microsoft Office Word</Application>
  <DocSecurity>0</DocSecurity>
  <Lines>623</Lines>
  <Paragraphs>175</Paragraphs>
  <ScaleCrop>false</ScaleCrop>
  <Company>OHSU</Company>
  <LinksUpToDate>false</LinksUpToDate>
  <CharactersWithSpaces>87751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Coverage Guidance</dc:title>
  <dc:subject/>
  <dc:creator>Bethany Godlewski</dc:creator>
  <cp:keywords/>
  <dc:description/>
  <cp:lastModifiedBy>Walker Liz</cp:lastModifiedBy>
  <cp:revision>2</cp:revision>
  <dcterms:created xsi:type="dcterms:W3CDTF">2022-07-29T18:57:00Z</dcterms:created>
  <dcterms:modified xsi:type="dcterms:W3CDTF">2022-07-29T18:57:00Z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0x010100B45CA3801207F04AADEBA374DF431807</vt:lpwstr>
  </property>
  <property fmtid="{D5CDD505-2E9C-101B-9397-08002B2CF9AE}" pid="3" name="WorkflowChangePath">
    <vt:lpwstr>42e498f0-e936-4095-859b-7d9b41fa138b,3;42e498f0-e936-4095-859b-7d9b41fa138b,3;</vt:lpwstr>
  </property>
</Properties>
</file>