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D562" w14:textId="600B8EC1" w:rsidR="00371292" w:rsidRDefault="006A5ED8" w:rsidP="006A5ED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Oregon Health Plan Prioritized List Changes</w:t>
      </w:r>
    </w:p>
    <w:p w14:paraId="36707C19" w14:textId="0FC9D1E1" w:rsidR="006A5ED8" w:rsidRDefault="00C87D5B" w:rsidP="006A5ED8">
      <w:pPr>
        <w:spacing w:after="0" w:line="240" w:lineRule="auto"/>
        <w:jc w:val="center"/>
        <w:rPr>
          <w:b/>
          <w:bCs/>
        </w:rPr>
      </w:pPr>
      <w:r w:rsidRPr="00C87D5B">
        <w:rPr>
          <w:b/>
          <w:bCs/>
        </w:rPr>
        <w:t>Continuous Glucose Monitoring for Diabetes Mellitus</w:t>
      </w:r>
    </w:p>
    <w:p w14:paraId="7F67B86E" w14:textId="77777777" w:rsidR="006A5ED8" w:rsidRDefault="006A5ED8" w:rsidP="007019D8">
      <w:pPr>
        <w:spacing w:after="0" w:line="240" w:lineRule="auto"/>
        <w:rPr>
          <w:b/>
          <w:bCs/>
        </w:rPr>
      </w:pPr>
    </w:p>
    <w:p w14:paraId="34866309" w14:textId="27BEDD74" w:rsidR="006A5ED8" w:rsidRDefault="006A5ED8" w:rsidP="006A5ED8">
      <w:pPr>
        <w:spacing w:after="0" w:line="240" w:lineRule="auto"/>
      </w:pPr>
      <w:r>
        <w:t xml:space="preserve">The Health Evidence Review Commission approved the following changes to the Prioritized List of Health Services on </w:t>
      </w:r>
      <w:r w:rsidR="00C87D5B">
        <w:t>September 2</w:t>
      </w:r>
      <w:r w:rsidR="00D706AC">
        <w:t>8</w:t>
      </w:r>
      <w:r>
        <w:t>, 202</w:t>
      </w:r>
      <w:r w:rsidR="00D706AC">
        <w:t>3</w:t>
      </w:r>
      <w:r>
        <w:t>, based on the coverage guidance report, “</w:t>
      </w:r>
      <w:r w:rsidR="00C87D5B">
        <w:t>Continuous Glucose Monitoring for Diabetes Mellitus</w:t>
      </w:r>
      <w:r>
        <w:t>.” These changes take effect on the Prioritized List of Health Services for the Oregon Health Plan on January 1, 202</w:t>
      </w:r>
      <w:r w:rsidR="00A24F69">
        <w:t>4</w:t>
      </w:r>
      <w:r>
        <w:t xml:space="preserve">. </w:t>
      </w:r>
    </w:p>
    <w:p w14:paraId="2E8A1FA2" w14:textId="03EC46FF" w:rsidR="006A5ED8" w:rsidRDefault="006A5ED8" w:rsidP="006A5ED8">
      <w:pPr>
        <w:spacing w:after="0" w:line="240" w:lineRule="auto"/>
      </w:pPr>
    </w:p>
    <w:p w14:paraId="1A6C6082" w14:textId="142BBD5B" w:rsidR="006A5ED8" w:rsidRDefault="006A5ED8" w:rsidP="006A5ED8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Changes to the Prioritized List of Health Services:</w:t>
      </w:r>
    </w:p>
    <w:p w14:paraId="6D0C138A" w14:textId="77777777" w:rsidR="003D77AD" w:rsidRDefault="003D77AD" w:rsidP="006A5ED8">
      <w:pPr>
        <w:spacing w:after="0" w:line="240" w:lineRule="auto"/>
      </w:pPr>
    </w:p>
    <w:p w14:paraId="0DD62288" w14:textId="61EC753C" w:rsidR="003D77AD" w:rsidRPr="003D77AD" w:rsidRDefault="007D42FD" w:rsidP="003D77A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Add</w:t>
      </w:r>
      <w:r w:rsidR="00FC3DA7">
        <w:rPr>
          <w:b/>
          <w:bCs/>
        </w:rPr>
        <w:t xml:space="preserve"> several</w:t>
      </w:r>
      <w:r w:rsidR="009240F0">
        <w:rPr>
          <w:b/>
          <w:bCs/>
        </w:rPr>
        <w:t xml:space="preserve"> CPT</w:t>
      </w:r>
      <w:r w:rsidR="00245109">
        <w:rPr>
          <w:b/>
          <w:bCs/>
        </w:rPr>
        <w:t xml:space="preserve"> </w:t>
      </w:r>
      <w:r w:rsidR="009240F0">
        <w:rPr>
          <w:b/>
          <w:bCs/>
        </w:rPr>
        <w:t>codes to Line</w:t>
      </w:r>
      <w:r w:rsidR="00245109">
        <w:rPr>
          <w:b/>
          <w:bCs/>
        </w:rPr>
        <w:t>s 1 and 2</w:t>
      </w:r>
      <w:r w:rsidR="003657ED">
        <w:rPr>
          <w:b/>
          <w:bCs/>
        </w:rPr>
        <w:t>7</w:t>
      </w:r>
    </w:p>
    <w:p w14:paraId="1765D633" w14:textId="7B782D94" w:rsidR="00C748C6" w:rsidRDefault="00F813C3" w:rsidP="00257278">
      <w:pPr>
        <w:spacing w:after="0" w:line="240" w:lineRule="auto"/>
      </w:pPr>
      <w:r w:rsidRPr="00F813C3">
        <w:t xml:space="preserve">Add the following </w:t>
      </w:r>
      <w:r w:rsidR="00AF6B93" w:rsidRPr="007620EA">
        <w:rPr>
          <w:rFonts w:cstheme="minorHAnsi"/>
        </w:rPr>
        <w:t>CPT codes to Line 1 PREGNANCY and Line 27 TYPE 2 DIABETES MELLITUS</w:t>
      </w:r>
      <w:r w:rsidR="00C748C6">
        <w:t>:</w:t>
      </w:r>
    </w:p>
    <w:p w14:paraId="38D72643" w14:textId="77777777" w:rsidR="00C748C6" w:rsidRDefault="00C748C6" w:rsidP="00C748C6">
      <w:pPr>
        <w:pStyle w:val="ListParagraph"/>
        <w:ind w:left="360"/>
      </w:pPr>
    </w:p>
    <w:p w14:paraId="46E21C0C" w14:textId="77777777" w:rsidR="00E533B0" w:rsidRPr="007620EA" w:rsidRDefault="00E533B0" w:rsidP="00E533B0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620EA">
        <w:rPr>
          <w:rFonts w:cstheme="minorHAnsi"/>
        </w:rPr>
        <w:t>95249</w:t>
      </w:r>
      <w:r w:rsidRPr="007620EA">
        <w:rPr>
          <w:rFonts w:cstheme="minorHAnsi"/>
        </w:rPr>
        <w:tab/>
      </w:r>
      <w:r w:rsidRPr="007620EA">
        <w:rPr>
          <w:rFonts w:cstheme="minorHAnsi"/>
        </w:rPr>
        <w:tab/>
        <w:t xml:space="preserve">Ambulatory continuous glucose monitoring of interstitial tissue fluid via a </w:t>
      </w:r>
    </w:p>
    <w:p w14:paraId="6B5ACDA0" w14:textId="77777777" w:rsidR="00E533B0" w:rsidRPr="007620EA" w:rsidRDefault="00E533B0" w:rsidP="00E533B0">
      <w:pPr>
        <w:pStyle w:val="ListParagraph"/>
        <w:ind w:left="2160"/>
        <w:rPr>
          <w:rFonts w:cstheme="minorHAnsi"/>
        </w:rPr>
      </w:pPr>
      <w:r w:rsidRPr="007620EA">
        <w:rPr>
          <w:rFonts w:cstheme="minorHAnsi"/>
        </w:rPr>
        <w:t>subcutaneous sensor for a minimum of 72 hours; patient-provided equipment, sensor placement, hook-up, calibration of monitor, patient training, and printout of recording</w:t>
      </w:r>
    </w:p>
    <w:p w14:paraId="158F6817" w14:textId="77777777" w:rsidR="00E533B0" w:rsidRPr="007620EA" w:rsidRDefault="00E533B0" w:rsidP="00E533B0">
      <w:pPr>
        <w:pStyle w:val="ListParagraph"/>
        <w:numPr>
          <w:ilvl w:val="1"/>
          <w:numId w:val="6"/>
        </w:numPr>
        <w:spacing w:after="0" w:line="240" w:lineRule="auto"/>
        <w:rPr>
          <w:rStyle w:val="normaltextrun"/>
          <w:rFonts w:cstheme="minorHAnsi"/>
        </w:rPr>
      </w:pPr>
      <w:r w:rsidRPr="007620EA">
        <w:rPr>
          <w:rFonts w:cstheme="minorHAnsi"/>
        </w:rPr>
        <w:t>95250</w:t>
      </w:r>
      <w:r w:rsidRPr="007620EA">
        <w:rPr>
          <w:rFonts w:cstheme="minorHAnsi"/>
        </w:rPr>
        <w:tab/>
      </w:r>
      <w:r w:rsidRPr="007620EA">
        <w:rPr>
          <w:rFonts w:cstheme="minorHAnsi"/>
        </w:rPr>
        <w:tab/>
      </w:r>
      <w:r w:rsidRPr="007620EA">
        <w:rPr>
          <w:rStyle w:val="normaltextrun"/>
          <w:rFonts w:cstheme="minorHAnsi"/>
        </w:rPr>
        <w:t xml:space="preserve">Ambulatory continuous glucose monitoring of interstitial tissue fluid via a </w:t>
      </w:r>
    </w:p>
    <w:p w14:paraId="399902A9" w14:textId="77777777" w:rsidR="00E533B0" w:rsidRPr="007620EA" w:rsidRDefault="00E533B0" w:rsidP="00E533B0">
      <w:pPr>
        <w:pStyle w:val="ListParagraph"/>
        <w:ind w:left="2160"/>
        <w:rPr>
          <w:rFonts w:cstheme="minorHAnsi"/>
        </w:rPr>
      </w:pPr>
      <w:r w:rsidRPr="007620EA">
        <w:rPr>
          <w:rStyle w:val="normaltextrun"/>
          <w:rFonts w:cstheme="minorHAnsi"/>
        </w:rPr>
        <w:t xml:space="preserve">subcutaneous sensor for a minimum of 72 hours; physician or other qualified health care professional (office) provided equipment, sensor placement, hook-up, calibration of monitor, patient training, removal of sensor, and printout of </w:t>
      </w:r>
      <w:proofErr w:type="gramStart"/>
      <w:r w:rsidRPr="007620EA">
        <w:rPr>
          <w:rStyle w:val="normaltextrun"/>
          <w:rFonts w:cstheme="minorHAnsi"/>
        </w:rPr>
        <w:t>recording</w:t>
      </w:r>
      <w:proofErr w:type="gramEnd"/>
      <w:r w:rsidRPr="007620EA">
        <w:rPr>
          <w:rStyle w:val="eop"/>
          <w:rFonts w:cstheme="minorHAnsi"/>
        </w:rPr>
        <w:t> </w:t>
      </w:r>
    </w:p>
    <w:p w14:paraId="3E07F219" w14:textId="77777777" w:rsidR="00E533B0" w:rsidRPr="007620EA" w:rsidRDefault="00E533B0" w:rsidP="00E533B0">
      <w:pPr>
        <w:pStyle w:val="ListParagraph"/>
        <w:numPr>
          <w:ilvl w:val="1"/>
          <w:numId w:val="6"/>
        </w:numPr>
        <w:spacing w:after="0" w:line="240" w:lineRule="auto"/>
        <w:rPr>
          <w:rStyle w:val="normaltextrun"/>
          <w:rFonts w:cstheme="minorHAnsi"/>
        </w:rPr>
      </w:pPr>
      <w:r w:rsidRPr="007620EA">
        <w:rPr>
          <w:rFonts w:cstheme="minorHAnsi"/>
        </w:rPr>
        <w:t>95251</w:t>
      </w:r>
      <w:r w:rsidRPr="007620EA">
        <w:rPr>
          <w:rFonts w:cstheme="minorHAnsi"/>
        </w:rPr>
        <w:tab/>
      </w:r>
      <w:r w:rsidRPr="007620EA">
        <w:rPr>
          <w:rFonts w:cstheme="minorHAnsi"/>
        </w:rPr>
        <w:tab/>
      </w:r>
      <w:r w:rsidRPr="007620EA">
        <w:rPr>
          <w:rStyle w:val="normaltextrun"/>
          <w:rFonts w:cstheme="minorHAnsi"/>
        </w:rPr>
        <w:t xml:space="preserve">Ambulatory continuous glucose monitoring of interstitial tissue fluid via a </w:t>
      </w:r>
    </w:p>
    <w:p w14:paraId="08BE3B97" w14:textId="63C3B8FE" w:rsidR="00C748C6" w:rsidRPr="00E533B0" w:rsidRDefault="00E533B0" w:rsidP="00E533B0">
      <w:pPr>
        <w:pStyle w:val="ListParagraph"/>
        <w:ind w:left="2160"/>
        <w:rPr>
          <w:rFonts w:cstheme="minorHAnsi"/>
        </w:rPr>
      </w:pPr>
      <w:r w:rsidRPr="007620EA">
        <w:rPr>
          <w:rStyle w:val="normaltextrun"/>
          <w:rFonts w:cstheme="minorHAnsi"/>
        </w:rPr>
        <w:t xml:space="preserve">subcutaneous sensor for a minimum of 72 hours; analysis, </w:t>
      </w:r>
      <w:proofErr w:type="gramStart"/>
      <w:r w:rsidRPr="007620EA">
        <w:rPr>
          <w:rStyle w:val="normaltextrun"/>
          <w:rFonts w:cstheme="minorHAnsi"/>
        </w:rPr>
        <w:t>interpretation</w:t>
      </w:r>
      <w:proofErr w:type="gramEnd"/>
      <w:r w:rsidRPr="007620EA">
        <w:rPr>
          <w:rStyle w:val="normaltextrun"/>
          <w:rFonts w:cstheme="minorHAnsi"/>
        </w:rPr>
        <w:t xml:space="preserve"> and report</w:t>
      </w:r>
      <w:r w:rsidRPr="007620EA">
        <w:rPr>
          <w:rStyle w:val="eop"/>
          <w:rFonts w:cstheme="minorHAnsi"/>
        </w:rPr>
        <w:t> </w:t>
      </w:r>
    </w:p>
    <w:p w14:paraId="4D9C2AB6" w14:textId="77777777" w:rsidR="0074392F" w:rsidRPr="003D77AD" w:rsidRDefault="0074392F" w:rsidP="003D77AD">
      <w:pPr>
        <w:spacing w:after="0" w:line="240" w:lineRule="auto"/>
        <w:rPr>
          <w:b/>
          <w:bCs/>
        </w:rPr>
      </w:pPr>
    </w:p>
    <w:p w14:paraId="2B19B2CE" w14:textId="243B9228" w:rsidR="00E533B0" w:rsidRDefault="00E533B0" w:rsidP="006A5ED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Add several HCPCS codes to the Ancillary Procedures File</w:t>
      </w:r>
    </w:p>
    <w:p w14:paraId="1C62D410" w14:textId="4447F606" w:rsidR="00DF1D95" w:rsidRDefault="00DF1D95" w:rsidP="00DF1D95">
      <w:pPr>
        <w:spacing w:after="0" w:line="240" w:lineRule="auto"/>
        <w:rPr>
          <w:b/>
          <w:bCs/>
        </w:rPr>
      </w:pPr>
    </w:p>
    <w:p w14:paraId="1C5501BE" w14:textId="77777777" w:rsidR="006136B7" w:rsidRDefault="006136B7" w:rsidP="006136B7">
      <w:pPr>
        <w:pStyle w:val="ListParagraph"/>
        <w:numPr>
          <w:ilvl w:val="1"/>
          <w:numId w:val="9"/>
        </w:numPr>
        <w:spacing w:after="0" w:line="240" w:lineRule="auto"/>
        <w:rPr>
          <w:rStyle w:val="eop"/>
          <w:rFonts w:cstheme="minorHAnsi"/>
        </w:rPr>
      </w:pPr>
      <w:r>
        <w:rPr>
          <w:rStyle w:val="eop"/>
          <w:rFonts w:cstheme="minorHAnsi"/>
        </w:rPr>
        <w:t>A4238</w:t>
      </w:r>
      <w:r>
        <w:rPr>
          <w:rStyle w:val="eop"/>
          <w:rFonts w:cstheme="minorHAnsi"/>
        </w:rPr>
        <w:tab/>
      </w:r>
      <w:r>
        <w:rPr>
          <w:rStyle w:val="eop"/>
          <w:rFonts w:cstheme="minorHAnsi"/>
        </w:rPr>
        <w:tab/>
      </w:r>
      <w:r w:rsidRPr="005D7ABD">
        <w:rPr>
          <w:rStyle w:val="eop"/>
          <w:rFonts w:cstheme="minorHAnsi"/>
        </w:rPr>
        <w:t xml:space="preserve">Supply allowance for adjunctive, non-implanted continuous glucose monitor </w:t>
      </w:r>
    </w:p>
    <w:p w14:paraId="043088C1" w14:textId="77777777" w:rsidR="006136B7" w:rsidRPr="005D7ABD" w:rsidRDefault="006136B7" w:rsidP="006136B7">
      <w:pPr>
        <w:pStyle w:val="ListParagraph"/>
        <w:ind w:left="2160"/>
        <w:rPr>
          <w:rStyle w:val="eop"/>
          <w:rFonts w:cstheme="minorHAnsi"/>
        </w:rPr>
      </w:pPr>
      <w:r w:rsidRPr="005D7ABD">
        <w:rPr>
          <w:rStyle w:val="eop"/>
          <w:rFonts w:cstheme="minorHAnsi"/>
        </w:rPr>
        <w:t>(CGM), includes all supplies and accessories necessary for use of the device (i.e., sensors, transmitter)</w:t>
      </w:r>
      <w:r>
        <w:rPr>
          <w:rStyle w:val="eop"/>
          <w:rFonts w:cstheme="minorHAnsi"/>
        </w:rPr>
        <w:t xml:space="preserve">; </w:t>
      </w:r>
      <w:r w:rsidRPr="005D7ABD">
        <w:rPr>
          <w:rStyle w:val="eop"/>
          <w:rFonts w:cstheme="minorHAnsi"/>
        </w:rPr>
        <w:t>1 month supply = 1 unit of service</w:t>
      </w:r>
    </w:p>
    <w:p w14:paraId="54FB0677" w14:textId="77777777" w:rsidR="006136B7" w:rsidRDefault="006136B7" w:rsidP="006136B7">
      <w:pPr>
        <w:pStyle w:val="ListParagraph"/>
        <w:numPr>
          <w:ilvl w:val="1"/>
          <w:numId w:val="9"/>
        </w:numPr>
        <w:spacing w:after="0" w:line="240" w:lineRule="auto"/>
        <w:rPr>
          <w:rStyle w:val="eop"/>
          <w:rFonts w:cstheme="minorHAnsi"/>
        </w:rPr>
      </w:pPr>
      <w:r>
        <w:rPr>
          <w:rStyle w:val="eop"/>
          <w:rFonts w:cstheme="minorHAnsi"/>
        </w:rPr>
        <w:t>A4239</w:t>
      </w:r>
      <w:r>
        <w:rPr>
          <w:rStyle w:val="eop"/>
          <w:rFonts w:cstheme="minorHAnsi"/>
        </w:rPr>
        <w:tab/>
      </w:r>
      <w:r>
        <w:rPr>
          <w:rStyle w:val="eop"/>
          <w:rFonts w:cstheme="minorHAnsi"/>
        </w:rPr>
        <w:tab/>
      </w:r>
      <w:r w:rsidRPr="005D7ABD">
        <w:rPr>
          <w:rStyle w:val="eop"/>
          <w:rFonts w:cstheme="minorHAnsi"/>
        </w:rPr>
        <w:t xml:space="preserve">Supply allowance for </w:t>
      </w:r>
      <w:r>
        <w:rPr>
          <w:rStyle w:val="eop"/>
          <w:rFonts w:cstheme="minorHAnsi"/>
        </w:rPr>
        <w:t>non-</w:t>
      </w:r>
      <w:r w:rsidRPr="005D7ABD">
        <w:rPr>
          <w:rStyle w:val="eop"/>
          <w:rFonts w:cstheme="minorHAnsi"/>
        </w:rPr>
        <w:t xml:space="preserve">adjunctive, non-implanted continuous glucose </w:t>
      </w:r>
    </w:p>
    <w:p w14:paraId="3D33DF78" w14:textId="77777777" w:rsidR="006136B7" w:rsidRPr="005D7ABD" w:rsidRDefault="006136B7" w:rsidP="006136B7">
      <w:pPr>
        <w:pStyle w:val="ListParagraph"/>
        <w:ind w:left="2160"/>
        <w:rPr>
          <w:rStyle w:val="eop"/>
          <w:rFonts w:cstheme="minorHAnsi"/>
        </w:rPr>
      </w:pPr>
      <w:r w:rsidRPr="005D7ABD">
        <w:rPr>
          <w:rStyle w:val="eop"/>
          <w:rFonts w:cstheme="minorHAnsi"/>
        </w:rPr>
        <w:t>monitor (CGM), includes all supplies and accessories necessary for use of the device (i.e., sensors, transmitter); 1 month supply = 1 unit of service</w:t>
      </w:r>
    </w:p>
    <w:p w14:paraId="0A10C913" w14:textId="77777777" w:rsidR="006136B7" w:rsidRDefault="006136B7" w:rsidP="006136B7">
      <w:pPr>
        <w:pStyle w:val="ListParagraph"/>
        <w:numPr>
          <w:ilvl w:val="1"/>
          <w:numId w:val="9"/>
        </w:numPr>
        <w:spacing w:after="0" w:line="240" w:lineRule="auto"/>
        <w:rPr>
          <w:rStyle w:val="eop"/>
          <w:rFonts w:cstheme="minorHAnsi"/>
        </w:rPr>
      </w:pPr>
      <w:r>
        <w:rPr>
          <w:rStyle w:val="eop"/>
          <w:rFonts w:cstheme="minorHAnsi"/>
        </w:rPr>
        <w:t>E2102</w:t>
      </w:r>
      <w:r>
        <w:rPr>
          <w:rStyle w:val="eop"/>
          <w:rFonts w:cstheme="minorHAnsi"/>
        </w:rPr>
        <w:tab/>
      </w:r>
      <w:r>
        <w:rPr>
          <w:rStyle w:val="eop"/>
          <w:rFonts w:cstheme="minorHAnsi"/>
        </w:rPr>
        <w:tab/>
      </w:r>
      <w:r w:rsidRPr="005D7ABD">
        <w:rPr>
          <w:rStyle w:val="eop"/>
          <w:rFonts w:cstheme="minorHAnsi"/>
        </w:rPr>
        <w:t>Adjunctive, non-implanted continuous glucose monitor or receiver</w:t>
      </w:r>
      <w:r>
        <w:rPr>
          <w:rStyle w:val="eop"/>
          <w:rFonts w:cstheme="minorHAnsi"/>
        </w:rPr>
        <w:t xml:space="preserve">; </w:t>
      </w:r>
      <w:r w:rsidRPr="005D7ABD">
        <w:rPr>
          <w:rStyle w:val="eop"/>
          <w:rFonts w:cstheme="minorHAnsi"/>
        </w:rPr>
        <w:t xml:space="preserve">May </w:t>
      </w:r>
      <w:proofErr w:type="gramStart"/>
      <w:r w:rsidRPr="005D7ABD">
        <w:rPr>
          <w:rStyle w:val="eop"/>
          <w:rFonts w:cstheme="minorHAnsi"/>
        </w:rPr>
        <w:t>be</w:t>
      </w:r>
      <w:proofErr w:type="gramEnd"/>
      <w:r w:rsidRPr="005D7ABD">
        <w:rPr>
          <w:rStyle w:val="eop"/>
          <w:rFonts w:cstheme="minorHAnsi"/>
        </w:rPr>
        <w:t xml:space="preserve"> </w:t>
      </w:r>
    </w:p>
    <w:p w14:paraId="40FEA682" w14:textId="77777777" w:rsidR="006136B7" w:rsidRPr="005D7ABD" w:rsidRDefault="006136B7" w:rsidP="006136B7">
      <w:pPr>
        <w:pStyle w:val="ListParagraph"/>
        <w:ind w:left="1440" w:firstLine="720"/>
        <w:rPr>
          <w:rStyle w:val="eop"/>
          <w:rFonts w:cstheme="minorHAnsi"/>
        </w:rPr>
      </w:pPr>
      <w:r w:rsidRPr="005D7ABD">
        <w:rPr>
          <w:rStyle w:val="eop"/>
          <w:rFonts w:cstheme="minorHAnsi"/>
        </w:rPr>
        <w:t xml:space="preserve">covered once every 3 </w:t>
      </w:r>
      <w:proofErr w:type="gramStart"/>
      <w:r w:rsidRPr="005D7ABD">
        <w:rPr>
          <w:rStyle w:val="eop"/>
          <w:rFonts w:cstheme="minorHAnsi"/>
        </w:rPr>
        <w:t>years</w:t>
      </w:r>
      <w:proofErr w:type="gramEnd"/>
    </w:p>
    <w:p w14:paraId="0446A372" w14:textId="77777777" w:rsidR="006136B7" w:rsidRDefault="006136B7" w:rsidP="006136B7">
      <w:pPr>
        <w:pStyle w:val="ListParagraph"/>
        <w:numPr>
          <w:ilvl w:val="1"/>
          <w:numId w:val="9"/>
        </w:numPr>
        <w:spacing w:after="0" w:line="240" w:lineRule="auto"/>
        <w:rPr>
          <w:rStyle w:val="eop"/>
          <w:rFonts w:cstheme="minorHAnsi"/>
        </w:rPr>
      </w:pPr>
      <w:r>
        <w:rPr>
          <w:rStyle w:val="eop"/>
          <w:rFonts w:cstheme="minorHAnsi"/>
        </w:rPr>
        <w:t>E2103</w:t>
      </w:r>
      <w:r>
        <w:rPr>
          <w:rStyle w:val="eop"/>
          <w:rFonts w:cstheme="minorHAnsi"/>
        </w:rPr>
        <w:tab/>
      </w:r>
      <w:r>
        <w:rPr>
          <w:rStyle w:val="eop"/>
          <w:rFonts w:cstheme="minorHAnsi"/>
        </w:rPr>
        <w:tab/>
      </w:r>
      <w:r w:rsidRPr="005D7ABD">
        <w:rPr>
          <w:rStyle w:val="eop"/>
          <w:rFonts w:cstheme="minorHAnsi"/>
        </w:rPr>
        <w:t>Non-adjunctive, non-implanted continuous glucose monitor or receiver</w:t>
      </w:r>
      <w:r>
        <w:rPr>
          <w:rStyle w:val="eop"/>
          <w:rFonts w:cstheme="minorHAnsi"/>
        </w:rPr>
        <w:t xml:space="preserve">; </w:t>
      </w:r>
      <w:r w:rsidRPr="005D7ABD">
        <w:rPr>
          <w:rStyle w:val="eop"/>
          <w:rFonts w:cstheme="minorHAnsi"/>
        </w:rPr>
        <w:t xml:space="preserve">May </w:t>
      </w:r>
      <w:proofErr w:type="gramStart"/>
      <w:r w:rsidRPr="005D7ABD">
        <w:rPr>
          <w:rStyle w:val="eop"/>
          <w:rFonts w:cstheme="minorHAnsi"/>
        </w:rPr>
        <w:t>be</w:t>
      </w:r>
      <w:proofErr w:type="gramEnd"/>
      <w:r w:rsidRPr="005D7ABD">
        <w:rPr>
          <w:rStyle w:val="eop"/>
          <w:rFonts w:cstheme="minorHAnsi"/>
        </w:rPr>
        <w:t xml:space="preserve"> </w:t>
      </w:r>
    </w:p>
    <w:p w14:paraId="583ACC4D" w14:textId="490FCF37" w:rsidR="00DF1D95" w:rsidRDefault="006136B7" w:rsidP="006136B7">
      <w:pPr>
        <w:spacing w:after="0" w:line="240" w:lineRule="auto"/>
        <w:ind w:left="1440" w:firstLine="720"/>
        <w:rPr>
          <w:rStyle w:val="eop"/>
          <w:rFonts w:cstheme="minorHAnsi"/>
        </w:rPr>
      </w:pPr>
      <w:r w:rsidRPr="005D7ABD">
        <w:rPr>
          <w:rStyle w:val="eop"/>
          <w:rFonts w:cstheme="minorHAnsi"/>
        </w:rPr>
        <w:t xml:space="preserve">covered once every 3 </w:t>
      </w:r>
      <w:proofErr w:type="gramStart"/>
      <w:r w:rsidRPr="005D7ABD">
        <w:rPr>
          <w:rStyle w:val="eop"/>
          <w:rFonts w:cstheme="minorHAnsi"/>
        </w:rPr>
        <w:t>years</w:t>
      </w:r>
      <w:proofErr w:type="gramEnd"/>
    </w:p>
    <w:p w14:paraId="48FD084F" w14:textId="77777777" w:rsidR="00E80741" w:rsidRPr="00EE4EC0" w:rsidRDefault="00E80741" w:rsidP="00EE4EC0">
      <w:pPr>
        <w:spacing w:after="0" w:line="240" w:lineRule="auto"/>
        <w:rPr>
          <w:b/>
          <w:bCs/>
        </w:rPr>
      </w:pPr>
    </w:p>
    <w:p w14:paraId="66A4BD51" w14:textId="279ECA8D" w:rsidR="006F2EBA" w:rsidRDefault="00D41D20" w:rsidP="006A5ED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Revise the existing </w:t>
      </w:r>
      <w:r w:rsidR="00EE4EC0">
        <w:rPr>
          <w:b/>
          <w:bCs/>
        </w:rPr>
        <w:t>continuous glucose monitoring guideline</w:t>
      </w:r>
      <w:r w:rsidR="000A1E4D">
        <w:rPr>
          <w:b/>
          <w:bCs/>
        </w:rPr>
        <w:t xml:space="preserve"> based on the Coverage Guidance Box Language</w:t>
      </w:r>
    </w:p>
    <w:p w14:paraId="0095E019" w14:textId="56242221" w:rsidR="003D77AD" w:rsidRDefault="003D77AD" w:rsidP="003D77AD">
      <w:pPr>
        <w:spacing w:after="0" w:line="240" w:lineRule="auto"/>
        <w:rPr>
          <w:b/>
          <w:bCs/>
        </w:rPr>
      </w:pPr>
    </w:p>
    <w:p w14:paraId="44C557CE" w14:textId="16232A0B" w:rsidR="007C3A30" w:rsidRDefault="00A47905" w:rsidP="003D77AD">
      <w:pPr>
        <w:spacing w:after="0" w:line="240" w:lineRule="auto"/>
      </w:pPr>
      <w:r>
        <w:t xml:space="preserve">Revise Guideline Note </w:t>
      </w:r>
      <w:r w:rsidR="00250C7F">
        <w:t>10</w:t>
      </w:r>
      <w:r>
        <w:t xml:space="preserve">8 </w:t>
      </w:r>
      <w:r w:rsidR="00F665B2" w:rsidRPr="007620EA">
        <w:rPr>
          <w:rFonts w:cstheme="minorHAnsi"/>
          <w:bCs/>
        </w:rPr>
        <w:t>CONTINUOUS GLUCOSE MONITORING</w:t>
      </w:r>
      <w:r w:rsidR="00250C7F">
        <w:t xml:space="preserve"> </w:t>
      </w:r>
      <w:r>
        <w:t xml:space="preserve">to align with coverage guidance </w:t>
      </w:r>
      <w:r w:rsidR="00EC054B">
        <w:t xml:space="preserve">recommendation, as amended by the Value-based </w:t>
      </w:r>
      <w:r w:rsidR="00662CA9">
        <w:t>Benefits Subcommittee and</w:t>
      </w:r>
      <w:r w:rsidR="00EC054B">
        <w:t xml:space="preserve"> Health Evidence Review Commission </w:t>
      </w:r>
      <w:r w:rsidR="00662CA9">
        <w:t xml:space="preserve">on </w:t>
      </w:r>
      <w:r w:rsidR="00F665B2">
        <w:t>September 2</w:t>
      </w:r>
      <w:r w:rsidR="00662CA9">
        <w:t>8, 2023:</w:t>
      </w:r>
    </w:p>
    <w:p w14:paraId="56BBBC95" w14:textId="7B3E86B4" w:rsidR="00662CA9" w:rsidRDefault="00662CA9" w:rsidP="003D77AD">
      <w:pPr>
        <w:spacing w:after="0" w:line="240" w:lineRule="auto"/>
      </w:pPr>
    </w:p>
    <w:p w14:paraId="59552767" w14:textId="43777145" w:rsidR="00E366A5" w:rsidRPr="00E366A5" w:rsidRDefault="00E366A5" w:rsidP="00E366A5">
      <w:pPr>
        <w:spacing w:after="0" w:line="240" w:lineRule="auto"/>
        <w:rPr>
          <w:b/>
        </w:rPr>
      </w:pPr>
      <w:bookmarkStart w:id="0" w:name="_Hlk134121978"/>
      <w:r w:rsidRPr="00E366A5">
        <w:rPr>
          <w:b/>
        </w:rPr>
        <w:t xml:space="preserve">GUIDELINE NOTE </w:t>
      </w:r>
      <w:r w:rsidR="00B16A38">
        <w:rPr>
          <w:b/>
        </w:rPr>
        <w:t>10</w:t>
      </w:r>
      <w:r w:rsidRPr="00E366A5">
        <w:rPr>
          <w:b/>
        </w:rPr>
        <w:t xml:space="preserve">8, </w:t>
      </w:r>
      <w:r w:rsidR="009406E9" w:rsidRPr="007620EA">
        <w:rPr>
          <w:rStyle w:val="normaltextrun"/>
          <w:rFonts w:cstheme="minorHAnsi"/>
          <w:b/>
          <w:bCs/>
        </w:rPr>
        <w:t>CONTINUOUS GLUCOSE MONITORING</w:t>
      </w:r>
      <w:r w:rsidR="009406E9" w:rsidRPr="007620EA">
        <w:rPr>
          <w:rStyle w:val="eop"/>
          <w:rFonts w:cstheme="minorHAnsi"/>
        </w:rPr>
        <w:t> </w:t>
      </w:r>
    </w:p>
    <w:p w14:paraId="32D5851E" w14:textId="2680CFF3" w:rsidR="00E366A5" w:rsidRDefault="00E366A5" w:rsidP="00E366A5">
      <w:pPr>
        <w:spacing w:after="0" w:line="240" w:lineRule="auto"/>
        <w:rPr>
          <w:bCs/>
          <w:i/>
        </w:rPr>
      </w:pPr>
      <w:r w:rsidRPr="00E366A5">
        <w:rPr>
          <w:bCs/>
          <w:i/>
        </w:rPr>
        <w:t>Line</w:t>
      </w:r>
      <w:r w:rsidR="00E570A7">
        <w:rPr>
          <w:bCs/>
          <w:i/>
        </w:rPr>
        <w:t>s 1, 8, 27</w:t>
      </w:r>
      <w:r w:rsidR="00556708">
        <w:rPr>
          <w:bCs/>
          <w:i/>
        </w:rPr>
        <w:t>, 60</w:t>
      </w:r>
    </w:p>
    <w:p w14:paraId="704DC2DD" w14:textId="77777777" w:rsidR="00EF05F8" w:rsidRPr="00E366A5" w:rsidRDefault="00EF05F8" w:rsidP="00E366A5">
      <w:pPr>
        <w:spacing w:after="0" w:line="240" w:lineRule="auto"/>
        <w:rPr>
          <w:bCs/>
          <w:i/>
        </w:rPr>
      </w:pPr>
    </w:p>
    <w:bookmarkEnd w:id="0"/>
    <w:p w14:paraId="1BFB28EA" w14:textId="77777777" w:rsidR="00E43AC5" w:rsidRPr="007620EA" w:rsidRDefault="00E43AC5" w:rsidP="00E43A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>Real-time (personal) continuous glucose monitoring (CGM) is included on Line 8 for: </w:t>
      </w:r>
      <w:r w:rsidRPr="007620E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D5D51CF" w14:textId="77777777" w:rsidR="00E43AC5" w:rsidRPr="007620EA" w:rsidRDefault="00E43AC5" w:rsidP="00E43AC5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>Adults with type 1 diabetes mellitus not on insulin pump management:</w:t>
      </w:r>
      <w:r w:rsidRPr="007620E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0181989" w14:textId="77777777" w:rsidR="00E43AC5" w:rsidRPr="007620EA" w:rsidRDefault="00E43AC5" w:rsidP="00E43AC5">
      <w:pPr>
        <w:pStyle w:val="paragraph"/>
        <w:numPr>
          <w:ilvl w:val="0"/>
          <w:numId w:val="11"/>
        </w:numPr>
        <w:spacing w:before="0" w:beforeAutospacing="0" w:after="0" w:afterAutospacing="0"/>
        <w:ind w:left="144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 xml:space="preserve">Who have received or will receive diabetes education specific to the use of </w:t>
      </w:r>
      <w:proofErr w:type="gramStart"/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>CGM</w:t>
      </w:r>
      <w:proofErr w:type="gramEnd"/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47988478" w14:textId="77777777" w:rsidR="00E43AC5" w:rsidRPr="007620EA" w:rsidRDefault="00E43AC5" w:rsidP="00E43AC5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>AND</w:t>
      </w:r>
      <w:r w:rsidRPr="007620E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11ED86B" w14:textId="77777777" w:rsidR="00E43AC5" w:rsidRPr="007620EA" w:rsidRDefault="00E43AC5" w:rsidP="00E43AC5">
      <w:pPr>
        <w:pStyle w:val="paragraph"/>
        <w:numPr>
          <w:ilvl w:val="0"/>
          <w:numId w:val="12"/>
        </w:numPr>
        <w:spacing w:before="0" w:beforeAutospacing="0" w:after="0" w:afterAutospacing="0"/>
        <w:ind w:left="144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 xml:space="preserve">Who have used the device for at least 50% of the time at their first </w:t>
      </w:r>
      <w:proofErr w:type="gramStart"/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>follow-up</w:t>
      </w:r>
      <w:proofErr w:type="gramEnd"/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57615F21" w14:textId="77777777" w:rsidR="00E43AC5" w:rsidRPr="007620EA" w:rsidRDefault="00E43AC5" w:rsidP="00E43AC5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>visit AND </w:t>
      </w:r>
      <w:r w:rsidRPr="007620E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D8B6229" w14:textId="77777777" w:rsidR="00E43AC5" w:rsidRPr="007620EA" w:rsidRDefault="00E43AC5" w:rsidP="00E43AC5">
      <w:pPr>
        <w:pStyle w:val="paragraph"/>
        <w:numPr>
          <w:ilvl w:val="0"/>
          <w:numId w:val="13"/>
        </w:numPr>
        <w:spacing w:before="0" w:beforeAutospacing="0" w:after="0" w:afterAutospacing="0"/>
        <w:ind w:left="144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 xml:space="preserve">Who have baseline HbA1c levels greater than or equal to 8.0%, frequent or </w:t>
      </w:r>
    </w:p>
    <w:p w14:paraId="77418B51" w14:textId="77777777" w:rsidR="00E43AC5" w:rsidRPr="007620EA" w:rsidRDefault="00E43AC5" w:rsidP="00E43AC5">
      <w:pPr>
        <w:pStyle w:val="paragraph"/>
        <w:spacing w:before="0" w:beforeAutospacing="0" w:after="0" w:afterAutospacing="0"/>
        <w:ind w:left="2160"/>
        <w:textAlignment w:val="baseline"/>
        <w:rPr>
          <w:rFonts w:asciiTheme="minorHAnsi" w:hAnsiTheme="minorHAnsi" w:cstheme="minorHAnsi"/>
          <w:sz w:val="22"/>
          <w:szCs w:val="22"/>
        </w:rPr>
      </w:pPr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>severe hypoglycemia, or impaired awareness of hypoglycemia (including presence of these conditions prior to initiation of CGM).</w:t>
      </w:r>
      <w:r w:rsidRPr="007620E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88AAD1F" w14:textId="77777777" w:rsidR="00E43AC5" w:rsidRPr="007620EA" w:rsidRDefault="00E43AC5" w:rsidP="00E43AC5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>Adults with type 1 diabetes on insulin pump management (including the CGM-enabled insulin pump):</w:t>
      </w:r>
      <w:r w:rsidRPr="007620E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B203A21" w14:textId="77777777" w:rsidR="00E43AC5" w:rsidRPr="007620EA" w:rsidRDefault="00E43AC5" w:rsidP="00E43AC5">
      <w:pPr>
        <w:pStyle w:val="paragraph"/>
        <w:numPr>
          <w:ilvl w:val="0"/>
          <w:numId w:val="15"/>
        </w:numPr>
        <w:spacing w:before="0" w:beforeAutospacing="0" w:after="0" w:afterAutospacing="0"/>
        <w:ind w:left="144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 xml:space="preserve">Who have received or will receive diabetes education specific to the use of </w:t>
      </w:r>
      <w:proofErr w:type="gramStart"/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>CGM</w:t>
      </w:r>
      <w:proofErr w:type="gramEnd"/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4E62E2D9" w14:textId="77777777" w:rsidR="00E43AC5" w:rsidRPr="007620EA" w:rsidRDefault="00E43AC5" w:rsidP="00E43AC5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>AND</w:t>
      </w:r>
      <w:r w:rsidRPr="007620E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2A5772C" w14:textId="77777777" w:rsidR="00E43AC5" w:rsidRPr="007620EA" w:rsidRDefault="00E43AC5" w:rsidP="00E43AC5">
      <w:pPr>
        <w:pStyle w:val="paragraph"/>
        <w:numPr>
          <w:ilvl w:val="0"/>
          <w:numId w:val="16"/>
        </w:numPr>
        <w:spacing w:before="0" w:beforeAutospacing="0" w:after="0" w:afterAutospacing="0"/>
        <w:ind w:left="144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 xml:space="preserve">Who have used the device for at least 50% of the time at their first </w:t>
      </w:r>
      <w:proofErr w:type="gramStart"/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>follow-up</w:t>
      </w:r>
      <w:proofErr w:type="gramEnd"/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60D9B2BE" w14:textId="77777777" w:rsidR="00E43AC5" w:rsidRPr="007620EA" w:rsidRDefault="00E43AC5" w:rsidP="00E43AC5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>visit.</w:t>
      </w:r>
      <w:r w:rsidRPr="007620E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AAB021C" w14:textId="77777777" w:rsidR="00E43AC5" w:rsidRPr="007620EA" w:rsidRDefault="00E43AC5" w:rsidP="00E43AC5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 xml:space="preserve">Women with type 1 diabetes who are pregnant or who plan to become pregnant within </w:t>
      </w:r>
    </w:p>
    <w:p w14:paraId="2D7CB2E8" w14:textId="77777777" w:rsidR="00E43AC5" w:rsidRPr="007620EA" w:rsidRDefault="00E43AC5" w:rsidP="00E43AC5">
      <w:pPr>
        <w:pStyle w:val="paragraph"/>
        <w:spacing w:before="0" w:beforeAutospacing="0" w:after="0" w:afterAutospacing="0"/>
        <w:ind w:left="1080" w:firstLine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>six months without regard to HbA1c levels.</w:t>
      </w:r>
      <w:r w:rsidRPr="007620E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3E833BE" w14:textId="77777777" w:rsidR="00E43AC5" w:rsidRPr="007620EA" w:rsidRDefault="00E43AC5" w:rsidP="00E43AC5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>Children and adolescents under age 21 with type 1 diabetes:</w:t>
      </w:r>
      <w:r w:rsidRPr="007620E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E15C21D" w14:textId="77777777" w:rsidR="00E43AC5" w:rsidRPr="007620EA" w:rsidRDefault="00E43AC5" w:rsidP="00E43AC5">
      <w:pPr>
        <w:pStyle w:val="paragraph"/>
        <w:numPr>
          <w:ilvl w:val="0"/>
          <w:numId w:val="19"/>
        </w:numPr>
        <w:spacing w:before="0" w:beforeAutospacing="0" w:after="0" w:afterAutospacing="0"/>
        <w:ind w:left="144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 xml:space="preserve">Who have received or will receive diabetes education specific to the use of </w:t>
      </w:r>
      <w:proofErr w:type="gramStart"/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>CGM</w:t>
      </w:r>
      <w:proofErr w:type="gramEnd"/>
    </w:p>
    <w:p w14:paraId="43C48DF4" w14:textId="77777777" w:rsidR="00E43AC5" w:rsidRPr="00E43AC5" w:rsidRDefault="00E43AC5" w:rsidP="00E43AC5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>AND</w:t>
      </w:r>
      <w:r w:rsidRPr="007620E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686A50D" w14:textId="77777777" w:rsidR="00E43AC5" w:rsidRPr="00E43AC5" w:rsidRDefault="00E43AC5" w:rsidP="00E43AC5">
      <w:pPr>
        <w:pStyle w:val="paragraph"/>
        <w:numPr>
          <w:ilvl w:val="0"/>
          <w:numId w:val="20"/>
        </w:numPr>
        <w:spacing w:before="0" w:beforeAutospacing="0" w:after="0" w:afterAutospacing="0"/>
        <w:ind w:left="144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43AC5">
        <w:rPr>
          <w:rStyle w:val="normaltextrun"/>
          <w:rFonts w:asciiTheme="minorHAnsi" w:hAnsiTheme="minorHAnsi" w:cstheme="minorHAnsi"/>
          <w:sz w:val="22"/>
          <w:szCs w:val="22"/>
        </w:rPr>
        <w:t xml:space="preserve">Who have used the device for at least 50% of the time at their first </w:t>
      </w:r>
      <w:proofErr w:type="gramStart"/>
      <w:r w:rsidRPr="00E43AC5">
        <w:rPr>
          <w:rStyle w:val="normaltextrun"/>
          <w:rFonts w:asciiTheme="minorHAnsi" w:hAnsiTheme="minorHAnsi" w:cstheme="minorHAnsi"/>
          <w:sz w:val="22"/>
          <w:szCs w:val="22"/>
        </w:rPr>
        <w:t>follow-up</w:t>
      </w:r>
      <w:proofErr w:type="gramEnd"/>
      <w:r w:rsidRPr="00E43AC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5676D4A3" w14:textId="77777777" w:rsidR="00E43AC5" w:rsidRPr="00E43AC5" w:rsidRDefault="00E43AC5" w:rsidP="00E43AC5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E43AC5">
        <w:rPr>
          <w:rStyle w:val="normaltextrun"/>
          <w:rFonts w:asciiTheme="minorHAnsi" w:hAnsiTheme="minorHAnsi" w:cstheme="minorHAnsi"/>
          <w:sz w:val="22"/>
          <w:szCs w:val="22"/>
        </w:rPr>
        <w:t>visit</w:t>
      </w:r>
      <w:r w:rsidRPr="00E43AC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7C86727" w14:textId="77777777" w:rsidR="00E43AC5" w:rsidRPr="00E43AC5" w:rsidRDefault="00E43AC5" w:rsidP="00E43AC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43AC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E2A1943" w14:textId="77777777" w:rsidR="00E43AC5" w:rsidRPr="00E43AC5" w:rsidRDefault="00E43AC5" w:rsidP="00E43AC5">
      <w:pPr>
        <w:rPr>
          <w:rFonts w:cstheme="minorHAnsi"/>
        </w:rPr>
      </w:pPr>
      <w:r w:rsidRPr="00E43AC5">
        <w:rPr>
          <w:rFonts w:cstheme="minorHAnsi"/>
        </w:rPr>
        <w:t xml:space="preserve">Therapeutic continuous glucose monitors are included on Lines 1 and 27 for individuals with type 2 diabetes or gestational diabetes who use short- or intermediate-acting insulin injections when </w:t>
      </w:r>
      <w:proofErr w:type="gramStart"/>
      <w:r w:rsidRPr="00E43AC5">
        <w:rPr>
          <w:rFonts w:cstheme="minorHAnsi"/>
        </w:rPr>
        <w:t>ALL of</w:t>
      </w:r>
      <w:proofErr w:type="gramEnd"/>
      <w:r w:rsidRPr="00E43AC5">
        <w:rPr>
          <w:rFonts w:cstheme="minorHAnsi"/>
        </w:rPr>
        <w:t xml:space="preserve"> the following criteria are met:</w:t>
      </w:r>
    </w:p>
    <w:p w14:paraId="4017EDDD" w14:textId="47C02C54" w:rsidR="00E43AC5" w:rsidRPr="00E43AC5" w:rsidRDefault="00E43AC5" w:rsidP="00E43AC5">
      <w:pPr>
        <w:numPr>
          <w:ilvl w:val="0"/>
          <w:numId w:val="21"/>
        </w:numPr>
        <w:spacing w:after="0" w:line="240" w:lineRule="auto"/>
        <w:ind w:left="720"/>
        <w:rPr>
          <w:rFonts w:cstheme="minorHAnsi"/>
        </w:rPr>
      </w:pPr>
      <w:r w:rsidRPr="00E43AC5">
        <w:rPr>
          <w:rFonts w:cstheme="minorHAnsi"/>
        </w:rPr>
        <w:t>Have received or will receive diabetes education specific to the use of CGM,</w:t>
      </w:r>
      <w:r w:rsidR="006703D3">
        <w:rPr>
          <w:rFonts w:cstheme="minorHAnsi"/>
        </w:rPr>
        <w:t xml:space="preserve"> AND</w:t>
      </w:r>
    </w:p>
    <w:p w14:paraId="710D1EE9" w14:textId="64D87534" w:rsidR="00E43AC5" w:rsidRPr="00E43AC5" w:rsidRDefault="00E43AC5" w:rsidP="00E43AC5">
      <w:pPr>
        <w:numPr>
          <w:ilvl w:val="0"/>
          <w:numId w:val="21"/>
        </w:numPr>
        <w:spacing w:after="0" w:line="240" w:lineRule="auto"/>
        <w:ind w:left="720"/>
        <w:rPr>
          <w:rFonts w:cstheme="minorHAnsi"/>
        </w:rPr>
      </w:pPr>
      <w:r w:rsidRPr="00E43AC5">
        <w:rPr>
          <w:rFonts w:cstheme="minorHAnsi"/>
        </w:rPr>
        <w:t>Have used the device for at least 50% of the time for a 90-day period by their first follow-up visit (within 3-6 months),</w:t>
      </w:r>
      <w:r w:rsidR="006703D3">
        <w:rPr>
          <w:rFonts w:cstheme="minorHAnsi"/>
        </w:rPr>
        <w:t xml:space="preserve"> AND</w:t>
      </w:r>
    </w:p>
    <w:p w14:paraId="1F67B281" w14:textId="77777777" w:rsidR="00E43AC5" w:rsidRPr="00E43AC5" w:rsidRDefault="00E43AC5" w:rsidP="00E43AC5">
      <w:pPr>
        <w:numPr>
          <w:ilvl w:val="0"/>
          <w:numId w:val="21"/>
        </w:numPr>
        <w:spacing w:after="0" w:line="240" w:lineRule="auto"/>
        <w:ind w:left="720"/>
        <w:rPr>
          <w:rFonts w:cstheme="minorHAnsi"/>
        </w:rPr>
      </w:pPr>
      <w:r w:rsidRPr="00E43AC5">
        <w:rPr>
          <w:rFonts w:cstheme="minorHAnsi"/>
        </w:rPr>
        <w:t>Have one of the following at the time of CGM therapy initiation:</w:t>
      </w:r>
    </w:p>
    <w:p w14:paraId="6837BB07" w14:textId="5B458B1F" w:rsidR="00E43AC5" w:rsidRPr="00E43AC5" w:rsidRDefault="00E43AC5" w:rsidP="00E43AC5">
      <w:pPr>
        <w:pStyle w:val="ListParagraph"/>
        <w:numPr>
          <w:ilvl w:val="1"/>
          <w:numId w:val="21"/>
        </w:numPr>
        <w:spacing w:after="0" w:line="240" w:lineRule="auto"/>
        <w:ind w:left="1440"/>
        <w:rPr>
          <w:rFonts w:cstheme="minorHAnsi"/>
        </w:rPr>
      </w:pPr>
      <w:r w:rsidRPr="00E43AC5">
        <w:rPr>
          <w:rFonts w:cstheme="minorHAnsi"/>
        </w:rPr>
        <w:t>Baseline HbA1c levels greater than or equal to 8.0%,</w:t>
      </w:r>
      <w:r w:rsidR="006703D3">
        <w:rPr>
          <w:rFonts w:cstheme="minorHAnsi"/>
        </w:rPr>
        <w:t xml:space="preserve"> OR</w:t>
      </w:r>
    </w:p>
    <w:p w14:paraId="3D0EF647" w14:textId="6FBA6220" w:rsidR="00E43AC5" w:rsidRPr="00E43AC5" w:rsidRDefault="00E43AC5" w:rsidP="00E43AC5">
      <w:pPr>
        <w:numPr>
          <w:ilvl w:val="1"/>
          <w:numId w:val="21"/>
        </w:numPr>
        <w:spacing w:after="0" w:line="240" w:lineRule="auto"/>
        <w:ind w:left="1440"/>
        <w:rPr>
          <w:rFonts w:cstheme="minorHAnsi"/>
        </w:rPr>
      </w:pPr>
      <w:r w:rsidRPr="00E43AC5">
        <w:rPr>
          <w:rFonts w:cstheme="minorHAnsi"/>
        </w:rPr>
        <w:t>Frequent or severe hypoglycemia,</w:t>
      </w:r>
      <w:r w:rsidR="006703D3">
        <w:rPr>
          <w:rFonts w:cstheme="minorHAnsi"/>
        </w:rPr>
        <w:t xml:space="preserve"> OR</w:t>
      </w:r>
    </w:p>
    <w:p w14:paraId="020AC981" w14:textId="2750922E" w:rsidR="00E43AC5" w:rsidRPr="00E43AC5" w:rsidRDefault="00E43AC5" w:rsidP="00E43AC5">
      <w:pPr>
        <w:numPr>
          <w:ilvl w:val="1"/>
          <w:numId w:val="21"/>
        </w:numPr>
        <w:spacing w:after="0" w:line="240" w:lineRule="auto"/>
        <w:ind w:left="1440"/>
        <w:rPr>
          <w:rFonts w:cstheme="minorHAnsi"/>
        </w:rPr>
      </w:pPr>
      <w:r w:rsidRPr="00E43AC5">
        <w:rPr>
          <w:rFonts w:cstheme="minorHAnsi"/>
        </w:rPr>
        <w:t>Impaired awareness of hypoglycemia (including presence of these conditions prior to initiation of CGM),</w:t>
      </w:r>
      <w:r w:rsidR="006703D3">
        <w:rPr>
          <w:rFonts w:cstheme="minorHAnsi"/>
        </w:rPr>
        <w:t xml:space="preserve"> OR</w:t>
      </w:r>
    </w:p>
    <w:p w14:paraId="3DCF7F88" w14:textId="04F3FFD6" w:rsidR="00E43AC5" w:rsidRDefault="00E43AC5" w:rsidP="000C6301">
      <w:pPr>
        <w:numPr>
          <w:ilvl w:val="1"/>
          <w:numId w:val="21"/>
        </w:numPr>
        <w:spacing w:after="0" w:line="240" w:lineRule="auto"/>
        <w:ind w:left="1440"/>
        <w:rPr>
          <w:rFonts w:cstheme="minorHAnsi"/>
        </w:rPr>
      </w:pPr>
      <w:r w:rsidRPr="00E43AC5">
        <w:rPr>
          <w:rFonts w:cstheme="minorHAnsi"/>
        </w:rPr>
        <w:t>Diabetes-related complications (for instance, peripheral neuropathy, end-organ damage)</w:t>
      </w:r>
    </w:p>
    <w:p w14:paraId="1FAA63CD" w14:textId="77777777" w:rsidR="000C6301" w:rsidRPr="000C6301" w:rsidRDefault="000C6301" w:rsidP="000C6301">
      <w:pPr>
        <w:spacing w:after="0" w:line="240" w:lineRule="auto"/>
        <w:ind w:left="1440"/>
        <w:rPr>
          <w:rFonts w:cstheme="minorHAnsi"/>
        </w:rPr>
      </w:pPr>
    </w:p>
    <w:p w14:paraId="5C5C5BB2" w14:textId="5904C0C2" w:rsidR="00E43AC5" w:rsidRDefault="00E43AC5" w:rsidP="00E43A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E43AC5">
        <w:rPr>
          <w:rFonts w:asciiTheme="minorHAnsi" w:hAnsiTheme="minorHAnsi" w:cstheme="minorHAnsi"/>
          <w:sz w:val="22"/>
          <w:szCs w:val="22"/>
        </w:rPr>
        <w:t xml:space="preserve">Every 6 months following the initial prescription for CGM, the prescriber must conduct an in-person or telehealth visit with the member to document adherence to their CGM regimen to ensure that CGM is used for diabetes treatment planning. </w:t>
      </w:r>
    </w:p>
    <w:p w14:paraId="2663A859" w14:textId="77777777" w:rsidR="006703D3" w:rsidRPr="00E43AC5" w:rsidRDefault="006703D3" w:rsidP="00E43A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E36ACF4" w14:textId="77777777" w:rsidR="00E43AC5" w:rsidRPr="00E43AC5" w:rsidRDefault="00E43AC5" w:rsidP="00E43A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E43AC5">
        <w:rPr>
          <w:rFonts w:asciiTheme="minorHAnsi" w:hAnsiTheme="minorHAnsi" w:cstheme="minorHAnsi"/>
          <w:sz w:val="22"/>
          <w:szCs w:val="22"/>
        </w:rPr>
        <w:t>Two trials per year of CGM are allowed to meet adherence for continuation of coverage.</w:t>
      </w:r>
    </w:p>
    <w:p w14:paraId="7295FF0E" w14:textId="77777777" w:rsidR="00E43AC5" w:rsidRPr="007620EA" w:rsidRDefault="00E43AC5" w:rsidP="00E43A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895E2"/>
          <w:sz w:val="22"/>
          <w:szCs w:val="22"/>
        </w:rPr>
      </w:pPr>
    </w:p>
    <w:p w14:paraId="24585654" w14:textId="0356F557" w:rsidR="00E43AC5" w:rsidRPr="006703D3" w:rsidRDefault="00E43AC5" w:rsidP="006703D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 xml:space="preserve">CPT 95250 and 95251 (Ambulatory continuous glucose monitoring) are </w:t>
      </w:r>
      <w:r w:rsidRPr="006703D3">
        <w:rPr>
          <w:rStyle w:val="normaltextrun"/>
          <w:rFonts w:asciiTheme="minorHAnsi" w:hAnsiTheme="minorHAnsi" w:cstheme="minorHAnsi"/>
          <w:sz w:val="22"/>
          <w:szCs w:val="22"/>
        </w:rPr>
        <w:t xml:space="preserve">included on </w:t>
      </w:r>
      <w:r w:rsidR="006703D3" w:rsidRPr="006703D3">
        <w:rPr>
          <w:rStyle w:val="normaltextrun"/>
          <w:rFonts w:asciiTheme="minorHAnsi" w:hAnsiTheme="minorHAnsi" w:cstheme="minorHAnsi"/>
          <w:sz w:val="22"/>
          <w:szCs w:val="22"/>
        </w:rPr>
        <w:t>these</w:t>
      </w:r>
      <w:r w:rsidRPr="006703D3">
        <w:rPr>
          <w:rStyle w:val="normaltextrun"/>
          <w:rFonts w:asciiTheme="minorHAnsi" w:hAnsiTheme="minorHAnsi" w:cstheme="minorHAnsi"/>
          <w:sz w:val="22"/>
          <w:szCs w:val="22"/>
        </w:rPr>
        <w:t xml:space="preserve"> lines for </w:t>
      </w:r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>services related to real-time continuous glucose monitoring but not retrospective (professional) continuous glucose monitoring.</w:t>
      </w:r>
      <w:r w:rsidRPr="007620E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BF49ACC" w14:textId="77777777" w:rsidR="00E43AC5" w:rsidRPr="007620EA" w:rsidRDefault="00E43AC5" w:rsidP="00E43A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620E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1E36C7D" w14:textId="77777777" w:rsidR="00E43AC5" w:rsidRPr="007620EA" w:rsidRDefault="00E43AC5" w:rsidP="00E43A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 xml:space="preserve">The development of this guideline note was informed by a HERC </w:t>
      </w:r>
      <w:hyperlink r:id="rId5" w:tgtFrame="_blank" w:history="1">
        <w:r w:rsidRPr="007620EA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u w:val="single"/>
          </w:rPr>
          <w:t>coverage guidance</w:t>
        </w:r>
      </w:hyperlink>
      <w:r w:rsidRPr="007620EA">
        <w:rPr>
          <w:rStyle w:val="normaltextrun"/>
          <w:rFonts w:asciiTheme="minorHAnsi" w:hAnsiTheme="minorHAnsi" w:cstheme="minorHAnsi"/>
          <w:sz w:val="22"/>
          <w:szCs w:val="22"/>
        </w:rPr>
        <w:t xml:space="preserve">. See </w:t>
      </w:r>
      <w:hyperlink r:id="rId6" w:tgtFrame="_blank" w:history="1">
        <w:r w:rsidRPr="007620EA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u w:val="single"/>
          </w:rPr>
          <w:t>https://www.oregon.gov/oha/HPA/DSI-HERC/Pages/Evidence-based-Reports.aspx</w:t>
        </w:r>
      </w:hyperlink>
      <w:r w:rsidRPr="007620EA">
        <w:rPr>
          <w:rStyle w:val="normaltextrun"/>
          <w:rFonts w:asciiTheme="minorHAnsi" w:hAnsiTheme="minorHAnsi" w:cstheme="minorHAnsi"/>
          <w:color w:val="0000FF"/>
          <w:sz w:val="22"/>
          <w:szCs w:val="22"/>
          <w:u w:val="single"/>
        </w:rPr>
        <w:t>.</w:t>
      </w:r>
      <w:r w:rsidRPr="007620EA">
        <w:rPr>
          <w:rStyle w:val="eop"/>
          <w:rFonts w:asciiTheme="minorHAnsi" w:hAnsiTheme="minorHAnsi" w:cstheme="minorHAnsi"/>
          <w:color w:val="0000FF"/>
          <w:sz w:val="22"/>
          <w:szCs w:val="22"/>
        </w:rPr>
        <w:t> </w:t>
      </w:r>
    </w:p>
    <w:p w14:paraId="2CC5ABF0" w14:textId="77777777" w:rsidR="00E43AC5" w:rsidRPr="007620EA" w:rsidRDefault="00E43AC5" w:rsidP="00E43AC5">
      <w:pPr>
        <w:ind w:left="1080"/>
        <w:rPr>
          <w:rFonts w:cstheme="minorHAnsi"/>
          <w:strike/>
          <w:color w:val="FF0000"/>
        </w:rPr>
      </w:pPr>
    </w:p>
    <w:p w14:paraId="36006244" w14:textId="489D13D3" w:rsidR="007C3A30" w:rsidRPr="008C762A" w:rsidRDefault="007C3A30" w:rsidP="00E43AC5">
      <w:pPr>
        <w:spacing w:after="0" w:line="240" w:lineRule="auto"/>
      </w:pPr>
    </w:p>
    <w:sectPr w:rsidR="007C3A30" w:rsidRPr="008C7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4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D03149"/>
    <w:multiLevelType w:val="hybridMultilevel"/>
    <w:tmpl w:val="923476D6"/>
    <w:lvl w:ilvl="0" w:tplc="DB04A3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A529F"/>
    <w:multiLevelType w:val="hybridMultilevel"/>
    <w:tmpl w:val="27EE4AA8"/>
    <w:lvl w:ilvl="0" w:tplc="A3DA5B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C7B04"/>
    <w:multiLevelType w:val="multilevel"/>
    <w:tmpl w:val="517682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D6757"/>
    <w:multiLevelType w:val="hybridMultilevel"/>
    <w:tmpl w:val="6CC43458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610451E8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296F22"/>
    <w:multiLevelType w:val="multilevel"/>
    <w:tmpl w:val="7280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033287"/>
    <w:multiLevelType w:val="hybridMultilevel"/>
    <w:tmpl w:val="D3E0E4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97D94"/>
    <w:multiLevelType w:val="multilevel"/>
    <w:tmpl w:val="FA96E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4B328A"/>
    <w:multiLevelType w:val="multilevel"/>
    <w:tmpl w:val="10A83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792030"/>
    <w:multiLevelType w:val="multilevel"/>
    <w:tmpl w:val="068EEF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01730"/>
    <w:multiLevelType w:val="multilevel"/>
    <w:tmpl w:val="70BA2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AC61EC"/>
    <w:multiLevelType w:val="multilevel"/>
    <w:tmpl w:val="BF20ACA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2F213F"/>
    <w:multiLevelType w:val="multilevel"/>
    <w:tmpl w:val="2DBCF3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0546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20C5B44"/>
    <w:multiLevelType w:val="hybridMultilevel"/>
    <w:tmpl w:val="E4067EC8"/>
    <w:lvl w:ilvl="0" w:tplc="078031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7">
      <w:start w:val="1"/>
      <w:numFmt w:val="lowerLetter"/>
      <w:lvlText w:val="%3)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8B4FAD"/>
    <w:multiLevelType w:val="multilevel"/>
    <w:tmpl w:val="E32A69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F2178E"/>
    <w:multiLevelType w:val="multilevel"/>
    <w:tmpl w:val="AF5031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582F4C"/>
    <w:multiLevelType w:val="hybridMultilevel"/>
    <w:tmpl w:val="97F288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A6EC3"/>
    <w:multiLevelType w:val="hybridMultilevel"/>
    <w:tmpl w:val="77D6B5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32508"/>
    <w:multiLevelType w:val="multilevel"/>
    <w:tmpl w:val="C94AD79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F40B27"/>
    <w:multiLevelType w:val="multilevel"/>
    <w:tmpl w:val="70863B9E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8"/>
        <w:szCs w:val="24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913738470">
    <w:abstractNumId w:val="18"/>
  </w:num>
  <w:num w:numId="2" w16cid:durableId="1070352054">
    <w:abstractNumId w:val="17"/>
  </w:num>
  <w:num w:numId="3" w16cid:durableId="1315766964">
    <w:abstractNumId w:val="1"/>
  </w:num>
  <w:num w:numId="4" w16cid:durableId="2085059173">
    <w:abstractNumId w:val="2"/>
  </w:num>
  <w:num w:numId="5" w16cid:durableId="1246458193">
    <w:abstractNumId w:val="14"/>
  </w:num>
  <w:num w:numId="6" w16cid:durableId="378675757">
    <w:abstractNumId w:val="0"/>
  </w:num>
  <w:num w:numId="7" w16cid:durableId="1717116755">
    <w:abstractNumId w:val="20"/>
  </w:num>
  <w:num w:numId="8" w16cid:durableId="1227570672">
    <w:abstractNumId w:val="6"/>
  </w:num>
  <w:num w:numId="9" w16cid:durableId="1873615094">
    <w:abstractNumId w:val="13"/>
  </w:num>
  <w:num w:numId="10" w16cid:durableId="69816214">
    <w:abstractNumId w:val="11"/>
  </w:num>
  <w:num w:numId="11" w16cid:durableId="72628711">
    <w:abstractNumId w:val="7"/>
  </w:num>
  <w:num w:numId="12" w16cid:durableId="157382306">
    <w:abstractNumId w:val="16"/>
  </w:num>
  <w:num w:numId="13" w16cid:durableId="101193498">
    <w:abstractNumId w:val="12"/>
  </w:num>
  <w:num w:numId="14" w16cid:durableId="1839156991">
    <w:abstractNumId w:val="9"/>
  </w:num>
  <w:num w:numId="15" w16cid:durableId="1577665719">
    <w:abstractNumId w:val="8"/>
  </w:num>
  <w:num w:numId="16" w16cid:durableId="1759788203">
    <w:abstractNumId w:val="3"/>
  </w:num>
  <w:num w:numId="17" w16cid:durableId="924804566">
    <w:abstractNumId w:val="15"/>
  </w:num>
  <w:num w:numId="18" w16cid:durableId="2125149170">
    <w:abstractNumId w:val="19"/>
  </w:num>
  <w:num w:numId="19" w16cid:durableId="111442583">
    <w:abstractNumId w:val="5"/>
  </w:num>
  <w:num w:numId="20" w16cid:durableId="1078937659">
    <w:abstractNumId w:val="10"/>
  </w:num>
  <w:num w:numId="21" w16cid:durableId="981084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D8"/>
    <w:rsid w:val="000A1E4D"/>
    <w:rsid w:val="000A4AA9"/>
    <w:rsid w:val="000B4668"/>
    <w:rsid w:val="000C6301"/>
    <w:rsid w:val="00135607"/>
    <w:rsid w:val="001F4945"/>
    <w:rsid w:val="00245109"/>
    <w:rsid w:val="00250C7F"/>
    <w:rsid w:val="00257278"/>
    <w:rsid w:val="003001D1"/>
    <w:rsid w:val="00310F8A"/>
    <w:rsid w:val="00354303"/>
    <w:rsid w:val="00360733"/>
    <w:rsid w:val="003657ED"/>
    <w:rsid w:val="003D77AD"/>
    <w:rsid w:val="0048502C"/>
    <w:rsid w:val="004D480E"/>
    <w:rsid w:val="00526F21"/>
    <w:rsid w:val="00541F30"/>
    <w:rsid w:val="005557AF"/>
    <w:rsid w:val="00556708"/>
    <w:rsid w:val="005F1BA7"/>
    <w:rsid w:val="006136B7"/>
    <w:rsid w:val="00662CA9"/>
    <w:rsid w:val="006703D3"/>
    <w:rsid w:val="006A5ED8"/>
    <w:rsid w:val="006B4DCA"/>
    <w:rsid w:val="006F2EBA"/>
    <w:rsid w:val="006F7D79"/>
    <w:rsid w:val="007019D8"/>
    <w:rsid w:val="0074392F"/>
    <w:rsid w:val="00746D14"/>
    <w:rsid w:val="00763BC3"/>
    <w:rsid w:val="007C3A30"/>
    <w:rsid w:val="007D36B8"/>
    <w:rsid w:val="007D42FD"/>
    <w:rsid w:val="007D4F34"/>
    <w:rsid w:val="007E2CB5"/>
    <w:rsid w:val="008B0549"/>
    <w:rsid w:val="008C762A"/>
    <w:rsid w:val="008E0409"/>
    <w:rsid w:val="00900E7A"/>
    <w:rsid w:val="009240F0"/>
    <w:rsid w:val="009406E9"/>
    <w:rsid w:val="00970ACF"/>
    <w:rsid w:val="00A027F1"/>
    <w:rsid w:val="00A16C5F"/>
    <w:rsid w:val="00A24F69"/>
    <w:rsid w:val="00A47905"/>
    <w:rsid w:val="00A93599"/>
    <w:rsid w:val="00AE3369"/>
    <w:rsid w:val="00AF6B93"/>
    <w:rsid w:val="00B13CA0"/>
    <w:rsid w:val="00B16A38"/>
    <w:rsid w:val="00BF2D86"/>
    <w:rsid w:val="00C366EA"/>
    <w:rsid w:val="00C42CD1"/>
    <w:rsid w:val="00C748C6"/>
    <w:rsid w:val="00C87D5B"/>
    <w:rsid w:val="00CF6F97"/>
    <w:rsid w:val="00D41D20"/>
    <w:rsid w:val="00D706AC"/>
    <w:rsid w:val="00DE0D87"/>
    <w:rsid w:val="00DF1D95"/>
    <w:rsid w:val="00DF69CF"/>
    <w:rsid w:val="00E300BA"/>
    <w:rsid w:val="00E366A5"/>
    <w:rsid w:val="00E43AC5"/>
    <w:rsid w:val="00E533B0"/>
    <w:rsid w:val="00E570A7"/>
    <w:rsid w:val="00E7092D"/>
    <w:rsid w:val="00E80741"/>
    <w:rsid w:val="00EC054B"/>
    <w:rsid w:val="00EE4EC0"/>
    <w:rsid w:val="00EF05F8"/>
    <w:rsid w:val="00F665B2"/>
    <w:rsid w:val="00F813C3"/>
    <w:rsid w:val="00FB1C24"/>
    <w:rsid w:val="00FC3DA7"/>
    <w:rsid w:val="00FD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C6EB"/>
  <w15:chartTrackingRefBased/>
  <w15:docId w15:val="{C4FA97E1-C8C7-4451-A937-4A5D3D0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ED8"/>
    <w:pPr>
      <w:ind w:left="720"/>
      <w:contextualSpacing/>
    </w:pPr>
  </w:style>
  <w:style w:type="paragraph" w:customStyle="1" w:styleId="CGBoxText">
    <w:name w:val="CG Box Text"/>
    <w:basedOn w:val="Normal"/>
    <w:link w:val="CGBoxTextChar"/>
    <w:uiPriority w:val="2"/>
    <w:qFormat/>
    <w:rsid w:val="007C3A30"/>
    <w:pPr>
      <w:spacing w:after="80" w:line="240" w:lineRule="auto"/>
    </w:pPr>
    <w:rPr>
      <w:rFonts w:ascii="Calibri" w:eastAsia="Calibri" w:hAnsi="Calibri" w:cs="Arial"/>
      <w:color w:val="244061"/>
      <w:szCs w:val="24"/>
    </w:rPr>
  </w:style>
  <w:style w:type="character" w:customStyle="1" w:styleId="CGBoxTextChar">
    <w:name w:val="CG Box Text Char"/>
    <w:link w:val="CGBoxText"/>
    <w:uiPriority w:val="2"/>
    <w:rsid w:val="007C3A30"/>
    <w:rPr>
      <w:rFonts w:ascii="Calibri" w:eastAsia="Calibri" w:hAnsi="Calibri" w:cs="Arial"/>
      <w:color w:val="24406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00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SCNormal">
    <w:name w:val="HSC Normal"/>
    <w:link w:val="HSCNormalChar"/>
    <w:qFormat/>
    <w:rsid w:val="00900E7A"/>
    <w:pPr>
      <w:suppressAutoHyphens/>
      <w:spacing w:after="0" w:line="240" w:lineRule="auto"/>
    </w:pPr>
    <w:rPr>
      <w:rFonts w:ascii="Arial" w:eastAsia="Times New Roman" w:hAnsi="Arial" w:cs="Courier New"/>
      <w:sz w:val="16"/>
      <w:szCs w:val="24"/>
    </w:rPr>
  </w:style>
  <w:style w:type="character" w:customStyle="1" w:styleId="HSCNormalChar">
    <w:name w:val="HSC Normal Char"/>
    <w:basedOn w:val="DefaultParagraphFont"/>
    <w:link w:val="HSCNormal"/>
    <w:rsid w:val="00900E7A"/>
    <w:rPr>
      <w:rFonts w:ascii="Arial" w:eastAsia="Times New Roman" w:hAnsi="Arial" w:cs="Courier New"/>
      <w:sz w:val="16"/>
      <w:szCs w:val="24"/>
    </w:rPr>
  </w:style>
  <w:style w:type="paragraph" w:customStyle="1" w:styleId="HSCGLLineList">
    <w:name w:val="HSC GL LineList"/>
    <w:basedOn w:val="Normal"/>
    <w:next w:val="HSCNormal"/>
    <w:qFormat/>
    <w:rsid w:val="00900E7A"/>
    <w:pPr>
      <w:keepNext/>
      <w:keepLines/>
      <w:suppressAutoHyphens/>
      <w:spacing w:after="100" w:line="240" w:lineRule="auto"/>
      <w:ind w:left="360"/>
    </w:pPr>
    <w:rPr>
      <w:rFonts w:ascii="Arial" w:eastAsia="Times New Roman" w:hAnsi="Arial" w:cs="Times New Roman"/>
      <w:bCs/>
      <w:i/>
      <w:sz w:val="16"/>
      <w:szCs w:val="20"/>
    </w:rPr>
  </w:style>
  <w:style w:type="character" w:styleId="PageNumber">
    <w:name w:val="page number"/>
    <w:basedOn w:val="DefaultParagraphFont"/>
    <w:rsid w:val="00900E7A"/>
  </w:style>
  <w:style w:type="table" w:styleId="TableGrid">
    <w:name w:val="Table Grid"/>
    <w:basedOn w:val="TableNormal"/>
    <w:rsid w:val="00900E7A"/>
    <w:pPr>
      <w:spacing w:after="0" w:line="240" w:lineRule="auto"/>
    </w:pPr>
    <w:rPr>
      <w:rFonts w:ascii="Arial" w:hAnsi="Arial" w:cs="Arial"/>
      <w:sz w:val="16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533B0"/>
  </w:style>
  <w:style w:type="character" w:customStyle="1" w:styleId="eop">
    <w:name w:val="eop"/>
    <w:basedOn w:val="DefaultParagraphFont"/>
    <w:rsid w:val="00E533B0"/>
  </w:style>
  <w:style w:type="paragraph" w:customStyle="1" w:styleId="paragraph">
    <w:name w:val="paragraph"/>
    <w:basedOn w:val="Normal"/>
    <w:rsid w:val="00E4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gon.gov/oha/HPA/DSI-HERC/Pages/Evidence-based-Reports.aspx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oregon.gov/oha/HPA/DSI-HERC/EvidenceBasedReports/CG-CGM-DM-2017.pdf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CA3801207F04AADEBA374DF431807" ma:contentTypeVersion="24" ma:contentTypeDescription="Create a new document." ma:contentTypeScope="" ma:versionID="3e7d25dbd82acb47f945899b3231fe1d">
  <xsd:schema xmlns:xsd="http://www.w3.org/2001/XMLSchema" xmlns:xs="http://www.w3.org/2001/XMLSchema" xmlns:p="http://schemas.microsoft.com/office/2006/metadata/properties" xmlns:ns1="http://schemas.microsoft.com/sharepoint/v3" xmlns:ns2="d7642df7-a9d3-4b62-8293-79467a4eb5af" xmlns:ns3="59da1016-2a1b-4f8a-9768-d7a4932f6f16" targetNamespace="http://schemas.microsoft.com/office/2006/metadata/properties" ma:root="true" ma:fieldsID="0795b1b0da8ee728cd82060efcd3badd" ns1:_="" ns2:_="" ns3:_="">
    <xsd:import namespace="http://schemas.microsoft.com/sharepoint/v3"/>
    <xsd:import namespace="d7642df7-a9d3-4b62-8293-79467a4eb5af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tatus" minOccurs="0"/>
                <xsd:element ref="ns2:PostedDate" minOccurs="0"/>
                <xsd:element ref="ns2:PublicCommentStarts" minOccurs="0"/>
                <xsd:element ref="ns2:PublicCommentEnds" minOccurs="0"/>
                <xsd:element ref="ns2:Topic" minOccurs="0"/>
                <xsd:element ref="ns2:Visible" minOccurs="0"/>
                <xsd:element ref="ns2:InForceStart" minOccurs="0"/>
                <xsd:element ref="ns2:InForceEnd" minOccurs="0"/>
                <xsd:element ref="ns3:IACategory" minOccurs="0"/>
                <xsd:element ref="ns3:IATopic" minOccurs="0"/>
                <xsd:element ref="ns3:IASubtopic" minOccurs="0"/>
                <xsd:element ref="ns2:Meta_x0020_Description" minOccurs="0"/>
                <xsd:element ref="ns2:Meta_x0020_Keywords" minOccurs="0"/>
                <xsd:element ref="ns3:DocumentExpirationDate" minOccurs="0"/>
                <xsd:element ref="ns1:URL" minOccurs="0"/>
                <xsd:element ref="ns2:Topic_x003a_Date_x0020_Approved" minOccurs="0"/>
                <xsd:element ref="ns2:Filename" minOccurs="0"/>
                <xsd:element ref="ns2:UpdateWF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21" nillable="true" ma:displayName="Documents" ma:description="*read only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42df7-a9d3-4b62-8293-79467a4eb5af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description="Type of document (e.g. Covg Guidance)&#10;Put PCDs in the Public Comments Library!" ma:format="Dropdown" ma:internalName="Category" ma:readOnly="false">
      <xsd:simpleType>
        <xsd:restriction base="dms:Choice">
          <xsd:enumeration value="Coverage Guidance"/>
          <xsd:enumeration value="Evidence-based report"/>
          <xsd:enumeration value="Multi-Sector Interventions Report"/>
          <xsd:enumeration value="Prioritization Changes"/>
          <xsd:enumeration value="Rescanning Summary"/>
          <xsd:enumeration value="Scope Statement"/>
        </xsd:restriction>
      </xsd:simpleType>
    </xsd:element>
    <xsd:element name="Status" ma:index="3" nillable="true" ma:displayName="Status" ma:format="Dropdown" ma:internalName="Status" ma:readOnly="false">
      <xsd:simpleType>
        <xsd:restriction base="dms:Choice">
          <xsd:enumeration value="Draft"/>
          <xsd:enumeration value="Approved"/>
          <xsd:enumeration value="Superseded"/>
          <xsd:enumeration value="Rescinded"/>
        </xsd:restriction>
      </xsd:simpleType>
    </xsd:element>
    <xsd:element name="PostedDate" ma:index="4" nillable="true" ma:displayName="Last Reviewed" ma:default="[today]" ma:description="Date approved by HERC" ma:format="DateOnly" ma:internalName="PostedDate" ma:readOnly="false">
      <xsd:simpleType>
        <xsd:restriction base="dms:DateTime"/>
      </xsd:simpleType>
    </xsd:element>
    <xsd:element name="PublicCommentStarts" ma:index="5" nillable="true" ma:displayName="Public Comment Starts" ma:description="Date public comment starts" ma:format="DateOnly" ma:internalName="PublicCommentStarts" ma:readOnly="false">
      <xsd:simpleType>
        <xsd:restriction base="dms:DateTime"/>
      </xsd:simpleType>
    </xsd:element>
    <xsd:element name="PublicCommentEnds" ma:index="6" nillable="true" ma:displayName="Public Comment Ends" ma:description="Date and time public comment ends (always 8 a.m.)" ma:format="DateTime" ma:internalName="PublicCommentEnds" ma:readOnly="false">
      <xsd:simpleType>
        <xsd:restriction base="dms:DateTime"/>
      </xsd:simpleType>
    </xsd:element>
    <xsd:element name="Topic" ma:index="8" nillable="true" ma:displayName="Topic" ma:list="{362945ba-7a7e-4f15-8333-9dd8733e369b}" ma:internalName="Topic" ma:readOnly="false" ma:showField="Title">
      <xsd:simpleType>
        <xsd:restriction base="dms:Lookup"/>
      </xsd:simpleType>
    </xsd:element>
    <xsd:element name="Visible" ma:index="9" nillable="true" ma:displayName="Visible on Blog" ma:default="0" ma:description="Visible in documents box at top of blogs (if not in superseded status)" ma:internalName="Visible" ma:readOnly="false">
      <xsd:simpleType>
        <xsd:restriction base="dms:Boolean"/>
      </xsd:simpleType>
    </xsd:element>
    <xsd:element name="InForceStart" ma:index="10" nillable="true" ma:displayName="In Force Start" ma:format="DateOnly" ma:internalName="InForceStart" ma:readOnly="false">
      <xsd:simpleType>
        <xsd:restriction base="dms:DateTime"/>
      </xsd:simpleType>
    </xsd:element>
    <xsd:element name="InForceEnd" ma:index="11" nillable="true" ma:displayName="In Force End" ma:format="DateOnly" ma:internalName="InForceEnd" ma:readOnly="false">
      <xsd:simpleType>
        <xsd:restriction base="dms:DateTime"/>
      </xsd:simpleType>
    </xsd:element>
    <xsd:element name="Meta_x0020_Description" ma:index="15" nillable="true" ma:displayName="Meta Description" ma:default=";" ma:internalName="Meta_x0020_Description" ma:readOnly="false">
      <xsd:simpleType>
        <xsd:restriction base="dms:Text">
          <xsd:maxLength value="255"/>
        </xsd:restriction>
      </xsd:simpleType>
    </xsd:element>
    <xsd:element name="Meta_x0020_Keywords" ma:index="16" nillable="true" ma:displayName="Meta Keywords" ma:default=";" ma:internalName="Meta_x0020_Keywords" ma:readOnly="false">
      <xsd:simpleType>
        <xsd:restriction base="dms:Text">
          <xsd:maxLength value="255"/>
        </xsd:restriction>
      </xsd:simpleType>
    </xsd:element>
    <xsd:element name="Topic_x003a_Date_x0020_Approved" ma:index="22" nillable="true" ma:displayName="Topic:Date Approved" ma:list="{362945ba-7a7e-4f15-8333-9dd8733e369b}" ma:internalName="Topic_x003a_Date_x0020_Approved" ma:readOnly="true" ma:showField="DateApproved" ma:web="f7889773-618c-44a8-8e18-3b54cc57bbce">
      <xsd:simpleType>
        <xsd:restriction base="dms:Lookup"/>
      </xsd:simpleType>
    </xsd:element>
    <xsd:element name="Filename" ma:index="26" nillable="true" ma:displayName="Filename" ma:hidden="true" ma:internalName="Filename" ma:readOnly="false">
      <xsd:simpleType>
        <xsd:restriction base="dms:Text">
          <xsd:maxLength value="255"/>
        </xsd:restriction>
      </xsd:simpleType>
    </xsd:element>
    <xsd:element name="UpdateWF" ma:index="27" nillable="true" ma:displayName="UpdateWF" ma:hidden="true" ma:internalName="UpdateWF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8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Category xmlns="d7642df7-a9d3-4b62-8293-79467a4eb5af">Prioritization Changes</Category>
    <UpdateWF xmlns="d7642df7-a9d3-4b62-8293-79467a4eb5af" xsi:nil="true"/>
    <DocumentExpirationDate xmlns="59da1016-2a1b-4f8a-9768-d7a4932f6f16" xsi:nil="true"/>
    <IATopic xmlns="59da1016-2a1b-4f8a-9768-d7a4932f6f16" xsi:nil="true"/>
    <Visible xmlns="d7642df7-a9d3-4b62-8293-79467a4eb5af">true</Visible>
    <PublicCommentStarts xmlns="d7642df7-a9d3-4b62-8293-79467a4eb5af" xsi:nil="true"/>
    <IASubtopic xmlns="59da1016-2a1b-4f8a-9768-d7a4932f6f16" xsi:nil="true"/>
    <URL xmlns="http://schemas.microsoft.com/sharepoint/v3">
      <Url>https://www.oregon.gov/oha/HPA/DSI-HERC/EvidenceBasedReports/Prioritization%20Changes%20for%20CGM.docx</Url>
      <Description>Prioritization Changes</Description>
    </URL>
    <Filename xmlns="d7642df7-a9d3-4b62-8293-79467a4eb5af">Prioritization Changes for CGM.docx</Filename>
    <Status xmlns="d7642df7-a9d3-4b62-8293-79467a4eb5af">Approved</Status>
    <PublicCommentEnds xmlns="d7642df7-a9d3-4b62-8293-79467a4eb5af" xsi:nil="true"/>
    <PostedDate xmlns="d7642df7-a9d3-4b62-8293-79467a4eb5af">2023-09-28T07:00:00+00:00</PostedDate>
    <InForceStart xmlns="d7642df7-a9d3-4b62-8293-79467a4eb5af" xsi:nil="true"/>
    <InForceEnd xmlns="d7642df7-a9d3-4b62-8293-79467a4eb5af" xsi:nil="true"/>
    <Topic xmlns="d7642df7-a9d3-4b62-8293-79467a4eb5af">5</Topic>
    <Meta_x0020_Keywords xmlns="d7642df7-a9d3-4b62-8293-79467a4eb5af">;</Meta_x0020_Keywords>
    <Meta_x0020_Description xmlns="d7642df7-a9d3-4b62-8293-79467a4eb5af">;</Meta_x0020_Description>
  </documentManagement>
</p:properties>
</file>

<file path=customXml/itemProps1.xml><?xml version="1.0" encoding="utf-8"?>
<ds:datastoreItem xmlns:ds="http://schemas.openxmlformats.org/officeDocument/2006/customXml" ds:itemID="{E3E43CD7-8CAC-41B8-85F0-1C9DA8C2075F}"/>
</file>

<file path=customXml/itemProps2.xml><?xml version="1.0" encoding="utf-8"?>
<ds:datastoreItem xmlns:ds="http://schemas.openxmlformats.org/officeDocument/2006/customXml" ds:itemID="{47CC6B36-D227-4188-84D8-4236C67B722D}"/>
</file>

<file path=customXml/itemProps3.xml><?xml version="1.0" encoding="utf-8"?>
<ds:datastoreItem xmlns:ds="http://schemas.openxmlformats.org/officeDocument/2006/customXml" ds:itemID="{89951654-BBFC-4FFB-A90F-D65E55D5C2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3</Pages>
  <Words>799</Words>
  <Characters>4592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Prioritization Changes</dc:title>
  <dc:subject/>
  <dc:creator>Walker Liz</dc:creator>
  <cp:keywords/>
  <dc:description/>
  <cp:lastModifiedBy>Walker Liz</cp:lastModifiedBy>
  <cp:revision>12</cp:revision>
  <dcterms:created xsi:type="dcterms:W3CDTF">2023-10-03T20:46:00Z</dcterms:created>
  <dcterms:modified xsi:type="dcterms:W3CDTF">2023-10-05T20:39:00Z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0x010100B45CA3801207F04AADEBA374DF431807</vt:lpwstr>
  </property>
  <property fmtid="{D5CDD505-2E9C-101B-9397-08002B2CF9AE}" pid="3" name="WorkflowChangePath">
    <vt:lpwstr>42e498f0-e936-4095-859b-7d9b41fa138b,3;42e498f0-e936-4095-859b-7d9b41fa138b,3;</vt:lpwstr>
  </property>
</Properties>
</file>