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526" w:rsidRPr="004C5526" w:rsidRDefault="004C5526" w:rsidP="004C5526">
      <w:pPr>
        <w:pStyle w:val="Heading1"/>
        <w:rPr>
          <w:rFonts w:cs="Calibri"/>
        </w:rPr>
      </w:pPr>
      <w:bookmarkStart w:id="0" w:name="GuidelineNoteA0005"/>
      <w:r w:rsidRPr="004C5526">
        <w:rPr>
          <w:rFonts w:cs="Calibri"/>
        </w:rPr>
        <w:t>ANCILLARY GUIDELINE A5, TELEHEALTH, TELECONSULTATIONS AND ONLINE/TELEPHONIC SERVICES</w:t>
      </w:r>
      <w:bookmarkEnd w:id="0"/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Telehealth services include a variety of health services provided by synchronous or asynchronous electronic communications, including secure electronic health portal, audio, or audio and video and clinician-to-clinician virtual consultations. 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b/>
          <w:bCs/>
          <w:i/>
          <w:iCs/>
          <w:szCs w:val="16"/>
        </w:rPr>
      </w:pPr>
      <w:r w:rsidRPr="004C5526">
        <w:rPr>
          <w:rFonts w:cs="Calibri"/>
          <w:b/>
          <w:bCs/>
          <w:i/>
          <w:iCs/>
          <w:szCs w:val="16"/>
        </w:rPr>
        <w:t>Criteria for coverage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  <w:r w:rsidRPr="004C5526">
        <w:rPr>
          <w:rFonts w:cs="Calibri"/>
          <w:szCs w:val="16"/>
        </w:rPr>
        <w:t>The clinical value of the telehealth service delivered must reasonably approximate the clinical value of the equivalent services delivered in-person.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Coverage of telehealth services requires the same level of documentation, medical necessity, and coverage determinations as in-person visits. 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Examples of covered telephone or online services include but are not limited to: </w:t>
      </w:r>
    </w:p>
    <w:p w:rsidR="004C5526" w:rsidRPr="004C5526" w:rsidRDefault="004C5526" w:rsidP="004C5526">
      <w:pPr>
        <w:pStyle w:val="HSCNormal"/>
        <w:numPr>
          <w:ilvl w:val="0"/>
          <w:numId w:val="39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>Extended counseling when person-to-person contact would involve an unwise delay or exposure to infectious disease.</w:t>
      </w:r>
    </w:p>
    <w:p w:rsidR="004C5526" w:rsidRPr="004C5526" w:rsidRDefault="004C5526" w:rsidP="004C5526">
      <w:pPr>
        <w:pStyle w:val="HSCNormal"/>
        <w:numPr>
          <w:ilvl w:val="0"/>
          <w:numId w:val="39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Treatment of relapses that require significant investment of provider time and judgment. </w:t>
      </w:r>
    </w:p>
    <w:p w:rsidR="004C5526" w:rsidRPr="004C5526" w:rsidRDefault="004C5526" w:rsidP="004C5526">
      <w:pPr>
        <w:pStyle w:val="HSCNormal"/>
        <w:numPr>
          <w:ilvl w:val="0"/>
          <w:numId w:val="39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Counseling and education for patients with complex chronic conditions. 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Examples of non-covered telehealth services include but are not limited to: </w:t>
      </w:r>
    </w:p>
    <w:p w:rsidR="004C5526" w:rsidRPr="004C5526" w:rsidRDefault="004C5526" w:rsidP="004C5526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Prescription renewal. </w:t>
      </w:r>
    </w:p>
    <w:p w:rsidR="004C5526" w:rsidRPr="004C5526" w:rsidRDefault="004C5526" w:rsidP="004C5526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Scheduling a test. </w:t>
      </w:r>
    </w:p>
    <w:p w:rsidR="004C5526" w:rsidRPr="004C5526" w:rsidRDefault="004C5526" w:rsidP="004C5526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Reporting normal test results. </w:t>
      </w:r>
    </w:p>
    <w:p w:rsidR="004C5526" w:rsidRPr="004C5526" w:rsidRDefault="004C5526" w:rsidP="004C5526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Requesting a referral. </w:t>
      </w:r>
    </w:p>
    <w:p w:rsidR="004C5526" w:rsidRPr="004C5526" w:rsidRDefault="004C5526" w:rsidP="004C5526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Services which are part of care plan oversight or anticoagulation management (CPT codes 99339-99340, 99374-99380 or 99363-99364). </w:t>
      </w:r>
    </w:p>
    <w:p w:rsidR="004C5526" w:rsidRPr="004C5526" w:rsidRDefault="004C5526" w:rsidP="004C5526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>Services which relate to or take place within the postoperative period of a procedure provided by the physician are not separately covered. (Such a service is considered part of the procedure and is not to be billed separately.)</w:t>
      </w:r>
    </w:p>
    <w:p w:rsidR="004C5526" w:rsidRPr="004C5526" w:rsidRDefault="004C5526" w:rsidP="004C5526">
      <w:pPr>
        <w:pStyle w:val="HSCNormal"/>
        <w:tabs>
          <w:tab w:val="left" w:pos="1415"/>
        </w:tabs>
        <w:rPr>
          <w:rFonts w:cs="Calibri"/>
          <w:szCs w:val="16"/>
        </w:rPr>
      </w:pPr>
      <w:r w:rsidRPr="004C5526">
        <w:rPr>
          <w:rFonts w:cs="Calibri"/>
          <w:szCs w:val="16"/>
        </w:rPr>
        <w:tab/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Codes eligible for telehealth delivery include 90785, 90791, 90792, 90832-90834, 90836, 90837-90840, 90846, 90847, 90951, 90952, 90954, 90955, 90957, 90958, 90960, 90961, 90963, 90964-90970, 96116, 96156-96171, 96160, 96161, 97802-97804, 98000-98015,99201-99205, 99211-99215, 99231-99233, 99307-99310, 99354-99357, 99401-99404, 99406-99407, 99495-99498, G0108-G0109, G0270, G0296, G0396, G0397, G0406-G0408, G0420, G0421, G0425-G0427, G0438-G0439, G0442-G0447, G0459, G0506, G0508, G0509, G0513, G0514, G2086-G2088. Codes eligible for </w:t>
      </w:r>
      <w:proofErr w:type="spellStart"/>
      <w:r w:rsidRPr="004C5526">
        <w:rPr>
          <w:rFonts w:cs="Calibri"/>
          <w:szCs w:val="16"/>
        </w:rPr>
        <w:t>teledentistry</w:t>
      </w:r>
      <w:proofErr w:type="spellEnd"/>
      <w:r w:rsidRPr="004C5526">
        <w:rPr>
          <w:rFonts w:cs="Calibri"/>
          <w:szCs w:val="16"/>
        </w:rPr>
        <w:t xml:space="preserve"> include CDT D0120-D0170, D0180, D0190, D0191, D1206, D1320, D1321, D1330, and D9991-D9997. Additional codes are covered when otherwise appropriate according to this guideline note and other applicable coverage criteria.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  <w:r w:rsidRPr="004C5526">
        <w:rPr>
          <w:rFonts w:cs="Calibri"/>
          <w:szCs w:val="16"/>
        </w:rPr>
        <w:t>The originating site code Q3014 is covered only when the patient is present in an appropriate health care setting and receiving services from a provider in another location.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b/>
          <w:i/>
          <w:iCs/>
          <w:szCs w:val="16"/>
        </w:rPr>
      </w:pPr>
      <w:r w:rsidRPr="004C5526">
        <w:rPr>
          <w:rFonts w:cs="Calibri"/>
          <w:b/>
          <w:i/>
          <w:iCs/>
          <w:szCs w:val="16"/>
        </w:rPr>
        <w:t>Clinician to Patient Services billed using specified codes indicating telephone or online service delivery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  <w:r w:rsidRPr="004C5526">
        <w:rPr>
          <w:rFonts w:cs="Calibri"/>
          <w:szCs w:val="16"/>
        </w:rPr>
        <w:t>Covered telephonic and online services include services related to evaluation, assessment and management as well as other technology-based services (CPT * 98016, 98966-98968, 99441-99443, 99421-99423, 98970-98972, G2061-G2063, G2251-G2252).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Covered telephone and online services billed using these codes do not include either of the following: </w:t>
      </w:r>
    </w:p>
    <w:p w:rsidR="004C5526" w:rsidRPr="004C5526" w:rsidRDefault="004C5526" w:rsidP="004C5526">
      <w:pPr>
        <w:pStyle w:val="HSCNormal"/>
        <w:numPr>
          <w:ilvl w:val="0"/>
          <w:numId w:val="37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 xml:space="preserve">Services related to a service performed and billed by the physician or qualified health professional within the previous seven days, regardless of whether it is the result of patient-initiated or physician-requested follow-up. </w:t>
      </w:r>
    </w:p>
    <w:p w:rsidR="004C5526" w:rsidRPr="004C5526" w:rsidRDefault="004C5526" w:rsidP="004C5526">
      <w:pPr>
        <w:pStyle w:val="HSCNormal"/>
        <w:numPr>
          <w:ilvl w:val="0"/>
          <w:numId w:val="37"/>
        </w:numPr>
        <w:rPr>
          <w:rFonts w:cs="Calibri"/>
          <w:szCs w:val="16"/>
        </w:rPr>
      </w:pPr>
      <w:r w:rsidRPr="004C5526">
        <w:rPr>
          <w:rFonts w:cs="Calibri"/>
          <w:szCs w:val="16"/>
        </w:rPr>
        <w:t>Services which result in the patient being seen within 24 hours or the next available appointment.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b/>
          <w:i/>
          <w:iCs/>
          <w:szCs w:val="16"/>
        </w:rPr>
      </w:pPr>
      <w:r w:rsidRPr="004C5526">
        <w:rPr>
          <w:rFonts w:cs="Calibri"/>
          <w:b/>
          <w:i/>
          <w:iCs/>
          <w:szCs w:val="16"/>
        </w:rPr>
        <w:t>Clinician-to-Clinician Consultations (telephonic, online or using electronic health record)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b/>
          <w:i/>
          <w:iCs/>
          <w:szCs w:val="16"/>
        </w:rPr>
      </w:pPr>
      <w:r w:rsidRPr="004C5526">
        <w:rPr>
          <w:rFonts w:cs="Calibri"/>
          <w:szCs w:val="16"/>
        </w:rPr>
        <w:t>Covered interprofessional consultations delivered online, through electronic health records or by telephone (CPT * 99446-99449, 99451-99452).</w:t>
      </w:r>
    </w:p>
    <w:p w:rsidR="004C5526" w:rsidRPr="004C5526" w:rsidRDefault="004C5526" w:rsidP="004C5526">
      <w:pPr>
        <w:pStyle w:val="HSCNormal"/>
        <w:rPr>
          <w:rFonts w:cs="Calibri"/>
          <w:b/>
          <w:i/>
          <w:iCs/>
          <w:szCs w:val="16"/>
        </w:rPr>
      </w:pPr>
    </w:p>
    <w:p w:rsidR="004C5526" w:rsidRPr="004C5526" w:rsidRDefault="004C5526" w:rsidP="004C5526">
      <w:pPr>
        <w:pStyle w:val="HSCNormal"/>
        <w:rPr>
          <w:rFonts w:cs="Calibri"/>
          <w:b/>
          <w:i/>
          <w:iCs/>
          <w:szCs w:val="16"/>
        </w:rPr>
      </w:pPr>
      <w:r w:rsidRPr="004C5526">
        <w:rPr>
          <w:rFonts w:cs="Calibri"/>
          <w:b/>
          <w:i/>
          <w:iCs/>
          <w:szCs w:val="16"/>
        </w:rPr>
        <w:t xml:space="preserve">Store and Forward </w:t>
      </w:r>
    </w:p>
    <w:p w:rsidR="004C5526" w:rsidRPr="004C5526" w:rsidRDefault="004C5526" w:rsidP="004C5526">
      <w:pPr>
        <w:pStyle w:val="HSCNormal"/>
        <w:rPr>
          <w:rFonts w:cs="Calibri"/>
          <w:szCs w:val="16"/>
        </w:rPr>
      </w:pPr>
    </w:p>
    <w:p w:rsidR="004C5526" w:rsidRPr="004C5526" w:rsidRDefault="004C5526" w:rsidP="004C5526">
      <w:pPr>
        <w:pStyle w:val="HSCNormal"/>
        <w:spacing w:after="320"/>
        <w:rPr>
          <w:rFonts w:cs="Calibri"/>
          <w:szCs w:val="16"/>
        </w:rPr>
      </w:pPr>
      <w:r w:rsidRPr="004C5526">
        <w:rPr>
          <w:rFonts w:cs="Calibri"/>
          <w:szCs w:val="16"/>
        </w:rPr>
        <w:t>Store and forward codes (HCPCS G2010, G2250) are only covered when billed concurrently with a code that includes medical decision making and communication with the patient (for example, HCPCS G2012)</w:t>
      </w:r>
      <w:r w:rsidRPr="004C5526">
        <w:rPr>
          <w:rFonts w:cs="Calibri"/>
          <w:bCs/>
        </w:rPr>
        <w:t>.</w:t>
      </w:r>
    </w:p>
    <w:p w:rsidR="004C5526" w:rsidRPr="004C5526" w:rsidRDefault="004C5526" w:rsidP="004C5526">
      <w:pPr>
        <w:rPr>
          <w:rFonts w:cs="Calibri"/>
        </w:rPr>
      </w:pPr>
    </w:p>
    <w:p w:rsidR="00EE19D1" w:rsidRPr="004C5526" w:rsidRDefault="00EE19D1" w:rsidP="004C5526">
      <w:pPr>
        <w:rPr>
          <w:rFonts w:cs="Calibri"/>
        </w:rPr>
      </w:pPr>
    </w:p>
    <w:sectPr w:rsidR="00EE19D1" w:rsidRPr="004C5526" w:rsidSect="00A06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5AB" w:rsidRDefault="000065AB">
      <w:r>
        <w:separator/>
      </w:r>
    </w:p>
  </w:endnote>
  <w:endnote w:type="continuationSeparator" w:id="0">
    <w:p w:rsidR="000065AB" w:rsidRDefault="0000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45F" w:rsidRDefault="00085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1C4" w:rsidRPr="00EF41C4" w:rsidRDefault="00EF41C4" w:rsidP="00EF41C4">
    <w:pPr>
      <w:pStyle w:val="Footer"/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*CPT only copyright 2025 American Medical Association. All rights reserved.</w:t>
    </w:r>
  </w:p>
  <w:p w:rsidR="00EF41C4" w:rsidRDefault="00EF41C4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** Current Dental Terminology © 2025 American Dental Association. All rights reserved</w:t>
    </w:r>
  </w:p>
  <w:p w:rsidR="003E2BE9" w:rsidRPr="00AE6680" w:rsidRDefault="009B4C2A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08545F">
      <w:rPr>
        <w:rStyle w:val="PageNumber"/>
        <w:rFonts w:asciiTheme="minorHAnsi" w:hAnsiTheme="minorHAnsi" w:cstheme="minorHAnsi"/>
        <w:i/>
        <w:sz w:val="20"/>
      </w:rPr>
      <w:t>12-31-2025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45F" w:rsidRDefault="00085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5AB" w:rsidRDefault="000065AB">
      <w:r>
        <w:separator/>
      </w:r>
    </w:p>
  </w:footnote>
  <w:footnote w:type="continuationSeparator" w:id="0">
    <w:p w:rsidR="000065AB" w:rsidRDefault="0000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45F" w:rsidRDefault="00085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14459126" wp14:editId="4BDE222A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6FC" w:rsidRPr="00CD6660">
      <w:rPr>
        <w:rFonts w:asciiTheme="majorHAnsi" w:hAnsiTheme="majorHAnsi" w:cstheme="majorHAnsi"/>
        <w:b/>
        <w:sz w:val="28"/>
        <w:szCs w:val="28"/>
      </w:rPr>
      <w:t>Prioritized List Guideline Note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08545F">
      <w:rPr>
        <w:rFonts w:asciiTheme="majorHAnsi" w:hAnsiTheme="majorHAnsi" w:cstheme="majorHAnsi"/>
        <w:i/>
        <w:noProof/>
      </w:rPr>
      <w:t>January 1, 2026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45F" w:rsidRDefault="00085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8868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7C39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30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FC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8E9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16C0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D6C8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7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F6A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07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084C7853"/>
    <w:multiLevelType w:val="multilevel"/>
    <w:tmpl w:val="818EC8E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170D42"/>
    <w:multiLevelType w:val="hybridMultilevel"/>
    <w:tmpl w:val="C402F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75061"/>
    <w:multiLevelType w:val="hybridMultilevel"/>
    <w:tmpl w:val="AD0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5652B"/>
    <w:multiLevelType w:val="hybridMultilevel"/>
    <w:tmpl w:val="EC3A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2D0"/>
    <w:multiLevelType w:val="multilevel"/>
    <w:tmpl w:val="F7422BA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4C09"/>
    <w:multiLevelType w:val="multilevel"/>
    <w:tmpl w:val="76A2BCE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96D4562"/>
    <w:multiLevelType w:val="hybridMultilevel"/>
    <w:tmpl w:val="C83647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A3AB8"/>
    <w:multiLevelType w:val="hybridMultilevel"/>
    <w:tmpl w:val="F580F034"/>
    <w:lvl w:ilvl="0" w:tplc="507CF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8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864F72"/>
    <w:multiLevelType w:val="multilevel"/>
    <w:tmpl w:val="38F8DF6E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888"/>
        </w:tabs>
        <w:ind w:left="3888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968"/>
        </w:tabs>
        <w:ind w:left="4320" w:hanging="432"/>
      </w:pPr>
      <w:rPr>
        <w:rFonts w:hint="default"/>
      </w:rPr>
    </w:lvl>
  </w:abstractNum>
  <w:abstractNum w:abstractNumId="24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3871782">
    <w:abstractNumId w:val="22"/>
  </w:num>
  <w:num w:numId="2" w16cid:durableId="1203859065">
    <w:abstractNumId w:val="13"/>
  </w:num>
  <w:num w:numId="3" w16cid:durableId="131335260">
    <w:abstractNumId w:val="20"/>
  </w:num>
  <w:num w:numId="4" w16cid:durableId="98919622">
    <w:abstractNumId w:val="21"/>
  </w:num>
  <w:num w:numId="5" w16cid:durableId="1579094761">
    <w:abstractNumId w:val="16"/>
  </w:num>
  <w:num w:numId="6" w16cid:durableId="589437299">
    <w:abstractNumId w:val="18"/>
  </w:num>
  <w:num w:numId="7" w16cid:durableId="76371627">
    <w:abstractNumId w:val="15"/>
  </w:num>
  <w:num w:numId="8" w16cid:durableId="309944727">
    <w:abstractNumId w:val="24"/>
  </w:num>
  <w:num w:numId="9" w16cid:durableId="1728916952">
    <w:abstractNumId w:val="9"/>
  </w:num>
  <w:num w:numId="10" w16cid:durableId="311495114">
    <w:abstractNumId w:val="12"/>
  </w:num>
  <w:num w:numId="11" w16cid:durableId="1650747962">
    <w:abstractNumId w:val="14"/>
  </w:num>
  <w:num w:numId="12" w16cid:durableId="828056488">
    <w:abstractNumId w:val="24"/>
  </w:num>
  <w:num w:numId="13" w16cid:durableId="2090929322">
    <w:abstractNumId w:val="10"/>
  </w:num>
  <w:num w:numId="14" w16cid:durableId="821241911">
    <w:abstractNumId w:val="10"/>
  </w:num>
  <w:num w:numId="15" w16cid:durableId="166293048">
    <w:abstractNumId w:val="10"/>
  </w:num>
  <w:num w:numId="16" w16cid:durableId="1701854950">
    <w:abstractNumId w:val="10"/>
  </w:num>
  <w:num w:numId="17" w16cid:durableId="935937676">
    <w:abstractNumId w:val="10"/>
  </w:num>
  <w:num w:numId="18" w16cid:durableId="210121214">
    <w:abstractNumId w:val="10"/>
  </w:num>
  <w:num w:numId="19" w16cid:durableId="1941326842">
    <w:abstractNumId w:val="21"/>
  </w:num>
  <w:num w:numId="20" w16cid:durableId="1916084894">
    <w:abstractNumId w:val="16"/>
  </w:num>
  <w:num w:numId="21" w16cid:durableId="1133060633">
    <w:abstractNumId w:val="18"/>
  </w:num>
  <w:num w:numId="22" w16cid:durableId="496580526">
    <w:abstractNumId w:val="24"/>
  </w:num>
  <w:num w:numId="23" w16cid:durableId="740711704">
    <w:abstractNumId w:val="23"/>
  </w:num>
  <w:num w:numId="24" w16cid:durableId="1402171023">
    <w:abstractNumId w:val="7"/>
  </w:num>
  <w:num w:numId="25" w16cid:durableId="1373117207">
    <w:abstractNumId w:val="6"/>
  </w:num>
  <w:num w:numId="26" w16cid:durableId="1577930872">
    <w:abstractNumId w:val="5"/>
  </w:num>
  <w:num w:numId="27" w16cid:durableId="939219453">
    <w:abstractNumId w:val="4"/>
  </w:num>
  <w:num w:numId="28" w16cid:durableId="1349675971">
    <w:abstractNumId w:val="8"/>
  </w:num>
  <w:num w:numId="29" w16cid:durableId="194998717">
    <w:abstractNumId w:val="3"/>
  </w:num>
  <w:num w:numId="30" w16cid:durableId="1551644964">
    <w:abstractNumId w:val="2"/>
  </w:num>
  <w:num w:numId="31" w16cid:durableId="248393860">
    <w:abstractNumId w:val="1"/>
  </w:num>
  <w:num w:numId="32" w16cid:durableId="260529327">
    <w:abstractNumId w:val="0"/>
  </w:num>
  <w:num w:numId="33" w16cid:durableId="1690333115">
    <w:abstractNumId w:val="21"/>
  </w:num>
  <w:num w:numId="34" w16cid:durableId="826164800">
    <w:abstractNumId w:val="16"/>
  </w:num>
  <w:num w:numId="35" w16cid:durableId="104203676">
    <w:abstractNumId w:val="18"/>
  </w:num>
  <w:num w:numId="36" w16cid:durableId="545264605">
    <w:abstractNumId w:val="24"/>
  </w:num>
  <w:num w:numId="37" w16cid:durableId="1615551857">
    <w:abstractNumId w:val="17"/>
  </w:num>
  <w:num w:numId="38" w16cid:durableId="1834831947">
    <w:abstractNumId w:val="19"/>
  </w:num>
  <w:num w:numId="39" w16cid:durableId="1028026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0"/>
  <w:displayBackgroundShape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65AB"/>
    <w:rsid w:val="000065AB"/>
    <w:rsid w:val="000114D4"/>
    <w:rsid w:val="00034DA2"/>
    <w:rsid w:val="00062D99"/>
    <w:rsid w:val="0008545F"/>
    <w:rsid w:val="00087363"/>
    <w:rsid w:val="00095B4F"/>
    <w:rsid w:val="000E4EE6"/>
    <w:rsid w:val="00112E35"/>
    <w:rsid w:val="00125B69"/>
    <w:rsid w:val="00127706"/>
    <w:rsid w:val="00145AF5"/>
    <w:rsid w:val="00146B0B"/>
    <w:rsid w:val="00161173"/>
    <w:rsid w:val="00174B84"/>
    <w:rsid w:val="001C1AC2"/>
    <w:rsid w:val="001E0C1A"/>
    <w:rsid w:val="001E6492"/>
    <w:rsid w:val="001F2924"/>
    <w:rsid w:val="001F3D7D"/>
    <w:rsid w:val="00221598"/>
    <w:rsid w:val="00233FAF"/>
    <w:rsid w:val="00241DFF"/>
    <w:rsid w:val="00242B6C"/>
    <w:rsid w:val="002567C3"/>
    <w:rsid w:val="00257633"/>
    <w:rsid w:val="00290648"/>
    <w:rsid w:val="002C2568"/>
    <w:rsid w:val="002C7FB2"/>
    <w:rsid w:val="002E7B3E"/>
    <w:rsid w:val="002F37E9"/>
    <w:rsid w:val="002F4236"/>
    <w:rsid w:val="00313C24"/>
    <w:rsid w:val="0032477F"/>
    <w:rsid w:val="00362566"/>
    <w:rsid w:val="0037388F"/>
    <w:rsid w:val="003A1B72"/>
    <w:rsid w:val="003B3891"/>
    <w:rsid w:val="003B473D"/>
    <w:rsid w:val="003D0F65"/>
    <w:rsid w:val="003E2BE9"/>
    <w:rsid w:val="003F4EAA"/>
    <w:rsid w:val="004149C6"/>
    <w:rsid w:val="00424A46"/>
    <w:rsid w:val="00441A01"/>
    <w:rsid w:val="004C5526"/>
    <w:rsid w:val="004C739A"/>
    <w:rsid w:val="004D5309"/>
    <w:rsid w:val="004E4BCC"/>
    <w:rsid w:val="004F6524"/>
    <w:rsid w:val="00506107"/>
    <w:rsid w:val="00522960"/>
    <w:rsid w:val="0053244B"/>
    <w:rsid w:val="005359C7"/>
    <w:rsid w:val="0056337E"/>
    <w:rsid w:val="00577175"/>
    <w:rsid w:val="005912E3"/>
    <w:rsid w:val="00597280"/>
    <w:rsid w:val="005979C1"/>
    <w:rsid w:val="005A1767"/>
    <w:rsid w:val="005B71A4"/>
    <w:rsid w:val="005D09C8"/>
    <w:rsid w:val="005F2AED"/>
    <w:rsid w:val="005F36D7"/>
    <w:rsid w:val="006157B2"/>
    <w:rsid w:val="0065403C"/>
    <w:rsid w:val="00692EA7"/>
    <w:rsid w:val="006A5420"/>
    <w:rsid w:val="006C453D"/>
    <w:rsid w:val="006D16FC"/>
    <w:rsid w:val="00704160"/>
    <w:rsid w:val="007233FA"/>
    <w:rsid w:val="00735A34"/>
    <w:rsid w:val="0074542B"/>
    <w:rsid w:val="00752E2C"/>
    <w:rsid w:val="0078755C"/>
    <w:rsid w:val="00795889"/>
    <w:rsid w:val="00796202"/>
    <w:rsid w:val="007C2859"/>
    <w:rsid w:val="007C566C"/>
    <w:rsid w:val="007E7E00"/>
    <w:rsid w:val="00803C6B"/>
    <w:rsid w:val="0084178D"/>
    <w:rsid w:val="00844609"/>
    <w:rsid w:val="00845277"/>
    <w:rsid w:val="008746C3"/>
    <w:rsid w:val="008A0C70"/>
    <w:rsid w:val="0091349F"/>
    <w:rsid w:val="00927ADC"/>
    <w:rsid w:val="00941AE1"/>
    <w:rsid w:val="00944175"/>
    <w:rsid w:val="009532AE"/>
    <w:rsid w:val="00976107"/>
    <w:rsid w:val="00983F76"/>
    <w:rsid w:val="00985891"/>
    <w:rsid w:val="00994D5A"/>
    <w:rsid w:val="00994F06"/>
    <w:rsid w:val="009B4C2A"/>
    <w:rsid w:val="009D1C62"/>
    <w:rsid w:val="009E4892"/>
    <w:rsid w:val="009F04B1"/>
    <w:rsid w:val="009F2B34"/>
    <w:rsid w:val="00A00E8E"/>
    <w:rsid w:val="00A06407"/>
    <w:rsid w:val="00A45839"/>
    <w:rsid w:val="00A73C21"/>
    <w:rsid w:val="00AA2C21"/>
    <w:rsid w:val="00AD46F3"/>
    <w:rsid w:val="00AE2BF8"/>
    <w:rsid w:val="00AE6680"/>
    <w:rsid w:val="00AF1D55"/>
    <w:rsid w:val="00B26A1F"/>
    <w:rsid w:val="00B41A58"/>
    <w:rsid w:val="00B5657E"/>
    <w:rsid w:val="00B72AEF"/>
    <w:rsid w:val="00B82B0C"/>
    <w:rsid w:val="00B944BC"/>
    <w:rsid w:val="00BB14B5"/>
    <w:rsid w:val="00BB5801"/>
    <w:rsid w:val="00BF2C88"/>
    <w:rsid w:val="00BF2ECB"/>
    <w:rsid w:val="00C033F5"/>
    <w:rsid w:val="00C20B11"/>
    <w:rsid w:val="00C2263B"/>
    <w:rsid w:val="00C241EE"/>
    <w:rsid w:val="00C366BD"/>
    <w:rsid w:val="00C509B8"/>
    <w:rsid w:val="00C51C06"/>
    <w:rsid w:val="00C81805"/>
    <w:rsid w:val="00C92D56"/>
    <w:rsid w:val="00CD6660"/>
    <w:rsid w:val="00CD746B"/>
    <w:rsid w:val="00CD7906"/>
    <w:rsid w:val="00CE7640"/>
    <w:rsid w:val="00D11FEE"/>
    <w:rsid w:val="00D34794"/>
    <w:rsid w:val="00D77743"/>
    <w:rsid w:val="00D941C7"/>
    <w:rsid w:val="00DC29A3"/>
    <w:rsid w:val="00DC4D21"/>
    <w:rsid w:val="00DD7ED0"/>
    <w:rsid w:val="00E25B1C"/>
    <w:rsid w:val="00E37246"/>
    <w:rsid w:val="00E659B0"/>
    <w:rsid w:val="00E82B61"/>
    <w:rsid w:val="00E927F8"/>
    <w:rsid w:val="00EB3E71"/>
    <w:rsid w:val="00EC3B5C"/>
    <w:rsid w:val="00EE19D1"/>
    <w:rsid w:val="00EF41C4"/>
    <w:rsid w:val="00F82445"/>
    <w:rsid w:val="00F952D0"/>
    <w:rsid w:val="00F95C19"/>
    <w:rsid w:val="00FB0CFD"/>
    <w:rsid w:val="00F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B7C03A"/>
  <w15:docId w15:val="{6FCA1C8D-1FC3-4A80-8563-E7C0040E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18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18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1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18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18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18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33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34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35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8"/>
      </w:numPr>
    </w:pPr>
  </w:style>
  <w:style w:type="numbering" w:styleId="1ai">
    <w:name w:val="Outline List 1"/>
    <w:basedOn w:val="NoList"/>
    <w:rsid w:val="00C20B11"/>
    <w:pPr>
      <w:numPr>
        <w:numId w:val="7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Arial" w:hAnsi="Arial"/>
      <w:b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Arial" w:hAnsi="Arial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Arial" w:hAnsi="Arial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Arial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Arial" w:hAnsi="Arial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5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601BR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Props1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33926-3D72-4FBA-AB4D-C9B5CD42BBBD}"/>
</file>

<file path=customXml/itemProps3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SearchableListGL2601BR-JG.dotx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2025-12-31T22:34:00Z</dcterms:created>
  <dcterms:modified xsi:type="dcterms:W3CDTF">2025-12-31T22:34:00Z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