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7B43" w14:textId="77777777" w:rsidR="00E07C94" w:rsidRPr="00E07C94" w:rsidRDefault="00E07C94" w:rsidP="00E07C94">
      <w:pPr>
        <w:pStyle w:val="Heading1"/>
        <w:rPr>
          <w:rFonts w:cs="Calibri"/>
        </w:rPr>
      </w:pPr>
      <w:bookmarkStart w:id="0" w:name="GuidelineNoteD0025"/>
      <w:r w:rsidRPr="00E07C94">
        <w:rPr>
          <w:rFonts w:cs="Calibri"/>
        </w:rPr>
        <w:t>DIAGNOSTIC GUIDELINE D25, HEREDITARY CANCER GENETIC TESTING</w:t>
      </w:r>
      <w:bookmarkEnd w:id="0"/>
    </w:p>
    <w:p w14:paraId="0DE79162" w14:textId="77777777" w:rsidR="00E07C94" w:rsidRPr="00E07C94" w:rsidRDefault="00E07C94" w:rsidP="00E07C94">
      <w:pPr>
        <w:pStyle w:val="HSCOL1"/>
        <w:rPr>
          <w:rFonts w:cs="Calibri"/>
          <w:bCs/>
          <w:szCs w:val="16"/>
        </w:rPr>
      </w:pPr>
      <w:r w:rsidRPr="00E07C94">
        <w:rPr>
          <w:rFonts w:cs="Calibri"/>
          <w:bCs/>
          <w:szCs w:val="16"/>
        </w:rPr>
        <w:t xml:space="preserve">Related to genetic testing for patients with cancers suspected to be hereditary, or patients at increased risk due to family history (for example, CPT * 81162-81167, 81201-81203, 81212, 81215-81217, 81288, 81292-81300, 81317-81319, 81321-81323, 81432-81435, 81436, 81479), services are provided according to the Comprehensive Cancer Network Guidelines: Genetic/Familial High-Risk Assessment: Breast, Ovarian and Pancreatic V2.2026 (10/10/2025) </w:t>
      </w:r>
      <w:hyperlink r:id="rId11" w:history="1">
        <w:r w:rsidRPr="00E07C94">
          <w:rPr>
            <w:rStyle w:val="Hyperlink"/>
            <w:rFonts w:cs="Calibri"/>
            <w:bCs/>
            <w:szCs w:val="16"/>
          </w:rPr>
          <w:t>www.nccn.org</w:t>
        </w:r>
      </w:hyperlink>
      <w:r w:rsidRPr="00E07C94">
        <w:rPr>
          <w:rFonts w:cs="Calibri"/>
          <w:bCs/>
          <w:szCs w:val="16"/>
        </w:rPr>
        <w:t>, including the table “Summary of Genes and/or Syndromes Included/Mentioned in Other NCCN Guidelines,” or the Genetic/Familial High-Risk Assessment: Colorectal, Endometrial, and Gastric V1.2025 (6/13/25) www.nccn.org.</w:t>
      </w:r>
    </w:p>
    <w:p w14:paraId="07C1207E" w14:textId="77777777" w:rsidR="00E07C94" w:rsidRPr="00E07C94" w:rsidRDefault="00E07C94" w:rsidP="00E07C94">
      <w:pPr>
        <w:pStyle w:val="HSCOL1"/>
        <w:rPr>
          <w:rFonts w:cs="Calibri"/>
          <w:bCs/>
          <w:szCs w:val="16"/>
        </w:rPr>
      </w:pPr>
    </w:p>
    <w:p w14:paraId="1708249E" w14:textId="77777777" w:rsidR="00E07C94" w:rsidRPr="00E07C94" w:rsidRDefault="00E07C94" w:rsidP="00E07C94">
      <w:pPr>
        <w:pStyle w:val="HSCOL1"/>
        <w:rPr>
          <w:rFonts w:cs="Calibri"/>
          <w:bCs/>
          <w:szCs w:val="16"/>
        </w:rPr>
      </w:pPr>
      <w:r w:rsidRPr="00E07C94">
        <w:rPr>
          <w:rFonts w:cs="Calibri"/>
          <w:bCs/>
          <w:szCs w:val="16"/>
        </w:rPr>
        <w:t>Genetic counseling should precede genetic testing for hereditary cancer whenever possible.</w:t>
      </w:r>
    </w:p>
    <w:p w14:paraId="2E7186A2" w14:textId="77777777" w:rsidR="00E07C94" w:rsidRPr="00E07C94" w:rsidRDefault="00E07C94" w:rsidP="00E07C94">
      <w:pPr>
        <w:pStyle w:val="HSCOL1"/>
        <w:numPr>
          <w:ilvl w:val="0"/>
          <w:numId w:val="42"/>
        </w:numPr>
        <w:rPr>
          <w:rFonts w:cs="Calibri"/>
          <w:bCs/>
          <w:szCs w:val="16"/>
        </w:rPr>
      </w:pPr>
      <w:r w:rsidRPr="00E07C94">
        <w:rPr>
          <w:rFonts w:cs="Calibri"/>
          <w:bCs/>
          <w:szCs w:val="16"/>
        </w:rPr>
        <w:t>Pre and post-test genetic counseling should be covered when provided by a health professional with expertise and experience in cancer genetics. Genetic counseling is recommended for cancer survivors when test results would affect cancer screening.</w:t>
      </w:r>
    </w:p>
    <w:p w14:paraId="5446C865" w14:textId="77777777" w:rsidR="00E07C94" w:rsidRPr="00E07C94" w:rsidRDefault="00E07C94" w:rsidP="00E07C94">
      <w:pPr>
        <w:pStyle w:val="HSCOL1"/>
        <w:numPr>
          <w:ilvl w:val="0"/>
          <w:numId w:val="42"/>
        </w:numPr>
        <w:rPr>
          <w:rFonts w:cs="Calibri"/>
          <w:bCs/>
          <w:szCs w:val="16"/>
        </w:rPr>
      </w:pPr>
      <w:r w:rsidRPr="00E07C94">
        <w:rPr>
          <w:rFonts w:cs="Calibri"/>
          <w:bCs/>
          <w:szCs w:val="16"/>
        </w:rPr>
        <w:t>If timely pre-test genetic counseling is not possible for time-sensitive cases, appropriate genetic testing accompanied by pre- and post- test informed consent and post-test disclosure performed by a health care professional with experience in cancer genetics should be covered.</w:t>
      </w:r>
    </w:p>
    <w:p w14:paraId="3A82B8D6" w14:textId="77777777" w:rsidR="00E07C94" w:rsidRPr="00E07C94" w:rsidRDefault="00E07C94" w:rsidP="00E07C94">
      <w:pPr>
        <w:pStyle w:val="HSCOL1"/>
        <w:numPr>
          <w:ilvl w:val="1"/>
          <w:numId w:val="41"/>
        </w:numPr>
        <w:spacing w:after="320"/>
        <w:rPr>
          <w:rFonts w:cs="Calibri"/>
          <w:bCs/>
          <w:szCs w:val="16"/>
        </w:rPr>
      </w:pPr>
      <w:r w:rsidRPr="00E07C94">
        <w:rPr>
          <w:rFonts w:cs="Calibri"/>
          <w:bCs/>
          <w:szCs w:val="16"/>
        </w:rPr>
        <w:t>Post-test genetic counseling should be performed as soon as is practical.</w:t>
      </w:r>
    </w:p>
    <w:p w14:paraId="56A1CF3D" w14:textId="77777777" w:rsidR="00E07C94" w:rsidRPr="00E07C94" w:rsidRDefault="00E07C94" w:rsidP="00E07C94">
      <w:pPr>
        <w:rPr>
          <w:rFonts w:cs="Calibri"/>
        </w:rPr>
      </w:pPr>
    </w:p>
    <w:p w14:paraId="310AC61F" w14:textId="0AB4D6D1" w:rsidR="00EE19D1" w:rsidRPr="00E07C94" w:rsidRDefault="00EE19D1" w:rsidP="00E07C94">
      <w:pPr>
        <w:rPr>
          <w:rFonts w:cs="Calibri"/>
        </w:rPr>
      </w:pPr>
    </w:p>
    <w:sectPr w:rsidR="00EE19D1" w:rsidRPr="00E07C94" w:rsidSect="00A064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061D" w14:textId="77777777" w:rsidR="004E09DC" w:rsidRDefault="004E09DC">
      <w:r>
        <w:separator/>
      </w:r>
    </w:p>
  </w:endnote>
  <w:endnote w:type="continuationSeparator" w:id="0">
    <w:p w14:paraId="4C0A7B33" w14:textId="77777777" w:rsidR="004E09DC" w:rsidRDefault="004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512D" w14:textId="77777777" w:rsidR="0008545F" w:rsidRDefault="00085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F749" w14:textId="77777777" w:rsidR="00EF41C4" w:rsidRPr="00EF41C4" w:rsidRDefault="00EF41C4" w:rsidP="00EF41C4">
    <w:pPr>
      <w:pStyle w:val="Footer"/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*CPT only copyright 2025 American Medical Association. All rights reserved.</w:t>
    </w:r>
  </w:p>
  <w:p w14:paraId="0AD48D4E" w14:textId="77777777" w:rsidR="00EF41C4" w:rsidRDefault="00EF41C4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** Current Dental Terminology © 2025 American Dental Association. All rights reserved</w:t>
    </w:r>
  </w:p>
  <w:p w14:paraId="173D9E63" w14:textId="77777777" w:rsidR="003E2BE9" w:rsidRPr="00AE6680" w:rsidRDefault="009B4C2A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08545F">
      <w:rPr>
        <w:rStyle w:val="PageNumber"/>
        <w:rFonts w:asciiTheme="minorHAnsi" w:hAnsiTheme="minorHAnsi" w:cstheme="minorHAnsi"/>
        <w:i/>
        <w:sz w:val="20"/>
      </w:rPr>
      <w:t>12-31-2025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AF42" w14:textId="77777777" w:rsidR="0008545F" w:rsidRDefault="00085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9D36" w14:textId="77777777" w:rsidR="004E09DC" w:rsidRDefault="004E09DC">
      <w:r>
        <w:separator/>
      </w:r>
    </w:p>
  </w:footnote>
  <w:footnote w:type="continuationSeparator" w:id="0">
    <w:p w14:paraId="073F7EF3" w14:textId="77777777" w:rsidR="004E09DC" w:rsidRDefault="004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8538" w14:textId="77777777" w:rsidR="0008545F" w:rsidRDefault="00085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E78B" w14:textId="77777777"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25AE49CD" wp14:editId="2A5206C1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14:paraId="16528FE6" w14:textId="77777777"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08545F">
      <w:rPr>
        <w:rFonts w:asciiTheme="majorHAnsi" w:hAnsiTheme="majorHAnsi" w:cstheme="majorHAnsi"/>
        <w:i/>
        <w:noProof/>
      </w:rPr>
      <w:t>January 1, 2026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EBE4" w14:textId="77777777" w:rsidR="0008545F" w:rsidRDefault="00085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8868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7C39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30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FC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8E9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16C0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D6C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7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F6A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07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0C170D42"/>
    <w:multiLevelType w:val="hybridMultilevel"/>
    <w:tmpl w:val="C402F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75061"/>
    <w:multiLevelType w:val="hybridMultilevel"/>
    <w:tmpl w:val="AD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5652B"/>
    <w:multiLevelType w:val="hybridMultilevel"/>
    <w:tmpl w:val="EC3A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D2B74"/>
    <w:multiLevelType w:val="multilevel"/>
    <w:tmpl w:val="EDCA06B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3CE2480"/>
    <w:multiLevelType w:val="multilevel"/>
    <w:tmpl w:val="4F4EF4F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02F9A"/>
    <w:multiLevelType w:val="multilevel"/>
    <w:tmpl w:val="C7FA350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8F16933"/>
    <w:multiLevelType w:val="hybridMultilevel"/>
    <w:tmpl w:val="70E200DE"/>
    <w:lvl w:ilvl="0" w:tplc="FDF8B244">
      <w:start w:val="1"/>
      <w:numFmt w:val="upperLetter"/>
      <w:lvlText w:val="%1)"/>
      <w:lvlJc w:val="left"/>
      <w:pPr>
        <w:ind w:left="7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0BB326A"/>
    <w:multiLevelType w:val="multilevel"/>
    <w:tmpl w:val="5D46B0B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96D4562"/>
    <w:multiLevelType w:val="hybridMultilevel"/>
    <w:tmpl w:val="C83647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017C8B"/>
    <w:multiLevelType w:val="multilevel"/>
    <w:tmpl w:val="55AACAE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A3AB8"/>
    <w:multiLevelType w:val="hybridMultilevel"/>
    <w:tmpl w:val="F580F034"/>
    <w:lvl w:ilvl="0" w:tplc="507CF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864F72"/>
    <w:multiLevelType w:val="multilevel"/>
    <w:tmpl w:val="38F8DF6E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888"/>
        </w:tabs>
        <w:ind w:left="3888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968"/>
        </w:tabs>
        <w:ind w:left="4320" w:hanging="432"/>
      </w:pPr>
      <w:rPr>
        <w:rFonts w:hint="default"/>
      </w:rPr>
    </w:lvl>
  </w:abstractNum>
  <w:abstractNum w:abstractNumId="27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3871782">
    <w:abstractNumId w:val="25"/>
  </w:num>
  <w:num w:numId="2" w16cid:durableId="1203859065">
    <w:abstractNumId w:val="12"/>
  </w:num>
  <w:num w:numId="3" w16cid:durableId="131335260">
    <w:abstractNumId w:val="22"/>
  </w:num>
  <w:num w:numId="4" w16cid:durableId="98919622">
    <w:abstractNumId w:val="24"/>
  </w:num>
  <w:num w:numId="5" w16cid:durableId="1579094761">
    <w:abstractNumId w:val="15"/>
  </w:num>
  <w:num w:numId="6" w16cid:durableId="589437299">
    <w:abstractNumId w:val="18"/>
  </w:num>
  <w:num w:numId="7" w16cid:durableId="76371627">
    <w:abstractNumId w:val="14"/>
  </w:num>
  <w:num w:numId="8" w16cid:durableId="309944727">
    <w:abstractNumId w:val="27"/>
  </w:num>
  <w:num w:numId="9" w16cid:durableId="1728916952">
    <w:abstractNumId w:val="9"/>
  </w:num>
  <w:num w:numId="10" w16cid:durableId="311495114">
    <w:abstractNumId w:val="11"/>
  </w:num>
  <w:num w:numId="11" w16cid:durableId="1650747962">
    <w:abstractNumId w:val="13"/>
  </w:num>
  <w:num w:numId="12" w16cid:durableId="828056488">
    <w:abstractNumId w:val="27"/>
  </w:num>
  <w:num w:numId="13" w16cid:durableId="2090929322">
    <w:abstractNumId w:val="10"/>
  </w:num>
  <w:num w:numId="14" w16cid:durableId="821241911">
    <w:abstractNumId w:val="10"/>
  </w:num>
  <w:num w:numId="15" w16cid:durableId="166293048">
    <w:abstractNumId w:val="10"/>
  </w:num>
  <w:num w:numId="16" w16cid:durableId="1701854950">
    <w:abstractNumId w:val="10"/>
  </w:num>
  <w:num w:numId="17" w16cid:durableId="935937676">
    <w:abstractNumId w:val="10"/>
  </w:num>
  <w:num w:numId="18" w16cid:durableId="210121214">
    <w:abstractNumId w:val="10"/>
  </w:num>
  <w:num w:numId="19" w16cid:durableId="1941326842">
    <w:abstractNumId w:val="24"/>
  </w:num>
  <w:num w:numId="20" w16cid:durableId="1916084894">
    <w:abstractNumId w:val="15"/>
  </w:num>
  <w:num w:numId="21" w16cid:durableId="1133060633">
    <w:abstractNumId w:val="18"/>
  </w:num>
  <w:num w:numId="22" w16cid:durableId="496580526">
    <w:abstractNumId w:val="27"/>
  </w:num>
  <w:num w:numId="23" w16cid:durableId="740711704">
    <w:abstractNumId w:val="26"/>
  </w:num>
  <w:num w:numId="24" w16cid:durableId="1402171023">
    <w:abstractNumId w:val="7"/>
  </w:num>
  <w:num w:numId="25" w16cid:durableId="1373117207">
    <w:abstractNumId w:val="6"/>
  </w:num>
  <w:num w:numId="26" w16cid:durableId="1577930872">
    <w:abstractNumId w:val="5"/>
  </w:num>
  <w:num w:numId="27" w16cid:durableId="939219453">
    <w:abstractNumId w:val="4"/>
  </w:num>
  <w:num w:numId="28" w16cid:durableId="1349675971">
    <w:abstractNumId w:val="8"/>
  </w:num>
  <w:num w:numId="29" w16cid:durableId="194998717">
    <w:abstractNumId w:val="3"/>
  </w:num>
  <w:num w:numId="30" w16cid:durableId="1551644964">
    <w:abstractNumId w:val="2"/>
  </w:num>
  <w:num w:numId="31" w16cid:durableId="248393860">
    <w:abstractNumId w:val="1"/>
  </w:num>
  <w:num w:numId="32" w16cid:durableId="260529327">
    <w:abstractNumId w:val="0"/>
  </w:num>
  <w:num w:numId="33" w16cid:durableId="1690333115">
    <w:abstractNumId w:val="24"/>
  </w:num>
  <w:num w:numId="34" w16cid:durableId="826164800">
    <w:abstractNumId w:val="15"/>
  </w:num>
  <w:num w:numId="35" w16cid:durableId="104203676">
    <w:abstractNumId w:val="18"/>
  </w:num>
  <w:num w:numId="36" w16cid:durableId="545264605">
    <w:abstractNumId w:val="27"/>
  </w:num>
  <w:num w:numId="37" w16cid:durableId="895044866">
    <w:abstractNumId w:val="20"/>
  </w:num>
  <w:num w:numId="38" w16cid:durableId="1016536761">
    <w:abstractNumId w:val="16"/>
  </w:num>
  <w:num w:numId="39" w16cid:durableId="908997355">
    <w:abstractNumId w:val="21"/>
  </w:num>
  <w:num w:numId="40" w16cid:durableId="896668530">
    <w:abstractNumId w:val="23"/>
  </w:num>
  <w:num w:numId="41" w16cid:durableId="1643273775">
    <w:abstractNumId w:val="17"/>
  </w:num>
  <w:num w:numId="42" w16cid:durableId="14328985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0"/>
  <w:displayBackgroundShape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09DC"/>
    <w:rsid w:val="000114D4"/>
    <w:rsid w:val="00034DA2"/>
    <w:rsid w:val="00062D99"/>
    <w:rsid w:val="0008545F"/>
    <w:rsid w:val="00087363"/>
    <w:rsid w:val="000E4EE6"/>
    <w:rsid w:val="00112E35"/>
    <w:rsid w:val="00125B69"/>
    <w:rsid w:val="00127706"/>
    <w:rsid w:val="00145AF5"/>
    <w:rsid w:val="00146B0B"/>
    <w:rsid w:val="00161173"/>
    <w:rsid w:val="00174B84"/>
    <w:rsid w:val="001C1AC2"/>
    <w:rsid w:val="001E0C1A"/>
    <w:rsid w:val="001E6492"/>
    <w:rsid w:val="001F2924"/>
    <w:rsid w:val="001F3D7D"/>
    <w:rsid w:val="00221598"/>
    <w:rsid w:val="00233FAF"/>
    <w:rsid w:val="00241DFF"/>
    <w:rsid w:val="00242B6C"/>
    <w:rsid w:val="002567C3"/>
    <w:rsid w:val="00257633"/>
    <w:rsid w:val="00290648"/>
    <w:rsid w:val="002C2568"/>
    <w:rsid w:val="002C7FB2"/>
    <w:rsid w:val="002E7B3E"/>
    <w:rsid w:val="002F37E9"/>
    <w:rsid w:val="002F4236"/>
    <w:rsid w:val="00313C24"/>
    <w:rsid w:val="0032477F"/>
    <w:rsid w:val="00362566"/>
    <w:rsid w:val="0037388F"/>
    <w:rsid w:val="003A1B72"/>
    <w:rsid w:val="003B3891"/>
    <w:rsid w:val="003B473D"/>
    <w:rsid w:val="003D0F65"/>
    <w:rsid w:val="003E2BE9"/>
    <w:rsid w:val="003F4EAA"/>
    <w:rsid w:val="004149C6"/>
    <w:rsid w:val="00424A46"/>
    <w:rsid w:val="00441A01"/>
    <w:rsid w:val="004C739A"/>
    <w:rsid w:val="004D5309"/>
    <w:rsid w:val="004E09DC"/>
    <w:rsid w:val="004E4BCC"/>
    <w:rsid w:val="004F6524"/>
    <w:rsid w:val="00506107"/>
    <w:rsid w:val="00522960"/>
    <w:rsid w:val="0053244B"/>
    <w:rsid w:val="005359C7"/>
    <w:rsid w:val="0056337E"/>
    <w:rsid w:val="00577175"/>
    <w:rsid w:val="005912E3"/>
    <w:rsid w:val="00597280"/>
    <w:rsid w:val="005979C1"/>
    <w:rsid w:val="005A1767"/>
    <w:rsid w:val="005B71A4"/>
    <w:rsid w:val="005D09C8"/>
    <w:rsid w:val="005F2AED"/>
    <w:rsid w:val="005F36D7"/>
    <w:rsid w:val="005F42C7"/>
    <w:rsid w:val="006157B2"/>
    <w:rsid w:val="0065403C"/>
    <w:rsid w:val="00684D98"/>
    <w:rsid w:val="00692EA7"/>
    <w:rsid w:val="006A5420"/>
    <w:rsid w:val="006C453D"/>
    <w:rsid w:val="006D16FC"/>
    <w:rsid w:val="00704160"/>
    <w:rsid w:val="007233FA"/>
    <w:rsid w:val="00735A34"/>
    <w:rsid w:val="0074542B"/>
    <w:rsid w:val="00752E2C"/>
    <w:rsid w:val="0078755C"/>
    <w:rsid w:val="00795889"/>
    <w:rsid w:val="00796202"/>
    <w:rsid w:val="007C2859"/>
    <w:rsid w:val="007C566C"/>
    <w:rsid w:val="007E7E00"/>
    <w:rsid w:val="00803C6B"/>
    <w:rsid w:val="0084178D"/>
    <w:rsid w:val="00844609"/>
    <w:rsid w:val="00845277"/>
    <w:rsid w:val="008746C3"/>
    <w:rsid w:val="008A0C70"/>
    <w:rsid w:val="008A2FED"/>
    <w:rsid w:val="00927ADC"/>
    <w:rsid w:val="00941AE1"/>
    <w:rsid w:val="00944175"/>
    <w:rsid w:val="009532AE"/>
    <w:rsid w:val="009731CA"/>
    <w:rsid w:val="00976107"/>
    <w:rsid w:val="00983F76"/>
    <w:rsid w:val="00985891"/>
    <w:rsid w:val="00994D5A"/>
    <w:rsid w:val="00994F06"/>
    <w:rsid w:val="009B4C2A"/>
    <w:rsid w:val="009D1C62"/>
    <w:rsid w:val="009E4892"/>
    <w:rsid w:val="009F04B1"/>
    <w:rsid w:val="009F2B34"/>
    <w:rsid w:val="00A00E8E"/>
    <w:rsid w:val="00A06407"/>
    <w:rsid w:val="00A45839"/>
    <w:rsid w:val="00A73C21"/>
    <w:rsid w:val="00AA2C21"/>
    <w:rsid w:val="00AD46F3"/>
    <w:rsid w:val="00AE2BF8"/>
    <w:rsid w:val="00AE6680"/>
    <w:rsid w:val="00AF1D55"/>
    <w:rsid w:val="00B26A1F"/>
    <w:rsid w:val="00B41A58"/>
    <w:rsid w:val="00B5657E"/>
    <w:rsid w:val="00B72AEF"/>
    <w:rsid w:val="00B82B0C"/>
    <w:rsid w:val="00B944BC"/>
    <w:rsid w:val="00BB14B5"/>
    <w:rsid w:val="00BB5801"/>
    <w:rsid w:val="00BF2C88"/>
    <w:rsid w:val="00BF2ECB"/>
    <w:rsid w:val="00C033F5"/>
    <w:rsid w:val="00C20B11"/>
    <w:rsid w:val="00C21879"/>
    <w:rsid w:val="00C2263B"/>
    <w:rsid w:val="00C241EE"/>
    <w:rsid w:val="00C366BD"/>
    <w:rsid w:val="00C509B8"/>
    <w:rsid w:val="00C51C06"/>
    <w:rsid w:val="00C81805"/>
    <w:rsid w:val="00C92D56"/>
    <w:rsid w:val="00CD6660"/>
    <w:rsid w:val="00CD746B"/>
    <w:rsid w:val="00CD7906"/>
    <w:rsid w:val="00CE7640"/>
    <w:rsid w:val="00D11FEE"/>
    <w:rsid w:val="00D34794"/>
    <w:rsid w:val="00D77743"/>
    <w:rsid w:val="00D941C7"/>
    <w:rsid w:val="00DC29A3"/>
    <w:rsid w:val="00DC4D21"/>
    <w:rsid w:val="00DD7ED0"/>
    <w:rsid w:val="00E07C94"/>
    <w:rsid w:val="00E25B1C"/>
    <w:rsid w:val="00E37246"/>
    <w:rsid w:val="00E659B0"/>
    <w:rsid w:val="00E82B61"/>
    <w:rsid w:val="00E927F8"/>
    <w:rsid w:val="00EB3E71"/>
    <w:rsid w:val="00EC3B5C"/>
    <w:rsid w:val="00EE19D1"/>
    <w:rsid w:val="00EF41C4"/>
    <w:rsid w:val="00F53B5B"/>
    <w:rsid w:val="00F82445"/>
    <w:rsid w:val="00F952D0"/>
    <w:rsid w:val="00F95C19"/>
    <w:rsid w:val="00FB0CFD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0CF359"/>
  <w15:docId w15:val="{D703974C-BE06-4643-B293-00378EE9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18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18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1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18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18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18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33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34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35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8"/>
      </w:numPr>
    </w:pPr>
  </w:style>
  <w:style w:type="numbering" w:styleId="1ai">
    <w:name w:val="Outline List 1"/>
    <w:basedOn w:val="NoList"/>
    <w:rsid w:val="00C20B11"/>
    <w:pPr>
      <w:numPr>
        <w:numId w:val="7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uiPriority w:val="99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Arial" w:hAnsi="Arial"/>
      <w:b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Arial" w:hAnsi="Arial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Arial" w:hAnsi="Arial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Arial" w:hAnsi="Arial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5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c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601BR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Props1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4DDD9-74DA-4370-A567-D8F4F8CCB258}"/>
</file>

<file path=customXml/itemProps3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SearchableListGL2601BR-JG.dotx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2025-12-31T22:35:00Z</dcterms:created>
  <dcterms:modified xsi:type="dcterms:W3CDTF">2025-12-31T22:35:00Z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