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CE" w:rsidRPr="00C47B07" w:rsidRDefault="00747F95" w:rsidP="00DC1ECE">
      <w:pPr>
        <w:autoSpaceDE w:val="0"/>
        <w:autoSpaceDN w:val="0"/>
        <w:adjustRightInd w:val="0"/>
        <w:spacing w:after="0" w:line="240" w:lineRule="auto"/>
        <w:rPr>
          <w:rFonts w:cstheme="minorHAnsi"/>
          <w:b/>
          <w:sz w:val="24"/>
          <w:szCs w:val="24"/>
        </w:rPr>
      </w:pPr>
      <w:r w:rsidRPr="00C47B07">
        <w:rPr>
          <w:rFonts w:cstheme="minorHAnsi"/>
          <w:b/>
          <w:sz w:val="24"/>
          <w:szCs w:val="24"/>
        </w:rPr>
        <w:t>CPT codes 64451, 64625 Anesthetic or steroid injection and/or radiofrequency ablation, nerves innervating the sacroiliac joint, with image guidance</w:t>
      </w:r>
    </w:p>
    <w:p w:rsidR="000938C4" w:rsidRPr="00C47B07" w:rsidRDefault="000938C4" w:rsidP="00DC1ECE">
      <w:pPr>
        <w:autoSpaceDE w:val="0"/>
        <w:autoSpaceDN w:val="0"/>
        <w:adjustRightInd w:val="0"/>
        <w:spacing w:after="0" w:line="240" w:lineRule="auto"/>
        <w:rPr>
          <w:rFonts w:cstheme="minorHAnsi"/>
          <w:b/>
          <w:sz w:val="24"/>
          <w:szCs w:val="24"/>
        </w:rPr>
      </w:pPr>
    </w:p>
    <w:p w:rsidR="00DC1ECE" w:rsidRPr="00C47B07" w:rsidRDefault="003A7E4E" w:rsidP="003A7E4E">
      <w:pPr>
        <w:autoSpaceDE w:val="0"/>
        <w:autoSpaceDN w:val="0"/>
        <w:adjustRightInd w:val="0"/>
        <w:spacing w:after="0" w:line="240" w:lineRule="auto"/>
        <w:rPr>
          <w:rFonts w:cstheme="minorHAnsi"/>
          <w:b/>
          <w:bCs/>
          <w:sz w:val="24"/>
          <w:szCs w:val="24"/>
        </w:rPr>
      </w:pPr>
      <w:r w:rsidRPr="00C47B07">
        <w:rPr>
          <w:rFonts w:cstheme="minorHAnsi"/>
          <w:b/>
          <w:bCs/>
          <w:sz w:val="24"/>
          <w:szCs w:val="24"/>
        </w:rPr>
        <w:t xml:space="preserve">Last reviewed at VbBS in </w:t>
      </w:r>
      <w:r w:rsidR="00B06C96" w:rsidRPr="00C47B07">
        <w:rPr>
          <w:rFonts w:cstheme="minorHAnsi"/>
          <w:b/>
          <w:bCs/>
          <w:sz w:val="24"/>
          <w:szCs w:val="24"/>
        </w:rPr>
        <w:t>November</w:t>
      </w:r>
      <w:r w:rsidR="001135E2" w:rsidRPr="00C47B07">
        <w:rPr>
          <w:rFonts w:cstheme="minorHAnsi"/>
          <w:b/>
          <w:bCs/>
          <w:sz w:val="24"/>
          <w:szCs w:val="24"/>
        </w:rPr>
        <w:t xml:space="preserve"> </w:t>
      </w:r>
      <w:r w:rsidR="00660992" w:rsidRPr="00C47B07">
        <w:rPr>
          <w:rFonts w:cstheme="minorHAnsi"/>
          <w:b/>
          <w:bCs/>
          <w:sz w:val="24"/>
          <w:szCs w:val="24"/>
        </w:rPr>
        <w:t>201</w:t>
      </w:r>
      <w:r w:rsidR="00B06C96" w:rsidRPr="00C47B07">
        <w:rPr>
          <w:rFonts w:cstheme="minorHAnsi"/>
          <w:b/>
          <w:bCs/>
          <w:sz w:val="24"/>
          <w:szCs w:val="24"/>
        </w:rPr>
        <w:t>9</w:t>
      </w:r>
      <w:r w:rsidRPr="00C47B07">
        <w:rPr>
          <w:rFonts w:cstheme="minorHAnsi"/>
          <w:b/>
          <w:bCs/>
          <w:sz w:val="24"/>
          <w:szCs w:val="24"/>
        </w:rPr>
        <w:t xml:space="preserve">. Minutes indicate </w:t>
      </w:r>
      <w:r w:rsidR="000938C4" w:rsidRPr="00C47B07">
        <w:rPr>
          <w:rFonts w:cstheme="minorHAnsi"/>
          <w:b/>
          <w:bCs/>
          <w:sz w:val="24"/>
          <w:szCs w:val="24"/>
        </w:rPr>
        <w:t>that the staff recommendation was accepted without significant discussion.</w:t>
      </w:r>
      <w:r w:rsidR="003C402A" w:rsidRPr="00C47B07">
        <w:rPr>
          <w:rFonts w:cstheme="minorHAnsi"/>
          <w:b/>
          <w:bCs/>
          <w:sz w:val="24"/>
          <w:szCs w:val="24"/>
        </w:rPr>
        <w:t xml:space="preserve"> HERC approved the recommendations without change. </w:t>
      </w:r>
    </w:p>
    <w:p w:rsidR="00067F0C" w:rsidRPr="00C47B07" w:rsidRDefault="00067F0C" w:rsidP="003A7E4E">
      <w:pPr>
        <w:autoSpaceDE w:val="0"/>
        <w:autoSpaceDN w:val="0"/>
        <w:adjustRightInd w:val="0"/>
        <w:spacing w:after="0" w:line="240" w:lineRule="auto"/>
        <w:rPr>
          <w:rFonts w:cstheme="minorHAnsi"/>
          <w:b/>
          <w:bCs/>
          <w:sz w:val="24"/>
          <w:szCs w:val="24"/>
        </w:rPr>
      </w:pPr>
    </w:p>
    <w:p w:rsidR="00747F95" w:rsidRPr="00C47B07" w:rsidRDefault="00747F95" w:rsidP="00747F95">
      <w:pPr>
        <w:spacing w:after="0" w:line="240" w:lineRule="auto"/>
        <w:rPr>
          <w:rFonts w:cstheme="minorHAnsi"/>
        </w:rPr>
      </w:pPr>
      <w:bookmarkStart w:id="0" w:name="_Hlk21528158"/>
    </w:p>
    <w:p w:rsidR="00747F95" w:rsidRPr="00C47B07" w:rsidRDefault="00747F95" w:rsidP="00747F95">
      <w:pPr>
        <w:spacing w:after="0" w:line="240" w:lineRule="auto"/>
        <w:rPr>
          <w:rFonts w:cstheme="minorHAnsi"/>
        </w:rPr>
      </w:pPr>
      <w:r w:rsidRPr="00C47B07">
        <w:rPr>
          <w:rFonts w:cstheme="minorHAnsi"/>
        </w:rPr>
        <w:t>Codes:</w:t>
      </w:r>
    </w:p>
    <w:p w:rsidR="00747F95" w:rsidRPr="00C47B07" w:rsidRDefault="00747F95" w:rsidP="00747F95">
      <w:pPr>
        <w:pStyle w:val="ListParagraph"/>
        <w:numPr>
          <w:ilvl w:val="0"/>
          <w:numId w:val="27"/>
        </w:numPr>
        <w:spacing w:after="0" w:line="240" w:lineRule="auto"/>
        <w:rPr>
          <w:rFonts w:cstheme="minorHAnsi"/>
        </w:rPr>
      </w:pPr>
      <w:r w:rsidRPr="00C47B07">
        <w:rPr>
          <w:rFonts w:cstheme="minorHAnsi"/>
        </w:rPr>
        <w:t xml:space="preserve">CPT </w:t>
      </w:r>
      <w:r w:rsidRPr="00C47B07">
        <w:rPr>
          <w:rFonts w:cstheme="minorHAnsi"/>
          <w:b/>
        </w:rPr>
        <w:t>64451</w:t>
      </w:r>
      <w:r w:rsidRPr="00C47B07">
        <w:rPr>
          <w:rFonts w:cstheme="minorHAnsi"/>
        </w:rPr>
        <w:t xml:space="preserve"> </w:t>
      </w:r>
      <w:r w:rsidRPr="00C47B07">
        <w:rPr>
          <w:rFonts w:cstheme="minorHAnsi"/>
          <w:color w:val="000000"/>
        </w:rPr>
        <w:t>Injection(s), anesthetic agent(s) and/or steroid; nerves innervating the sacroiliac joint, with image guidance (</w:t>
      </w:r>
      <w:proofErr w:type="spellStart"/>
      <w:r w:rsidRPr="00C47B07">
        <w:rPr>
          <w:rFonts w:cstheme="minorHAnsi"/>
          <w:color w:val="000000"/>
        </w:rPr>
        <w:t>ie</w:t>
      </w:r>
      <w:proofErr w:type="spellEnd"/>
      <w:r w:rsidRPr="00C47B07">
        <w:rPr>
          <w:rFonts w:cstheme="minorHAnsi"/>
          <w:color w:val="000000"/>
        </w:rPr>
        <w:t>, fluoroscopy or computed tomography)</w:t>
      </w:r>
    </w:p>
    <w:p w:rsidR="00747F95" w:rsidRPr="00C47B07" w:rsidRDefault="00747F95" w:rsidP="00747F95">
      <w:pPr>
        <w:pStyle w:val="ListParagraph"/>
        <w:numPr>
          <w:ilvl w:val="0"/>
          <w:numId w:val="27"/>
        </w:numPr>
        <w:spacing w:after="0" w:line="240" w:lineRule="auto"/>
        <w:rPr>
          <w:rFonts w:cstheme="minorHAnsi"/>
        </w:rPr>
      </w:pPr>
      <w:r w:rsidRPr="00C47B07">
        <w:rPr>
          <w:rFonts w:cstheme="minorHAnsi"/>
        </w:rPr>
        <w:t xml:space="preserve">CPT </w:t>
      </w:r>
      <w:r w:rsidRPr="00C47B07">
        <w:rPr>
          <w:rFonts w:cstheme="minorHAnsi"/>
          <w:b/>
        </w:rPr>
        <w:t>64625</w:t>
      </w:r>
      <w:r w:rsidRPr="00C47B07">
        <w:rPr>
          <w:rFonts w:cstheme="minorHAnsi"/>
        </w:rPr>
        <w:t xml:space="preserve"> </w:t>
      </w:r>
      <w:r w:rsidRPr="00C47B07">
        <w:rPr>
          <w:rFonts w:cstheme="minorHAnsi"/>
          <w:color w:val="000000"/>
        </w:rPr>
        <w:t>Radiofrequency ablation, nerves innervating the sacroiliac joint, with image guidance (</w:t>
      </w:r>
      <w:proofErr w:type="spellStart"/>
      <w:r w:rsidRPr="00C47B07">
        <w:rPr>
          <w:rFonts w:cstheme="minorHAnsi"/>
          <w:color w:val="000000"/>
        </w:rPr>
        <w:t>ie</w:t>
      </w:r>
      <w:proofErr w:type="spellEnd"/>
      <w:r w:rsidRPr="00C47B07">
        <w:rPr>
          <w:rFonts w:cstheme="minorHAnsi"/>
          <w:color w:val="000000"/>
        </w:rPr>
        <w:t>, fluoroscopy or computed tomography)</w:t>
      </w: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r w:rsidRPr="00C47B07">
        <w:rPr>
          <w:rFonts w:cstheme="minorHAnsi"/>
        </w:rPr>
        <w:t xml:space="preserve">Description: Anesthetic injections or radiofrequency ablation (RFA) are procedures used to treat SI joint pain.  The literature is unclear on what nerves precisely innervate the SI joint.  Most of the posterior sensory innervation is thought to be transmitted from the </w:t>
      </w:r>
      <w:proofErr w:type="spellStart"/>
      <w:r w:rsidRPr="00C47B07">
        <w:rPr>
          <w:rFonts w:cstheme="minorHAnsi"/>
        </w:rPr>
        <w:t>S1</w:t>
      </w:r>
      <w:proofErr w:type="spellEnd"/>
      <w:r w:rsidRPr="00C47B07">
        <w:rPr>
          <w:rFonts w:cstheme="minorHAnsi"/>
        </w:rPr>
        <w:t xml:space="preserve">, </w:t>
      </w:r>
      <w:proofErr w:type="spellStart"/>
      <w:r w:rsidRPr="00C47B07">
        <w:rPr>
          <w:rFonts w:cstheme="minorHAnsi"/>
        </w:rPr>
        <w:t>S2</w:t>
      </w:r>
      <w:proofErr w:type="spellEnd"/>
      <w:r w:rsidRPr="00C47B07">
        <w:rPr>
          <w:rFonts w:cstheme="minorHAnsi"/>
        </w:rPr>
        <w:t xml:space="preserve">, and </w:t>
      </w:r>
      <w:proofErr w:type="spellStart"/>
      <w:r w:rsidRPr="00C47B07">
        <w:rPr>
          <w:rFonts w:cstheme="minorHAnsi"/>
        </w:rPr>
        <w:t>S3</w:t>
      </w:r>
      <w:proofErr w:type="spellEnd"/>
      <w:r w:rsidRPr="00C47B07">
        <w:rPr>
          <w:rFonts w:cstheme="minorHAnsi"/>
        </w:rPr>
        <w:t xml:space="preserve"> dorsal rami via the lateral branches, as well as through medial branches from the </w:t>
      </w:r>
      <w:proofErr w:type="spellStart"/>
      <w:r w:rsidRPr="00C47B07">
        <w:rPr>
          <w:rFonts w:cstheme="minorHAnsi"/>
        </w:rPr>
        <w:t>L4</w:t>
      </w:r>
      <w:proofErr w:type="spellEnd"/>
      <w:r w:rsidRPr="00C47B07">
        <w:rPr>
          <w:rFonts w:cstheme="minorHAnsi"/>
        </w:rPr>
        <w:t xml:space="preserve"> and </w:t>
      </w:r>
      <w:proofErr w:type="spellStart"/>
      <w:r w:rsidRPr="00C47B07">
        <w:rPr>
          <w:rFonts w:cstheme="minorHAnsi"/>
        </w:rPr>
        <w:t>L5</w:t>
      </w:r>
      <w:proofErr w:type="spellEnd"/>
      <w:r w:rsidRPr="00C47B07">
        <w:rPr>
          <w:rFonts w:cstheme="minorHAnsi"/>
        </w:rPr>
        <w:t xml:space="preserve"> dorsal rami.  Anesthetic injections can help to diagnose the cause of </w:t>
      </w:r>
      <w:proofErr w:type="gramStart"/>
      <w:r w:rsidRPr="00C47B07">
        <w:rPr>
          <w:rFonts w:cstheme="minorHAnsi"/>
        </w:rPr>
        <w:t>pain, or</w:t>
      </w:r>
      <w:proofErr w:type="gramEnd"/>
      <w:r w:rsidRPr="00C47B07">
        <w:rPr>
          <w:rFonts w:cstheme="minorHAnsi"/>
        </w:rPr>
        <w:t xml:space="preserve"> can be used therapeutically to relieve pain.  When temporary anesthetic SI nerve injections are effective, a more long-term destruction of the nerve with RFA can be done. </w:t>
      </w: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r w:rsidRPr="00C47B07">
        <w:rPr>
          <w:rFonts w:cstheme="minorHAnsi"/>
        </w:rPr>
        <w:t>Similar codes</w:t>
      </w:r>
    </w:p>
    <w:p w:rsidR="00747F95" w:rsidRPr="00C47B07" w:rsidRDefault="00747F95" w:rsidP="00747F95">
      <w:pPr>
        <w:spacing w:after="0" w:line="240" w:lineRule="auto"/>
        <w:rPr>
          <w:rFonts w:cstheme="minorHAnsi"/>
        </w:rPr>
      </w:pPr>
      <w:r w:rsidRPr="00C47B07">
        <w:rPr>
          <w:rFonts w:cstheme="minorHAnsi"/>
        </w:rPr>
        <w:t>CPT 64450 (Injection(s), anesthetic agent(s) and/or steroid; other peripheral nerve or branch) is ancillary and governed by the ancillary guideline for nerve blocks.   Most other nerve blocks are also ancillary; however, the paravertebral facet joint nerve injections (CPT 64490-64492) are on line 662.</w:t>
      </w: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r w:rsidRPr="00C47B07">
        <w:rPr>
          <w:rFonts w:cstheme="minorHAnsi"/>
        </w:rPr>
        <w:t>CPT 64640 (Destruction by neurolytic agent; other peripheral nerve or branch) was used for the procedures now broken out into 64624 and 64635.  CPT 64640 was on line 662 CONDITIONS FOR WHICH CERTAIN INTERVENTIONS ARE UNPROVEN, HAVE NO CLINICALLY IMPORTANT BENEFIT OR HAVE HARMS THAT OUTWEIGH BENEFITS but was only reviewed for radiofrequency ablation of the knee. See Genicular Nerve issue for recommendations on CPT 64640.</w:t>
      </w:r>
    </w:p>
    <w:bookmarkEnd w:id="0"/>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r w:rsidRPr="00C47B07">
        <w:rPr>
          <w:rFonts w:cstheme="minorHAnsi"/>
        </w:rPr>
        <w:t>Evidence Review</w:t>
      </w:r>
      <w:r w:rsidR="00305D3D">
        <w:rPr>
          <w:rFonts w:cstheme="minorHAnsi"/>
        </w:rPr>
        <w:t>:</w:t>
      </w:r>
      <w:bookmarkStart w:id="1" w:name="_GoBack"/>
      <w:bookmarkEnd w:id="1"/>
    </w:p>
    <w:p w:rsidR="00747F95" w:rsidRPr="00C47B07" w:rsidRDefault="00747F95" w:rsidP="00747F95">
      <w:pPr>
        <w:pStyle w:val="ListParagraph"/>
        <w:numPr>
          <w:ilvl w:val="0"/>
          <w:numId w:val="29"/>
        </w:numPr>
        <w:spacing w:after="0" w:line="240" w:lineRule="auto"/>
        <w:rPr>
          <w:rFonts w:cstheme="minorHAnsi"/>
        </w:rPr>
      </w:pPr>
      <w:r w:rsidRPr="00C47B07">
        <w:rPr>
          <w:rFonts w:cstheme="minorHAnsi"/>
          <w:b/>
        </w:rPr>
        <w:t>Sun 2018</w:t>
      </w:r>
      <w:r w:rsidRPr="00C47B07">
        <w:rPr>
          <w:rFonts w:cstheme="minorHAnsi"/>
        </w:rPr>
        <w:t>, systematic review and meta-analysis of radiofrequency ablation for chronic SI joint pain</w:t>
      </w:r>
    </w:p>
    <w:p w:rsidR="00747F95" w:rsidRPr="00C47B07" w:rsidRDefault="00747F95" w:rsidP="00747F95">
      <w:pPr>
        <w:pStyle w:val="ListParagraph"/>
        <w:numPr>
          <w:ilvl w:val="1"/>
          <w:numId w:val="29"/>
        </w:numPr>
        <w:spacing w:after="0" w:line="240" w:lineRule="auto"/>
        <w:rPr>
          <w:rFonts w:cstheme="minorHAnsi"/>
        </w:rPr>
      </w:pPr>
      <w:r w:rsidRPr="00C47B07">
        <w:rPr>
          <w:rFonts w:cstheme="minorHAnsi"/>
        </w:rPr>
        <w:t>N=7 studies (240 patients)</w:t>
      </w:r>
    </w:p>
    <w:p w:rsidR="00747F95" w:rsidRPr="00C47B07" w:rsidRDefault="00747F95" w:rsidP="00747F95">
      <w:pPr>
        <w:pStyle w:val="ListParagraph"/>
        <w:numPr>
          <w:ilvl w:val="2"/>
          <w:numId w:val="29"/>
        </w:numPr>
        <w:spacing w:after="0" w:line="240" w:lineRule="auto"/>
        <w:rPr>
          <w:rFonts w:cstheme="minorHAnsi"/>
        </w:rPr>
      </w:pPr>
      <w:r w:rsidRPr="00C47B07">
        <w:rPr>
          <w:rFonts w:cstheme="minorHAnsi"/>
        </w:rPr>
        <w:t>2 RCTs (Nilesh 2016, Steven 2008), 79 patients</w:t>
      </w:r>
    </w:p>
    <w:p w:rsidR="00747F95" w:rsidRPr="00C47B07" w:rsidRDefault="00747F95" w:rsidP="00747F95">
      <w:pPr>
        <w:pStyle w:val="ListParagraph"/>
        <w:numPr>
          <w:ilvl w:val="2"/>
          <w:numId w:val="29"/>
        </w:numPr>
        <w:spacing w:after="0" w:line="240" w:lineRule="auto"/>
        <w:rPr>
          <w:rFonts w:cstheme="minorHAnsi"/>
        </w:rPr>
      </w:pPr>
      <w:r w:rsidRPr="00C47B07">
        <w:rPr>
          <w:rFonts w:cstheme="minorHAnsi"/>
        </w:rPr>
        <w:t>1 prospective cohort study (</w:t>
      </w:r>
      <w:proofErr w:type="spellStart"/>
      <w:r w:rsidRPr="00C47B07">
        <w:rPr>
          <w:rFonts w:cstheme="minorHAnsi"/>
        </w:rPr>
        <w:t>Haktan</w:t>
      </w:r>
      <w:proofErr w:type="spellEnd"/>
      <w:r w:rsidRPr="00C47B07">
        <w:rPr>
          <w:rFonts w:cstheme="minorHAnsi"/>
        </w:rPr>
        <w:t xml:space="preserve"> 2011), 15 patients</w:t>
      </w:r>
    </w:p>
    <w:p w:rsidR="00747F95" w:rsidRPr="00C47B07" w:rsidRDefault="00747F95" w:rsidP="00747F95">
      <w:pPr>
        <w:pStyle w:val="ListParagraph"/>
        <w:numPr>
          <w:ilvl w:val="2"/>
          <w:numId w:val="29"/>
        </w:numPr>
        <w:spacing w:after="0" w:line="240" w:lineRule="auto"/>
        <w:rPr>
          <w:rFonts w:cstheme="minorHAnsi"/>
        </w:rPr>
      </w:pPr>
      <w:r w:rsidRPr="00C47B07">
        <w:rPr>
          <w:rFonts w:cstheme="minorHAnsi"/>
        </w:rPr>
        <w:t xml:space="preserve">4 retrospective cohort studies (Leonardo 2008, </w:t>
      </w:r>
      <w:proofErr w:type="spellStart"/>
      <w:r w:rsidRPr="00C47B07">
        <w:rPr>
          <w:rFonts w:cstheme="minorHAnsi"/>
        </w:rPr>
        <w:t>Kok</w:t>
      </w:r>
      <w:proofErr w:type="spellEnd"/>
      <w:r w:rsidRPr="00C47B07">
        <w:rPr>
          <w:rFonts w:cstheme="minorHAnsi"/>
        </w:rPr>
        <w:t xml:space="preserve"> 2013, Andrea 2017, Wolfgang 2017), 177 patients</w:t>
      </w:r>
    </w:p>
    <w:p w:rsidR="00747F95" w:rsidRPr="00C47B07" w:rsidRDefault="00747F95" w:rsidP="00747F95">
      <w:pPr>
        <w:pStyle w:val="ListParagraph"/>
        <w:numPr>
          <w:ilvl w:val="1"/>
          <w:numId w:val="29"/>
        </w:numPr>
        <w:spacing w:after="0" w:line="240" w:lineRule="auto"/>
        <w:rPr>
          <w:rFonts w:cstheme="minorHAnsi"/>
        </w:rPr>
      </w:pPr>
      <w:r w:rsidRPr="00C47B07">
        <w:rPr>
          <w:rFonts w:cstheme="minorHAnsi"/>
        </w:rPr>
        <w:t xml:space="preserve">The overall pooled results demonstrated that pain intensity decreased significantly after cooled radiofrequency procedure compared with that </w:t>
      </w:r>
      <w:r w:rsidRPr="00C47B07">
        <w:rPr>
          <w:rFonts w:cstheme="minorHAnsi"/>
        </w:rPr>
        <w:lastRenderedPageBreak/>
        <w:t xml:space="preserve">measured before treatment. The mean difference (MD) was 3.81 [95% confidence intervals (95% CIs): 3.29–4.33, P&lt;.001] and 3.78 (95% CIs: 3.31–4.25, P&lt;.001) as measured by the Numerical Rating Scale (NRS) and Visual Analog Scale (VAS), respectively. Disability also relieved significantly after treatment compared with that measured before treatment. The MD was 18.2 (95% CIs: 12.22–24.17, P&lt;.001) as measured by the </w:t>
      </w:r>
      <w:proofErr w:type="spellStart"/>
      <w:r w:rsidRPr="00C47B07">
        <w:rPr>
          <w:rFonts w:cstheme="minorHAnsi"/>
        </w:rPr>
        <w:t>Oswestry</w:t>
      </w:r>
      <w:proofErr w:type="spellEnd"/>
      <w:r w:rsidRPr="00C47B07">
        <w:rPr>
          <w:rFonts w:cstheme="minorHAnsi"/>
        </w:rPr>
        <w:t xml:space="preserve"> Disability Index (ODI). Seventy-two percent of the patients presented positive results as measured by the Global Perceived Effect (GPE). The OR was 0.01 (95% CIs: 0.00–0.05, P&lt;.001). Only mild complications were observed in the 7 studies, including </w:t>
      </w:r>
      <w:proofErr w:type="spellStart"/>
      <w:r w:rsidRPr="00C47B07">
        <w:rPr>
          <w:rFonts w:cstheme="minorHAnsi"/>
        </w:rPr>
        <w:t>transienthip</w:t>
      </w:r>
      <w:proofErr w:type="spellEnd"/>
      <w:r w:rsidRPr="00C47B07">
        <w:rPr>
          <w:rFonts w:cstheme="minorHAnsi"/>
        </w:rPr>
        <w:t xml:space="preserve"> pain, soreness, and numbness.</w:t>
      </w:r>
    </w:p>
    <w:p w:rsidR="00747F95" w:rsidRPr="00C47B07" w:rsidRDefault="00747F95" w:rsidP="00747F95">
      <w:pPr>
        <w:pStyle w:val="ListParagraph"/>
        <w:numPr>
          <w:ilvl w:val="1"/>
          <w:numId w:val="29"/>
        </w:numPr>
        <w:spacing w:after="0" w:line="240" w:lineRule="auto"/>
        <w:rPr>
          <w:rFonts w:cstheme="minorHAnsi"/>
        </w:rPr>
      </w:pPr>
      <w:r w:rsidRPr="00C47B07">
        <w:rPr>
          <w:rFonts w:cstheme="minorHAnsi"/>
        </w:rPr>
        <w:t>Conclusion: Cooled radiofrequency procedure can significantly relieve pain and disability with no severe complications, and majority of patients are satisfied with this technique. Thus, it is safe and effective to use this procedure in managing patients with chronic SIJ pain. More high-quality and large-scale randomized controlled trials (RCTs) are required to validate our findings.</w:t>
      </w:r>
    </w:p>
    <w:p w:rsidR="00747F95" w:rsidRPr="00C47B07" w:rsidRDefault="00747F95" w:rsidP="00747F95">
      <w:pPr>
        <w:pStyle w:val="ListParagraph"/>
        <w:numPr>
          <w:ilvl w:val="1"/>
          <w:numId w:val="29"/>
        </w:numPr>
        <w:spacing w:after="0" w:line="240" w:lineRule="auto"/>
        <w:rPr>
          <w:rFonts w:cstheme="minorHAnsi"/>
        </w:rPr>
      </w:pPr>
      <w:r w:rsidRPr="00C47B07">
        <w:rPr>
          <w:rFonts w:cstheme="minorHAnsi"/>
        </w:rPr>
        <w:t>Limitations: The sample size of the included studies was small and various heterogeneity existed.</w:t>
      </w:r>
    </w:p>
    <w:p w:rsidR="00747F95" w:rsidRPr="00C47B07" w:rsidRDefault="00747F95" w:rsidP="00747F95">
      <w:pPr>
        <w:pStyle w:val="ListParagraph"/>
        <w:numPr>
          <w:ilvl w:val="0"/>
          <w:numId w:val="29"/>
        </w:numPr>
        <w:spacing w:after="0" w:line="240" w:lineRule="auto"/>
        <w:rPr>
          <w:rFonts w:cstheme="minorHAnsi"/>
        </w:rPr>
      </w:pPr>
      <w:r w:rsidRPr="00C47B07">
        <w:rPr>
          <w:rFonts w:cstheme="minorHAnsi"/>
          <w:b/>
        </w:rPr>
        <w:t>King 2015</w:t>
      </w:r>
      <w:r w:rsidRPr="00C47B07">
        <w:rPr>
          <w:rFonts w:cstheme="minorHAnsi"/>
        </w:rPr>
        <w:t>, systematic review of radiofrequency ablation for sacroiliac pain</w:t>
      </w:r>
    </w:p>
    <w:p w:rsidR="00747F95" w:rsidRPr="00C47B07" w:rsidRDefault="00747F95" w:rsidP="00747F95">
      <w:pPr>
        <w:pStyle w:val="ListParagraph"/>
        <w:numPr>
          <w:ilvl w:val="1"/>
          <w:numId w:val="29"/>
        </w:numPr>
        <w:spacing w:after="0" w:line="240" w:lineRule="auto"/>
        <w:rPr>
          <w:rFonts w:cstheme="minorHAnsi"/>
        </w:rPr>
      </w:pPr>
      <w:r w:rsidRPr="00C47B07">
        <w:rPr>
          <w:rFonts w:cstheme="minorHAnsi"/>
        </w:rPr>
        <w:t>N=17 studies</w:t>
      </w:r>
    </w:p>
    <w:p w:rsidR="00747F95" w:rsidRPr="00C47B07" w:rsidRDefault="00747F95" w:rsidP="00747F95">
      <w:pPr>
        <w:pStyle w:val="ListParagraph"/>
        <w:numPr>
          <w:ilvl w:val="2"/>
          <w:numId w:val="29"/>
        </w:numPr>
        <w:spacing w:after="0" w:line="240" w:lineRule="auto"/>
        <w:rPr>
          <w:rFonts w:cstheme="minorHAnsi"/>
        </w:rPr>
      </w:pPr>
      <w:r w:rsidRPr="00C47B07">
        <w:rPr>
          <w:rFonts w:cstheme="minorHAnsi"/>
        </w:rPr>
        <w:t>N=2 studies on diagnostic blocks (anesthetic injection)</w:t>
      </w:r>
    </w:p>
    <w:p w:rsidR="00747F95" w:rsidRPr="00C47B07" w:rsidRDefault="00747F95" w:rsidP="00747F95">
      <w:pPr>
        <w:pStyle w:val="ListParagraph"/>
        <w:numPr>
          <w:ilvl w:val="2"/>
          <w:numId w:val="29"/>
        </w:numPr>
        <w:spacing w:after="0" w:line="240" w:lineRule="auto"/>
        <w:rPr>
          <w:rFonts w:cstheme="minorHAnsi"/>
        </w:rPr>
      </w:pPr>
      <w:r w:rsidRPr="00C47B07">
        <w:rPr>
          <w:rFonts w:cstheme="minorHAnsi"/>
        </w:rPr>
        <w:t>N=15 studies on RFA</w:t>
      </w:r>
    </w:p>
    <w:p w:rsidR="00747F95" w:rsidRPr="00C47B07" w:rsidRDefault="00747F95" w:rsidP="00747F95">
      <w:pPr>
        <w:pStyle w:val="ListParagraph"/>
        <w:numPr>
          <w:ilvl w:val="3"/>
          <w:numId w:val="29"/>
        </w:numPr>
        <w:spacing w:after="0" w:line="240" w:lineRule="auto"/>
        <w:rPr>
          <w:rFonts w:cstheme="minorHAnsi"/>
        </w:rPr>
      </w:pPr>
      <w:r w:rsidRPr="00C47B07">
        <w:rPr>
          <w:rFonts w:cstheme="minorHAnsi"/>
        </w:rPr>
        <w:t xml:space="preserve">4 prospective observational, 9 </w:t>
      </w:r>
      <w:proofErr w:type="gramStart"/>
      <w:r w:rsidRPr="00C47B07">
        <w:rPr>
          <w:rFonts w:cstheme="minorHAnsi"/>
        </w:rPr>
        <w:t>retrospective</w:t>
      </w:r>
      <w:proofErr w:type="gramEnd"/>
      <w:r w:rsidRPr="00C47B07">
        <w:rPr>
          <w:rFonts w:cstheme="minorHAnsi"/>
        </w:rPr>
        <w:t xml:space="preserve"> observational, 2 “explanatory studies”</w:t>
      </w:r>
    </w:p>
    <w:p w:rsidR="00747F95" w:rsidRPr="00C47B07" w:rsidRDefault="00747F95" w:rsidP="00747F95">
      <w:pPr>
        <w:pStyle w:val="ListParagraph"/>
        <w:numPr>
          <w:ilvl w:val="3"/>
          <w:numId w:val="29"/>
        </w:numPr>
        <w:spacing w:after="0" w:line="240" w:lineRule="auto"/>
        <w:rPr>
          <w:rFonts w:cstheme="minorHAnsi"/>
        </w:rPr>
      </w:pPr>
      <w:r w:rsidRPr="00C47B07">
        <w:rPr>
          <w:rFonts w:cstheme="minorHAnsi"/>
        </w:rPr>
        <w:t xml:space="preserve">The studies had </w:t>
      </w:r>
      <w:r w:rsidRPr="00C47B07">
        <w:rPr>
          <w:rFonts w:cstheme="minorHAnsi"/>
          <w:color w:val="231F20"/>
        </w:rPr>
        <w:t>widely different criteria for patient selection and a variety of treatment techniques, which differed both in structures targeted and radiofrequency (RF) technologies used</w:t>
      </w:r>
    </w:p>
    <w:p w:rsidR="00747F95" w:rsidRPr="00C47B07" w:rsidRDefault="00747F95" w:rsidP="00747F95">
      <w:pPr>
        <w:pStyle w:val="ListParagraph"/>
        <w:numPr>
          <w:ilvl w:val="1"/>
          <w:numId w:val="29"/>
        </w:numPr>
        <w:spacing w:after="0" w:line="240" w:lineRule="auto"/>
        <w:rPr>
          <w:rFonts w:cstheme="minorHAnsi"/>
        </w:rPr>
      </w:pPr>
      <w:r w:rsidRPr="00C47B07">
        <w:rPr>
          <w:rFonts w:cstheme="minorHAnsi"/>
          <w:color w:val="231F20"/>
        </w:rPr>
        <w:t xml:space="preserve">Results for diagnostic anesthetic injections: 2 RCTS of asymptomatic people (N=15, 20) showed what injections could result in SI joint numbness in 40-70% of people </w:t>
      </w:r>
    </w:p>
    <w:p w:rsidR="00747F95" w:rsidRPr="00C47B07" w:rsidRDefault="00747F95" w:rsidP="00747F95">
      <w:pPr>
        <w:pStyle w:val="ListParagraph"/>
        <w:numPr>
          <w:ilvl w:val="1"/>
          <w:numId w:val="29"/>
        </w:numPr>
        <w:spacing w:after="0" w:line="240" w:lineRule="auto"/>
        <w:rPr>
          <w:rFonts w:cstheme="minorHAnsi"/>
        </w:rPr>
      </w:pPr>
      <w:r w:rsidRPr="00C47B07">
        <w:rPr>
          <w:rFonts w:cstheme="minorHAnsi"/>
          <w:color w:val="231F20"/>
        </w:rPr>
        <w:t xml:space="preserve">Results for RFA: </w:t>
      </w:r>
    </w:p>
    <w:p w:rsidR="00747F95" w:rsidRPr="00C47B07" w:rsidRDefault="00747F95" w:rsidP="00747F95">
      <w:pPr>
        <w:pStyle w:val="ListParagraph"/>
        <w:numPr>
          <w:ilvl w:val="2"/>
          <w:numId w:val="29"/>
        </w:numPr>
        <w:spacing w:after="0" w:line="240" w:lineRule="auto"/>
        <w:rPr>
          <w:rFonts w:cstheme="minorHAnsi"/>
        </w:rPr>
      </w:pPr>
      <w:r w:rsidRPr="00C47B07">
        <w:rPr>
          <w:rFonts w:cstheme="minorHAnsi"/>
          <w:color w:val="231F20"/>
        </w:rPr>
        <w:t>10 studies showed between 32 and 89% of patients had &gt;50% pain relief</w:t>
      </w:r>
    </w:p>
    <w:p w:rsidR="00747F95" w:rsidRPr="00C47B07" w:rsidRDefault="00747F95" w:rsidP="00747F95">
      <w:pPr>
        <w:pStyle w:val="ListParagraph"/>
        <w:numPr>
          <w:ilvl w:val="2"/>
          <w:numId w:val="29"/>
        </w:numPr>
        <w:spacing w:after="0" w:line="240" w:lineRule="auto"/>
        <w:rPr>
          <w:rFonts w:cstheme="minorHAnsi"/>
        </w:rPr>
      </w:pPr>
      <w:r w:rsidRPr="00C47B07">
        <w:rPr>
          <w:rFonts w:cstheme="minorHAnsi"/>
          <w:color w:val="231F20"/>
        </w:rPr>
        <w:t>6 studies showed 11-44% of patients with 100% pain relief</w:t>
      </w:r>
    </w:p>
    <w:p w:rsidR="00747F95" w:rsidRPr="00C47B07" w:rsidRDefault="00747F95" w:rsidP="00747F95">
      <w:pPr>
        <w:pStyle w:val="ListParagraph"/>
        <w:numPr>
          <w:ilvl w:val="1"/>
          <w:numId w:val="29"/>
        </w:numPr>
        <w:spacing w:after="0" w:line="240" w:lineRule="auto"/>
        <w:rPr>
          <w:rFonts w:cstheme="minorHAnsi"/>
        </w:rPr>
      </w:pPr>
      <w:r w:rsidRPr="00C47B07">
        <w:rPr>
          <w:rFonts w:cstheme="minorHAnsi"/>
          <w:color w:val="231F20"/>
        </w:rPr>
        <w:t xml:space="preserve">Conclusions. The literature on sacral lateral branch interventions is sparse. One study demonstrates the face validity of multisite, </w:t>
      </w:r>
      <w:proofErr w:type="spellStart"/>
      <w:r w:rsidRPr="00C47B07">
        <w:rPr>
          <w:rFonts w:cstheme="minorHAnsi"/>
          <w:color w:val="231F20"/>
        </w:rPr>
        <w:t>multidepth</w:t>
      </w:r>
      <w:proofErr w:type="spellEnd"/>
      <w:r w:rsidRPr="00C47B07">
        <w:rPr>
          <w:rFonts w:cstheme="minorHAnsi"/>
          <w:color w:val="231F20"/>
        </w:rPr>
        <w:t xml:space="preserve"> sacral lateral branch blocks for diagnosis of posterior sacroiliac complex pain. Some evidence of moderate quality exists on therapeutic procedures, but it is insufficient to determine the indications and effectiveness of sacral lateral branch thermal radiofrequency</w:t>
      </w: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r w:rsidRPr="00C47B07">
        <w:rPr>
          <w:rFonts w:cstheme="minorHAnsi"/>
        </w:rPr>
        <w:t xml:space="preserve">Other payer policies </w:t>
      </w:r>
    </w:p>
    <w:p w:rsidR="00747F95" w:rsidRPr="00C47B07" w:rsidRDefault="00747F95" w:rsidP="00747F95">
      <w:pPr>
        <w:pStyle w:val="ListParagraph"/>
        <w:numPr>
          <w:ilvl w:val="0"/>
          <w:numId w:val="28"/>
        </w:numPr>
        <w:spacing w:after="0" w:line="240" w:lineRule="auto"/>
        <w:rPr>
          <w:rFonts w:cstheme="minorHAnsi"/>
        </w:rPr>
      </w:pPr>
      <w:r w:rsidRPr="00C47B07">
        <w:rPr>
          <w:rFonts w:cstheme="minorHAnsi"/>
        </w:rPr>
        <w:t>Cigna 2019: RFA of the SI joint is considered experimental</w:t>
      </w: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r w:rsidRPr="00C47B07">
        <w:rPr>
          <w:rFonts w:cstheme="minorHAnsi"/>
        </w:rPr>
        <w:t>HERC staff summary</w:t>
      </w:r>
      <w:r w:rsidR="00C47B07">
        <w:rPr>
          <w:rFonts w:cstheme="minorHAnsi"/>
        </w:rPr>
        <w:t>:</w:t>
      </w:r>
    </w:p>
    <w:p w:rsidR="00747F95" w:rsidRPr="00C47B07" w:rsidRDefault="00747F95" w:rsidP="00747F95">
      <w:pPr>
        <w:spacing w:after="0" w:line="240" w:lineRule="auto"/>
        <w:rPr>
          <w:rFonts w:cstheme="minorHAnsi"/>
        </w:rPr>
      </w:pPr>
      <w:r w:rsidRPr="00C47B07">
        <w:rPr>
          <w:rFonts w:cstheme="minorHAnsi"/>
        </w:rPr>
        <w:t>The evidence base for RFA of the SI joint nerves consists mainly of small observational trials, with variation in diagnostic criteria, patient selection, treatment modality and outcomes measured.  The efficacy of RFA for SI joint nerves is therefore insufficient.  If ablation of the nerves is not covered, then the anesthetic injection for diagnosis does not need to be covered.</w:t>
      </w: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r w:rsidRPr="00C47B07">
        <w:rPr>
          <w:rFonts w:cstheme="minorHAnsi"/>
        </w:rPr>
        <w:t>Of note, Guideline Note 161 mentions SI joint anesthetic injections but is referring to joint injections, not nerve injections.  This should be clarified.</w:t>
      </w: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p>
    <w:p w:rsidR="00747F95" w:rsidRPr="00C47B07" w:rsidRDefault="00747F95" w:rsidP="00747F95">
      <w:pPr>
        <w:spacing w:after="0" w:line="240" w:lineRule="auto"/>
        <w:rPr>
          <w:rFonts w:cstheme="minorHAnsi"/>
        </w:rPr>
      </w:pPr>
      <w:r w:rsidRPr="00C47B07">
        <w:rPr>
          <w:rFonts w:cstheme="minorHAnsi"/>
        </w:rPr>
        <w:t>HERC staff recommendations:</w:t>
      </w:r>
    </w:p>
    <w:p w:rsidR="00747F95" w:rsidRPr="00C47B07" w:rsidRDefault="00747F95" w:rsidP="00747F95">
      <w:pPr>
        <w:pStyle w:val="ListParagraph"/>
        <w:numPr>
          <w:ilvl w:val="0"/>
          <w:numId w:val="30"/>
        </w:numPr>
        <w:spacing w:after="0" w:line="240" w:lineRule="auto"/>
        <w:rPr>
          <w:rFonts w:cstheme="minorHAnsi"/>
        </w:rPr>
      </w:pPr>
      <w:r w:rsidRPr="00C47B07">
        <w:rPr>
          <w:rFonts w:cstheme="minorHAnsi"/>
        </w:rPr>
        <w:t xml:space="preserve">Recommend HSD place CPT </w:t>
      </w:r>
      <w:r w:rsidRPr="00C47B07">
        <w:rPr>
          <w:rFonts w:cstheme="minorHAnsi"/>
          <w:b/>
        </w:rPr>
        <w:t>64451</w:t>
      </w:r>
      <w:r w:rsidRPr="00C47B07">
        <w:rPr>
          <w:rFonts w:cstheme="minorHAnsi"/>
        </w:rPr>
        <w:t xml:space="preserve"> (</w:t>
      </w:r>
      <w:r w:rsidRPr="00C47B07">
        <w:rPr>
          <w:rFonts w:cstheme="minorHAnsi"/>
          <w:color w:val="000000"/>
        </w:rPr>
        <w:t>Injection(s), anesthetic agent(s) and/or steroid; nerves innervating the sacroiliac joint, with image guidance (</w:t>
      </w:r>
      <w:proofErr w:type="spellStart"/>
      <w:r w:rsidRPr="00C47B07">
        <w:rPr>
          <w:rFonts w:cstheme="minorHAnsi"/>
          <w:color w:val="000000"/>
        </w:rPr>
        <w:t>ie</w:t>
      </w:r>
      <w:proofErr w:type="spellEnd"/>
      <w:r w:rsidRPr="00C47B07">
        <w:rPr>
          <w:rFonts w:cstheme="minorHAnsi"/>
          <w:color w:val="000000"/>
        </w:rPr>
        <w:t>, fluoroscopy or computed tomography)</w:t>
      </w:r>
      <w:r w:rsidRPr="00C47B07">
        <w:rPr>
          <w:rFonts w:cstheme="minorHAnsi"/>
        </w:rPr>
        <w:t>) on line 662/GN173</w:t>
      </w:r>
    </w:p>
    <w:p w:rsidR="00747F95" w:rsidRPr="00C47B07" w:rsidRDefault="00747F95" w:rsidP="00747F95">
      <w:pPr>
        <w:pStyle w:val="ListParagraph"/>
        <w:numPr>
          <w:ilvl w:val="1"/>
          <w:numId w:val="30"/>
        </w:numPr>
        <w:spacing w:after="0" w:line="240" w:lineRule="auto"/>
        <w:rPr>
          <w:rFonts w:cstheme="minorHAnsi"/>
        </w:rPr>
      </w:pPr>
      <w:proofErr w:type="gramStart"/>
      <w:r w:rsidRPr="00C47B07">
        <w:rPr>
          <w:rFonts w:cstheme="minorHAnsi"/>
        </w:rPr>
        <w:t>Similar to</w:t>
      </w:r>
      <w:proofErr w:type="gramEnd"/>
      <w:r w:rsidRPr="00C47B07">
        <w:rPr>
          <w:rFonts w:cstheme="minorHAnsi"/>
        </w:rPr>
        <w:t xml:space="preserve"> paravertebral facet injections which are on line 662</w:t>
      </w:r>
    </w:p>
    <w:p w:rsidR="00747F95" w:rsidRPr="00C47B07" w:rsidRDefault="00747F95" w:rsidP="00747F95">
      <w:pPr>
        <w:pStyle w:val="ListParagraph"/>
        <w:numPr>
          <w:ilvl w:val="0"/>
          <w:numId w:val="30"/>
        </w:numPr>
        <w:spacing w:after="0" w:line="240" w:lineRule="auto"/>
        <w:rPr>
          <w:rFonts w:cstheme="minorHAnsi"/>
        </w:rPr>
      </w:pPr>
      <w:r w:rsidRPr="00C47B07">
        <w:rPr>
          <w:rFonts w:cstheme="minorHAnsi"/>
        </w:rPr>
        <w:t xml:space="preserve">Place CPT </w:t>
      </w:r>
      <w:r w:rsidRPr="00C47B07">
        <w:rPr>
          <w:rFonts w:cstheme="minorHAnsi"/>
          <w:b/>
        </w:rPr>
        <w:t>64625</w:t>
      </w:r>
      <w:r w:rsidRPr="00C47B07">
        <w:rPr>
          <w:rFonts w:cstheme="minorHAnsi"/>
        </w:rPr>
        <w:t xml:space="preserve"> (</w:t>
      </w:r>
      <w:r w:rsidRPr="00C47B07">
        <w:rPr>
          <w:rFonts w:cstheme="minorHAnsi"/>
          <w:color w:val="000000"/>
        </w:rPr>
        <w:t>Radiofrequency ablation, nerves innervating the sacroiliac joint, with image guidance (</w:t>
      </w:r>
      <w:proofErr w:type="spellStart"/>
      <w:r w:rsidRPr="00C47B07">
        <w:rPr>
          <w:rFonts w:cstheme="minorHAnsi"/>
          <w:color w:val="000000"/>
        </w:rPr>
        <w:t>ie</w:t>
      </w:r>
      <w:proofErr w:type="spellEnd"/>
      <w:r w:rsidRPr="00C47B07">
        <w:rPr>
          <w:rFonts w:cstheme="minorHAnsi"/>
          <w:color w:val="000000"/>
        </w:rPr>
        <w:t xml:space="preserve">, fluoroscopy or computed tomography)) on line 662 </w:t>
      </w:r>
      <w:r w:rsidRPr="00C47B07">
        <w:rPr>
          <w:rFonts w:cstheme="minorHAnsi"/>
        </w:rPr>
        <w:t>CONDITIONS FOR WHICH CERTAIN INTERVENTIONS ARE UNPROVEN, HAVE NO CLINICALLY IMPORTANT BENEFIT OR HAVE HARMS THAT OUTWEIGH BENEFITS</w:t>
      </w:r>
      <w:r w:rsidRPr="00C47B07">
        <w:rPr>
          <w:rFonts w:cstheme="minorHAnsi"/>
          <w:color w:val="000000"/>
        </w:rPr>
        <w:t xml:space="preserve"> and modify GN173 as shown below</w:t>
      </w:r>
    </w:p>
    <w:p w:rsidR="00747F95" w:rsidRPr="00C47B07" w:rsidRDefault="00747F95" w:rsidP="00747F95">
      <w:pPr>
        <w:pStyle w:val="ListParagraph"/>
        <w:numPr>
          <w:ilvl w:val="1"/>
          <w:numId w:val="30"/>
        </w:numPr>
        <w:spacing w:after="0" w:line="240" w:lineRule="auto"/>
        <w:rPr>
          <w:rFonts w:cstheme="minorHAnsi"/>
        </w:rPr>
      </w:pPr>
      <w:r w:rsidRPr="00C47B07">
        <w:rPr>
          <w:rFonts w:cstheme="minorHAnsi"/>
          <w:color w:val="000000"/>
        </w:rPr>
        <w:t>Lack of evidence of effectiveness</w:t>
      </w:r>
    </w:p>
    <w:p w:rsidR="00747F95" w:rsidRPr="00C47B07" w:rsidRDefault="00747F95" w:rsidP="00747F95">
      <w:pPr>
        <w:pStyle w:val="ListParagraph"/>
        <w:numPr>
          <w:ilvl w:val="0"/>
          <w:numId w:val="30"/>
        </w:numPr>
        <w:spacing w:after="0" w:line="240" w:lineRule="auto"/>
        <w:rPr>
          <w:rFonts w:cstheme="minorHAnsi"/>
        </w:rPr>
      </w:pPr>
      <w:r w:rsidRPr="00C47B07">
        <w:rPr>
          <w:rFonts w:cstheme="minorHAnsi"/>
          <w:color w:val="000000"/>
        </w:rPr>
        <w:t>Modify GN161 as shown below to clarify that SI joint, but not nerve, injections are included in the GN</w:t>
      </w:r>
    </w:p>
    <w:p w:rsidR="00747F95" w:rsidRPr="00C47B07" w:rsidRDefault="00747F95" w:rsidP="00747F95">
      <w:pPr>
        <w:spacing w:after="0" w:line="240" w:lineRule="auto"/>
        <w:rPr>
          <w:rFonts w:cstheme="minorHAnsi"/>
        </w:rPr>
      </w:pPr>
    </w:p>
    <w:p w:rsidR="00747F95" w:rsidRPr="00C47B07" w:rsidRDefault="00747F95" w:rsidP="00747F95">
      <w:pPr>
        <w:pStyle w:val="Heading1"/>
        <w:spacing w:after="0"/>
        <w:rPr>
          <w:rFonts w:asciiTheme="minorHAnsi" w:hAnsiTheme="minorHAnsi" w:cstheme="minorHAnsi"/>
          <w:sz w:val="22"/>
          <w:szCs w:val="22"/>
        </w:rPr>
      </w:pPr>
    </w:p>
    <w:p w:rsidR="00747F95" w:rsidRPr="00C47B07" w:rsidRDefault="00747F95" w:rsidP="00747F95">
      <w:pPr>
        <w:pStyle w:val="Heading1"/>
        <w:rPr>
          <w:rFonts w:asciiTheme="minorHAnsi" w:hAnsiTheme="minorHAnsi" w:cstheme="minorHAnsi"/>
          <w:sz w:val="22"/>
          <w:szCs w:val="22"/>
        </w:rPr>
      </w:pPr>
      <w:r w:rsidRPr="00C47B07">
        <w:rPr>
          <w:rFonts w:asciiTheme="minorHAnsi" w:hAnsiTheme="minorHAnsi" w:cstheme="minorHAnsi"/>
          <w:sz w:val="22"/>
          <w:szCs w:val="22"/>
        </w:rPr>
        <w:t>GUIDELINE NOTE 173, INTERVENTIONS THAT ARE UNPROVEN, HAVE NO CLINICALLY IMPORTANT BENEFIT OR HAVE HARMS THAT OUTWEIGH BENEFITS FOR CERTAIN CONDITIONS</w:t>
      </w:r>
    </w:p>
    <w:p w:rsidR="00747F95" w:rsidRPr="00C47B07" w:rsidRDefault="00747F95" w:rsidP="00747F95">
      <w:pPr>
        <w:pStyle w:val="HSCGLLineList"/>
        <w:rPr>
          <w:rFonts w:asciiTheme="minorHAnsi" w:hAnsiTheme="minorHAnsi" w:cstheme="minorHAnsi"/>
          <w:sz w:val="22"/>
          <w:szCs w:val="22"/>
        </w:rPr>
      </w:pPr>
      <w:r w:rsidRPr="00C47B07">
        <w:rPr>
          <w:rFonts w:asciiTheme="minorHAnsi" w:hAnsiTheme="minorHAnsi" w:cstheme="minorHAnsi"/>
          <w:sz w:val="22"/>
          <w:szCs w:val="22"/>
        </w:rPr>
        <w:t>Line 662</w:t>
      </w:r>
    </w:p>
    <w:p w:rsidR="00747F95" w:rsidRPr="00C47B07" w:rsidRDefault="00747F95" w:rsidP="00747F95">
      <w:pPr>
        <w:pStyle w:val="HSCNormal"/>
        <w:rPr>
          <w:rFonts w:asciiTheme="minorHAnsi" w:hAnsiTheme="minorHAnsi" w:cstheme="minorHAnsi"/>
          <w:sz w:val="22"/>
          <w:szCs w:val="22"/>
        </w:rPr>
      </w:pPr>
      <w:r w:rsidRPr="00C47B07">
        <w:rPr>
          <w:rFonts w:asciiTheme="minorHAnsi" w:hAnsiTheme="minorHAnsi" w:cstheme="minorHAnsi"/>
          <w:sz w:val="22"/>
          <w:szCs w:val="22"/>
        </w:rPr>
        <w:t>The following Interventions are prioritized on Line 662 CONDITIONS FOR WHICH CERTAIN INTERVENTIONS ARE UNPROVEN, HAVE NO CLINICALLY IMPORTANT BENEFIT OR HAVE HARMS THAT OUTWEIGH BENEFITS:</w:t>
      </w:r>
    </w:p>
    <w:p w:rsidR="00747F95" w:rsidRPr="00C47B07" w:rsidRDefault="00747F95" w:rsidP="00747F95">
      <w:pPr>
        <w:pStyle w:val="HSCNormal"/>
        <w:rPr>
          <w:rFonts w:asciiTheme="minorHAnsi" w:hAnsiTheme="minorHAnsi" w:cstheme="minorHAnsi"/>
          <w:sz w:val="22"/>
          <w:szCs w:val="22"/>
        </w:rPr>
      </w:pPr>
    </w:p>
    <w:tbl>
      <w:tblPr>
        <w:tblStyle w:val="TableGrid"/>
        <w:tblW w:w="9445" w:type="dxa"/>
        <w:tblLook w:val="04A0" w:firstRow="1" w:lastRow="0" w:firstColumn="1" w:lastColumn="0" w:noHBand="0" w:noVBand="1"/>
      </w:tblPr>
      <w:tblGrid>
        <w:gridCol w:w="1525"/>
        <w:gridCol w:w="3330"/>
        <w:gridCol w:w="2970"/>
        <w:gridCol w:w="1620"/>
      </w:tblGrid>
      <w:tr w:rsidR="00747F95" w:rsidRPr="00C47B07" w:rsidTr="00FC0CFA">
        <w:trPr>
          <w:trHeight w:val="197"/>
        </w:trPr>
        <w:tc>
          <w:tcPr>
            <w:tcW w:w="1525" w:type="dxa"/>
            <w:hideMark/>
          </w:tcPr>
          <w:p w:rsidR="00747F95" w:rsidRPr="00C47B07" w:rsidRDefault="00747F95" w:rsidP="00FC0CFA">
            <w:pPr>
              <w:rPr>
                <w:rStyle w:val="PageNumber"/>
                <w:rFonts w:cstheme="minorHAnsi"/>
                <w:b/>
              </w:rPr>
            </w:pPr>
            <w:r w:rsidRPr="00C47B07">
              <w:rPr>
                <w:rStyle w:val="PageNumber"/>
                <w:rFonts w:cstheme="minorHAnsi"/>
                <w:b/>
              </w:rPr>
              <w:t>Procedure Code</w:t>
            </w:r>
          </w:p>
        </w:tc>
        <w:tc>
          <w:tcPr>
            <w:tcW w:w="3330" w:type="dxa"/>
            <w:hideMark/>
          </w:tcPr>
          <w:p w:rsidR="00747F95" w:rsidRPr="00C47B07" w:rsidRDefault="00747F95" w:rsidP="00FC0CFA">
            <w:pPr>
              <w:rPr>
                <w:rStyle w:val="PageNumber"/>
                <w:rFonts w:cstheme="minorHAnsi"/>
                <w:b/>
              </w:rPr>
            </w:pPr>
            <w:r w:rsidRPr="00C47B07">
              <w:rPr>
                <w:rStyle w:val="PageNumber"/>
                <w:rFonts w:cstheme="minorHAnsi"/>
                <w:b/>
              </w:rPr>
              <w:t>Intervention Description</w:t>
            </w:r>
          </w:p>
        </w:tc>
        <w:tc>
          <w:tcPr>
            <w:tcW w:w="2970" w:type="dxa"/>
            <w:hideMark/>
          </w:tcPr>
          <w:p w:rsidR="00747F95" w:rsidRPr="00C47B07" w:rsidRDefault="00747F95" w:rsidP="00FC0CFA">
            <w:pPr>
              <w:rPr>
                <w:rStyle w:val="PageNumber"/>
                <w:rFonts w:cstheme="minorHAnsi"/>
                <w:b/>
              </w:rPr>
            </w:pPr>
            <w:r w:rsidRPr="00C47B07">
              <w:rPr>
                <w:rStyle w:val="PageNumber"/>
                <w:rFonts w:cstheme="minorHAnsi"/>
                <w:b/>
              </w:rPr>
              <w:t>Rationale</w:t>
            </w:r>
          </w:p>
        </w:tc>
        <w:tc>
          <w:tcPr>
            <w:tcW w:w="1620" w:type="dxa"/>
            <w:hideMark/>
          </w:tcPr>
          <w:p w:rsidR="00747F95" w:rsidRPr="00C47B07" w:rsidRDefault="00747F95" w:rsidP="00FC0CFA">
            <w:pPr>
              <w:rPr>
                <w:rStyle w:val="PageNumber"/>
                <w:rFonts w:cstheme="minorHAnsi"/>
                <w:b/>
              </w:rPr>
            </w:pPr>
            <w:r w:rsidRPr="00C47B07">
              <w:rPr>
                <w:rStyle w:val="PageNumber"/>
                <w:rFonts w:cstheme="minorHAnsi"/>
                <w:b/>
              </w:rPr>
              <w:t>Last Review</w:t>
            </w:r>
          </w:p>
        </w:tc>
      </w:tr>
      <w:tr w:rsidR="00747F95" w:rsidRPr="00C47B07" w:rsidTr="00FC0CFA">
        <w:trPr>
          <w:cantSplit/>
        </w:trPr>
        <w:tc>
          <w:tcPr>
            <w:tcW w:w="1525" w:type="dxa"/>
            <w:hideMark/>
          </w:tcPr>
          <w:p w:rsidR="00747F95" w:rsidRPr="00C47B07" w:rsidRDefault="00747F95" w:rsidP="00FC0CFA">
            <w:pPr>
              <w:rPr>
                <w:rStyle w:val="PageNumber"/>
                <w:rFonts w:cstheme="minorHAnsi"/>
              </w:rPr>
            </w:pPr>
            <w:r w:rsidRPr="00C47B07">
              <w:rPr>
                <w:rStyle w:val="PageNumber"/>
                <w:rFonts w:cstheme="minorHAnsi"/>
              </w:rPr>
              <w:t>64451, 64625</w:t>
            </w:r>
          </w:p>
          <w:p w:rsidR="00747F95" w:rsidRPr="00C47B07" w:rsidRDefault="00747F95" w:rsidP="00FC0CFA">
            <w:pPr>
              <w:rPr>
                <w:rStyle w:val="PageNumber"/>
                <w:rFonts w:cstheme="minorHAnsi"/>
              </w:rPr>
            </w:pPr>
          </w:p>
        </w:tc>
        <w:tc>
          <w:tcPr>
            <w:tcW w:w="3330" w:type="dxa"/>
            <w:hideMark/>
          </w:tcPr>
          <w:p w:rsidR="00747F95" w:rsidRPr="00C47B07" w:rsidRDefault="00747F95" w:rsidP="00FC0CFA">
            <w:pPr>
              <w:rPr>
                <w:rStyle w:val="PageNumber"/>
                <w:rFonts w:cstheme="minorHAnsi"/>
              </w:rPr>
            </w:pPr>
            <w:r w:rsidRPr="00C47B07">
              <w:rPr>
                <w:rFonts w:eastAsia="Times New Roman" w:cstheme="minorHAnsi"/>
              </w:rPr>
              <w:t>Anesthetic or steroid injection and/or radiofrequency ablation, nerves innervating the sacroiliac joint, with image guidance</w:t>
            </w:r>
          </w:p>
        </w:tc>
        <w:tc>
          <w:tcPr>
            <w:tcW w:w="2970" w:type="dxa"/>
          </w:tcPr>
          <w:p w:rsidR="00747F95" w:rsidRPr="00C47B07" w:rsidRDefault="00747F95" w:rsidP="00FC0CFA">
            <w:pPr>
              <w:rPr>
                <w:rStyle w:val="PageNumber"/>
                <w:rFonts w:cstheme="minorHAnsi"/>
              </w:rPr>
            </w:pPr>
            <w:r w:rsidRPr="00C47B07">
              <w:rPr>
                <w:rStyle w:val="PageNumber"/>
                <w:rFonts w:cstheme="minorHAnsi"/>
              </w:rPr>
              <w:t>Insufficient evidence of effectiveness</w:t>
            </w:r>
          </w:p>
        </w:tc>
        <w:tc>
          <w:tcPr>
            <w:tcW w:w="1620" w:type="dxa"/>
          </w:tcPr>
          <w:p w:rsidR="00747F95" w:rsidRPr="00C47B07" w:rsidRDefault="00747F95" w:rsidP="00FC0CFA">
            <w:pPr>
              <w:rPr>
                <w:rFonts w:cstheme="minorHAnsi"/>
              </w:rPr>
            </w:pPr>
            <w:r w:rsidRPr="00C47B07">
              <w:rPr>
                <w:rFonts w:cstheme="minorHAnsi"/>
              </w:rPr>
              <w:t>November 2019</w:t>
            </w:r>
          </w:p>
        </w:tc>
      </w:tr>
    </w:tbl>
    <w:p w:rsidR="00067F0C" w:rsidRPr="00C47B07" w:rsidRDefault="00067F0C" w:rsidP="003A7E4E">
      <w:pPr>
        <w:autoSpaceDE w:val="0"/>
        <w:autoSpaceDN w:val="0"/>
        <w:adjustRightInd w:val="0"/>
        <w:spacing w:after="0" w:line="240" w:lineRule="auto"/>
        <w:rPr>
          <w:rFonts w:cstheme="minorHAnsi"/>
          <w:b/>
          <w:sz w:val="24"/>
          <w:szCs w:val="24"/>
        </w:rPr>
      </w:pPr>
    </w:p>
    <w:sectPr w:rsidR="00067F0C" w:rsidRPr="00C47B07" w:rsidSect="00A06407">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A2A" w:rsidRDefault="00A65A2A">
      <w:r>
        <w:separator/>
      </w:r>
    </w:p>
  </w:endnote>
  <w:endnote w:type="continuationSeparator" w:id="0">
    <w:p w:rsidR="00A65A2A" w:rsidRDefault="00A6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vPSA337">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E9" w:rsidRPr="00146B0B" w:rsidRDefault="003E2BE9" w:rsidP="009D1C62">
    <w:pPr>
      <w:pStyle w:val="Footer"/>
    </w:pPr>
    <w:r>
      <w:tab/>
    </w:r>
    <w:r w:rsidR="00D941C7">
      <w:rPr>
        <w:noProof/>
      </w:rPr>
      <w:drawing>
        <wp:inline distT="0" distB="0" distL="0" distR="0" wp14:anchorId="604343EB" wp14:editId="0F9181EA">
          <wp:extent cx="904875" cy="3619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61950"/>
                  </a:xfrm>
                  <a:prstGeom prst="rect">
                    <a:avLst/>
                  </a:prstGeom>
                  <a:noFill/>
                  <a:ln w="9525">
                    <a:noFill/>
                    <a:miter lim="800000"/>
                    <a:headEnd/>
                    <a:tailEnd/>
                  </a:ln>
                </pic:spPr>
              </pic:pic>
            </a:graphicData>
          </a:graphic>
        </wp:inline>
      </w:drawing>
    </w:r>
    <w:r>
      <w:tab/>
    </w:r>
    <w:r w:rsidR="00062D99">
      <w:fldChar w:fldCharType="begin"/>
    </w:r>
    <w:r>
      <w:instrText xml:space="preserve"> PAGE  </w:instrText>
    </w:r>
    <w:r w:rsidR="00062D99">
      <w:fldChar w:fldCharType="separate"/>
    </w:r>
    <w:r w:rsidR="001135E2">
      <w:rPr>
        <w:noProof/>
      </w:rPr>
      <w:t>1</w:t>
    </w:r>
    <w:r w:rsidR="00062D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A2A" w:rsidRDefault="00A65A2A">
      <w:r>
        <w:separator/>
      </w:r>
    </w:p>
  </w:footnote>
  <w:footnote w:type="continuationSeparator" w:id="0">
    <w:p w:rsidR="00A65A2A" w:rsidRDefault="00A6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04" w:rsidRPr="00D17DC1" w:rsidRDefault="00BF2C88" w:rsidP="00D17DC1">
    <w:pPr>
      <w:jc w:val="center"/>
      <w:rPr>
        <w:b/>
        <w:noProof/>
        <w:sz w:val="28"/>
        <w:szCs w:val="28"/>
      </w:rPr>
    </w:pPr>
    <w:r w:rsidRPr="00D17DC1">
      <w:rPr>
        <w:b/>
        <w:noProof/>
        <w:sz w:val="28"/>
        <w:szCs w:val="28"/>
      </w:rPr>
      <w:t>Oregon Health Plan Prioritized List</w:t>
    </w:r>
  </w:p>
  <w:p w:rsidR="00D17DC1" w:rsidRPr="00876447" w:rsidRDefault="003C402A" w:rsidP="00D32460">
    <w:pPr>
      <w:jc w:val="center"/>
      <w:rPr>
        <w:rFonts w:asciiTheme="majorHAnsi" w:hAnsiTheme="majorHAnsi" w:cstheme="majorHAnsi"/>
        <w:b/>
      </w:rPr>
    </w:pPr>
    <w:r>
      <w:rPr>
        <w:b/>
        <w:noProof/>
        <w:sz w:val="28"/>
        <w:szCs w:val="28"/>
      </w:rPr>
      <w:t>Guideline Note 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367"/>
    <w:multiLevelType w:val="hybridMultilevel"/>
    <w:tmpl w:val="B8AAFF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6691E"/>
    <w:multiLevelType w:val="hybridMultilevel"/>
    <w:tmpl w:val="E5BA99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4E4"/>
    <w:multiLevelType w:val="hybridMultilevel"/>
    <w:tmpl w:val="6FC2E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1B5F"/>
    <w:multiLevelType w:val="hybridMultilevel"/>
    <w:tmpl w:val="6A522DB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150"/>
    <w:multiLevelType w:val="hybridMultilevel"/>
    <w:tmpl w:val="09567BF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622EF"/>
    <w:multiLevelType w:val="hybridMultilevel"/>
    <w:tmpl w:val="F13AD4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75061"/>
    <w:multiLevelType w:val="hybridMultilevel"/>
    <w:tmpl w:val="AD0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F6EAE"/>
    <w:multiLevelType w:val="hybridMultilevel"/>
    <w:tmpl w:val="C90EAE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623FF"/>
    <w:multiLevelType w:val="hybridMultilevel"/>
    <w:tmpl w:val="9B8CE428"/>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31105EF3"/>
    <w:multiLevelType w:val="hybridMultilevel"/>
    <w:tmpl w:val="A3D4751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BD6E36"/>
    <w:multiLevelType w:val="hybridMultilevel"/>
    <w:tmpl w:val="99C46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906481"/>
    <w:multiLevelType w:val="hybridMultilevel"/>
    <w:tmpl w:val="035C35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76619"/>
    <w:multiLevelType w:val="hybridMultilevel"/>
    <w:tmpl w:val="9DDEC7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D143F"/>
    <w:multiLevelType w:val="hybridMultilevel"/>
    <w:tmpl w:val="4D9AA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390B1B"/>
    <w:multiLevelType w:val="hybridMultilevel"/>
    <w:tmpl w:val="019635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3508DD"/>
    <w:multiLevelType w:val="hybridMultilevel"/>
    <w:tmpl w:val="742E9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B51291"/>
    <w:multiLevelType w:val="hybridMultilevel"/>
    <w:tmpl w:val="37FC39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767D6E"/>
    <w:multiLevelType w:val="hybridMultilevel"/>
    <w:tmpl w:val="76169C5C"/>
    <w:lvl w:ilvl="0" w:tplc="3AC878F4">
      <w:start w:val="1"/>
      <w:numFmt w:val="decimal"/>
      <w:lvlText w:val="%1)"/>
      <w:lvlJc w:val="left"/>
      <w:pPr>
        <w:ind w:left="720" w:hanging="360"/>
      </w:pPr>
      <w:rPr>
        <w:rFonts w:asciiTheme="minorHAnsi" w:hAnsiTheme="minorHAnsi" w:cs="AdvPSA337"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6A6607"/>
    <w:multiLevelType w:val="hybridMultilevel"/>
    <w:tmpl w:val="9D902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6D4562"/>
    <w:multiLevelType w:val="hybridMultilevel"/>
    <w:tmpl w:val="C83647C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D103BF8"/>
    <w:multiLevelType w:val="hybridMultilevel"/>
    <w:tmpl w:val="B3D6C5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A3AB8"/>
    <w:multiLevelType w:val="hybridMultilevel"/>
    <w:tmpl w:val="F580F034"/>
    <w:lvl w:ilvl="0" w:tplc="507CF53E">
      <w:start w:val="1"/>
      <w:numFmt w:val="decimal"/>
      <w:lvlText w:val="%1)"/>
      <w:lvlJc w:val="left"/>
      <w:pPr>
        <w:tabs>
          <w:tab w:val="num" w:pos="720"/>
        </w:tabs>
        <w:ind w:left="720" w:hanging="360"/>
      </w:pPr>
      <w:rPr>
        <w:rFonts w:ascii="Arial" w:hAnsi="Arial" w:cs="Arial" w:hint="default"/>
        <w:color w:val="00008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8576CA"/>
    <w:multiLevelType w:val="hybridMultilevel"/>
    <w:tmpl w:val="AB100F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B05897"/>
    <w:multiLevelType w:val="hybridMultilevel"/>
    <w:tmpl w:val="02E671A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33F66"/>
    <w:multiLevelType w:val="hybridMultilevel"/>
    <w:tmpl w:val="E7C2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D08EA"/>
    <w:multiLevelType w:val="hybridMultilevel"/>
    <w:tmpl w:val="E32CD1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DB3760"/>
    <w:multiLevelType w:val="hybridMultilevel"/>
    <w:tmpl w:val="EB06F538"/>
    <w:lvl w:ilvl="0" w:tplc="54C46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A1F6F"/>
    <w:multiLevelType w:val="hybridMultilevel"/>
    <w:tmpl w:val="0E4AA4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B4D15"/>
    <w:multiLevelType w:val="hybridMultilevel"/>
    <w:tmpl w:val="87D0E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6"/>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24"/>
  </w:num>
  <w:num w:numId="22">
    <w:abstractNumId w:val="3"/>
  </w:num>
  <w:num w:numId="23">
    <w:abstractNumId w:val="11"/>
  </w:num>
  <w:num w:numId="24">
    <w:abstractNumId w:val="1"/>
  </w:num>
  <w:num w:numId="25">
    <w:abstractNumId w:val="7"/>
  </w:num>
  <w:num w:numId="26">
    <w:abstractNumId w:val="0"/>
  </w:num>
  <w:num w:numId="27">
    <w:abstractNumId w:val="20"/>
  </w:num>
  <w:num w:numId="28">
    <w:abstractNumId w:val="2"/>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2A"/>
    <w:rsid w:val="00006375"/>
    <w:rsid w:val="000114D4"/>
    <w:rsid w:val="00034DA2"/>
    <w:rsid w:val="00036EFB"/>
    <w:rsid w:val="00062D99"/>
    <w:rsid w:val="00067F0C"/>
    <w:rsid w:val="000938C4"/>
    <w:rsid w:val="000A5877"/>
    <w:rsid w:val="000E3E50"/>
    <w:rsid w:val="000E4EE6"/>
    <w:rsid w:val="00112E35"/>
    <w:rsid w:val="001135E2"/>
    <w:rsid w:val="00125B69"/>
    <w:rsid w:val="00146B0B"/>
    <w:rsid w:val="00161173"/>
    <w:rsid w:val="00174B84"/>
    <w:rsid w:val="00183961"/>
    <w:rsid w:val="001C1AC2"/>
    <w:rsid w:val="001E6492"/>
    <w:rsid w:val="001F2924"/>
    <w:rsid w:val="00211F7E"/>
    <w:rsid w:val="00241DFF"/>
    <w:rsid w:val="002567C3"/>
    <w:rsid w:val="002757D6"/>
    <w:rsid w:val="00286D7A"/>
    <w:rsid w:val="002C7FB2"/>
    <w:rsid w:val="002D4047"/>
    <w:rsid w:val="002E7B3E"/>
    <w:rsid w:val="002F4236"/>
    <w:rsid w:val="00305D3D"/>
    <w:rsid w:val="00313C24"/>
    <w:rsid w:val="00331577"/>
    <w:rsid w:val="00354F39"/>
    <w:rsid w:val="00362566"/>
    <w:rsid w:val="00381686"/>
    <w:rsid w:val="003A7E4E"/>
    <w:rsid w:val="003B3891"/>
    <w:rsid w:val="003B473D"/>
    <w:rsid w:val="003C402A"/>
    <w:rsid w:val="003E2BE9"/>
    <w:rsid w:val="00424A46"/>
    <w:rsid w:val="00436596"/>
    <w:rsid w:val="00441A01"/>
    <w:rsid w:val="004571AF"/>
    <w:rsid w:val="004C739A"/>
    <w:rsid w:val="004D5309"/>
    <w:rsid w:val="004F3B62"/>
    <w:rsid w:val="004F5E4A"/>
    <w:rsid w:val="004F6524"/>
    <w:rsid w:val="00522960"/>
    <w:rsid w:val="0053244B"/>
    <w:rsid w:val="005359C7"/>
    <w:rsid w:val="0056337E"/>
    <w:rsid w:val="005A1767"/>
    <w:rsid w:val="005A1EEE"/>
    <w:rsid w:val="005B71A4"/>
    <w:rsid w:val="005D7BF0"/>
    <w:rsid w:val="005F2AED"/>
    <w:rsid w:val="00605342"/>
    <w:rsid w:val="00660992"/>
    <w:rsid w:val="006943D6"/>
    <w:rsid w:val="006A5420"/>
    <w:rsid w:val="006C453D"/>
    <w:rsid w:val="006E21CB"/>
    <w:rsid w:val="00704160"/>
    <w:rsid w:val="00714D9B"/>
    <w:rsid w:val="00722829"/>
    <w:rsid w:val="0074542B"/>
    <w:rsid w:val="00747F95"/>
    <w:rsid w:val="00752E2C"/>
    <w:rsid w:val="007574E8"/>
    <w:rsid w:val="00795889"/>
    <w:rsid w:val="00796202"/>
    <w:rsid w:val="007A65AA"/>
    <w:rsid w:val="007C1729"/>
    <w:rsid w:val="007C2859"/>
    <w:rsid w:val="007E68A1"/>
    <w:rsid w:val="00803C6B"/>
    <w:rsid w:val="0084178D"/>
    <w:rsid w:val="00844609"/>
    <w:rsid w:val="00845277"/>
    <w:rsid w:val="00866B12"/>
    <w:rsid w:val="008746C3"/>
    <w:rsid w:val="00876447"/>
    <w:rsid w:val="0089584D"/>
    <w:rsid w:val="008A0C70"/>
    <w:rsid w:val="008C4AA4"/>
    <w:rsid w:val="008D4987"/>
    <w:rsid w:val="00941AE1"/>
    <w:rsid w:val="009532AE"/>
    <w:rsid w:val="009604F0"/>
    <w:rsid w:val="009671B1"/>
    <w:rsid w:val="00976107"/>
    <w:rsid w:val="00985891"/>
    <w:rsid w:val="00994D5A"/>
    <w:rsid w:val="009D1C62"/>
    <w:rsid w:val="009E3767"/>
    <w:rsid w:val="009F2B34"/>
    <w:rsid w:val="00A06407"/>
    <w:rsid w:val="00A0644D"/>
    <w:rsid w:val="00A45839"/>
    <w:rsid w:val="00A65A2A"/>
    <w:rsid w:val="00A700F8"/>
    <w:rsid w:val="00AF1D55"/>
    <w:rsid w:val="00B06C96"/>
    <w:rsid w:val="00B26A1F"/>
    <w:rsid w:val="00B3781D"/>
    <w:rsid w:val="00B82B0C"/>
    <w:rsid w:val="00BB14B5"/>
    <w:rsid w:val="00BB5801"/>
    <w:rsid w:val="00BF2C88"/>
    <w:rsid w:val="00C16DF6"/>
    <w:rsid w:val="00C218BD"/>
    <w:rsid w:val="00C2263B"/>
    <w:rsid w:val="00C241EE"/>
    <w:rsid w:val="00C4079A"/>
    <w:rsid w:val="00C47B07"/>
    <w:rsid w:val="00C51C06"/>
    <w:rsid w:val="00C81805"/>
    <w:rsid w:val="00C92D56"/>
    <w:rsid w:val="00CC1C99"/>
    <w:rsid w:val="00CD746B"/>
    <w:rsid w:val="00CF4DA2"/>
    <w:rsid w:val="00D17DC1"/>
    <w:rsid w:val="00D32460"/>
    <w:rsid w:val="00D34794"/>
    <w:rsid w:val="00D66FCA"/>
    <w:rsid w:val="00D941C7"/>
    <w:rsid w:val="00DC1ECE"/>
    <w:rsid w:val="00E25B1C"/>
    <w:rsid w:val="00E564BE"/>
    <w:rsid w:val="00EC3B5C"/>
    <w:rsid w:val="00F11304"/>
    <w:rsid w:val="00F24C6A"/>
    <w:rsid w:val="00F67650"/>
    <w:rsid w:val="00F95C19"/>
    <w:rsid w:val="00FA3367"/>
    <w:rsid w:val="00FB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C88E899"/>
  <w15:docId w15:val="{26359DDD-593A-40CF-8D0E-1B2677AA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67"/>
    <w:pPr>
      <w:spacing w:after="200" w:line="276" w:lineRule="auto"/>
    </w:pPr>
    <w:rPr>
      <w:rFonts w:asciiTheme="minorHAnsi" w:eastAsiaTheme="minorHAnsi" w:hAnsiTheme="minorHAnsi" w:cstheme="minorBidi"/>
    </w:rPr>
  </w:style>
  <w:style w:type="paragraph" w:styleId="Heading1">
    <w:name w:val="heading 1"/>
    <w:basedOn w:val="HSCNormal"/>
    <w:next w:val="HSCNormal"/>
    <w:link w:val="Heading1Char"/>
    <w:qFormat/>
    <w:locked/>
    <w:rsid w:val="00747F95"/>
    <w:pPr>
      <w:keepNext/>
      <w:keepLines/>
      <w:spacing w:after="1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25B1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B5801"/>
    <w:pPr>
      <w:tabs>
        <w:tab w:val="center" w:pos="4320"/>
        <w:tab w:val="right" w:pos="8640"/>
      </w:tabs>
      <w:spacing w:after="0" w:line="240" w:lineRule="auto"/>
    </w:pPr>
    <w:rPr>
      <w:rFonts w:eastAsia="Times New Roman" w:cs="Times New Roman"/>
    </w:rPr>
  </w:style>
  <w:style w:type="character" w:customStyle="1" w:styleId="HeaderChar">
    <w:name w:val="Header Char"/>
    <w:basedOn w:val="DefaultParagraphFont"/>
    <w:link w:val="Header"/>
    <w:uiPriority w:val="99"/>
    <w:semiHidden/>
    <w:locked/>
    <w:rsid w:val="00062D99"/>
    <w:rPr>
      <w:rFonts w:ascii="Calibri" w:hAnsi="Calibri"/>
    </w:rPr>
  </w:style>
  <w:style w:type="paragraph" w:styleId="Footer">
    <w:name w:val="footer"/>
    <w:basedOn w:val="Normal"/>
    <w:link w:val="FooterChar"/>
    <w:uiPriority w:val="99"/>
    <w:rsid w:val="00BB5801"/>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locked/>
    <w:rsid w:val="006C453D"/>
    <w:rPr>
      <w:rFonts w:ascii="Calibri" w:hAnsi="Calibri"/>
      <w:sz w:val="22"/>
    </w:rPr>
  </w:style>
  <w:style w:type="character" w:styleId="PageNumber">
    <w:name w:val="page number"/>
    <w:basedOn w:val="DefaultParagraphFont"/>
    <w:rsid w:val="00BB5801"/>
    <w:rPr>
      <w:rFonts w:cs="Times New Roman"/>
    </w:rPr>
  </w:style>
  <w:style w:type="paragraph" w:styleId="ListParagraph">
    <w:name w:val="List Paragraph"/>
    <w:basedOn w:val="Normal"/>
    <w:uiPriority w:val="34"/>
    <w:qFormat/>
    <w:rsid w:val="001E6492"/>
    <w:pPr>
      <w:ind w:left="720"/>
      <w:contextualSpacing/>
    </w:pPr>
    <w:rPr>
      <w:rFonts w:eastAsia="Times New Roman" w:cs="Times New Roman"/>
    </w:rPr>
  </w:style>
  <w:style w:type="paragraph" w:styleId="BalloonText">
    <w:name w:val="Balloon Text"/>
    <w:basedOn w:val="Normal"/>
    <w:link w:val="BalloonTextChar"/>
    <w:uiPriority w:val="99"/>
    <w:rsid w:val="006C45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6C453D"/>
    <w:rPr>
      <w:rFonts w:ascii="Tahoma" w:hAnsi="Tahoma"/>
      <w:sz w:val="16"/>
    </w:rPr>
  </w:style>
  <w:style w:type="paragraph" w:styleId="NormalWeb">
    <w:name w:val="Normal (Web)"/>
    <w:basedOn w:val="Normal"/>
    <w:uiPriority w:val="99"/>
    <w:semiHidden/>
    <w:unhideWhenUsed/>
    <w:rsid w:val="00C16DF6"/>
    <w:pPr>
      <w:spacing w:before="100" w:beforeAutospacing="1" w:after="100" w:afterAutospacing="1" w:line="240" w:lineRule="auto"/>
    </w:pPr>
    <w:rPr>
      <w:rFonts w:ascii="Times New Roman" w:hAnsi="Times New Roman" w:cs="Times New Roman"/>
      <w:sz w:val="24"/>
      <w:szCs w:val="24"/>
    </w:rPr>
  </w:style>
  <w:style w:type="character" w:customStyle="1" w:styleId="CGBoxTextChar">
    <w:name w:val="CG Box Text Char"/>
    <w:basedOn w:val="DefaultParagraphFont"/>
    <w:link w:val="CGBoxText"/>
    <w:locked/>
    <w:rsid w:val="00C16DF6"/>
    <w:rPr>
      <w:rFonts w:ascii="Arial" w:hAnsi="Arial" w:cs="Arial"/>
      <w:color w:val="002060"/>
      <w:szCs w:val="24"/>
    </w:rPr>
  </w:style>
  <w:style w:type="paragraph" w:customStyle="1" w:styleId="CGBoxText">
    <w:name w:val="CG Box Text"/>
    <w:link w:val="CGBoxTextChar"/>
    <w:qFormat/>
    <w:rsid w:val="00C16DF6"/>
    <w:pPr>
      <w:spacing w:after="200"/>
    </w:pPr>
    <w:rPr>
      <w:rFonts w:ascii="Arial" w:hAnsi="Arial" w:cs="Arial"/>
      <w:color w:val="002060"/>
      <w:szCs w:val="24"/>
    </w:rPr>
  </w:style>
  <w:style w:type="character" w:styleId="Hyperlink">
    <w:name w:val="Hyperlink"/>
    <w:basedOn w:val="DefaultParagraphFont"/>
    <w:uiPriority w:val="99"/>
    <w:semiHidden/>
    <w:unhideWhenUsed/>
    <w:rsid w:val="00DC1ECE"/>
    <w:rPr>
      <w:strike w:val="0"/>
      <w:dstrike w:val="0"/>
      <w:color w:val="0000FF"/>
      <w:u w:val="none"/>
      <w:effect w:val="none"/>
    </w:rPr>
  </w:style>
  <w:style w:type="character" w:styleId="Strong">
    <w:name w:val="Strong"/>
    <w:basedOn w:val="DefaultParagraphFont"/>
    <w:uiPriority w:val="22"/>
    <w:qFormat/>
    <w:locked/>
    <w:rsid w:val="000938C4"/>
    <w:rPr>
      <w:b/>
      <w:bCs/>
    </w:rPr>
  </w:style>
  <w:style w:type="table" w:styleId="TableGrid">
    <w:name w:val="Table Grid"/>
    <w:basedOn w:val="TableNormal"/>
    <w:locked/>
    <w:rsid w:val="004F5E4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47F95"/>
    <w:rPr>
      <w:rFonts w:ascii="Arial" w:hAnsi="Arial" w:cs="Courier New"/>
      <w:b/>
      <w:sz w:val="16"/>
      <w:szCs w:val="24"/>
    </w:rPr>
  </w:style>
  <w:style w:type="paragraph" w:customStyle="1" w:styleId="HSCNormal">
    <w:name w:val="HSC Normal"/>
    <w:link w:val="HSCNormalChar"/>
    <w:qFormat/>
    <w:rsid w:val="00747F95"/>
    <w:pPr>
      <w:suppressAutoHyphens/>
    </w:pPr>
    <w:rPr>
      <w:rFonts w:ascii="Arial" w:hAnsi="Arial" w:cs="Courier New"/>
      <w:sz w:val="16"/>
      <w:szCs w:val="24"/>
    </w:rPr>
  </w:style>
  <w:style w:type="character" w:customStyle="1" w:styleId="HSCNormalChar">
    <w:name w:val="HSC Normal Char"/>
    <w:basedOn w:val="DefaultParagraphFont"/>
    <w:link w:val="HSCNormal"/>
    <w:rsid w:val="00747F95"/>
    <w:rPr>
      <w:rFonts w:ascii="Arial" w:hAnsi="Arial" w:cs="Courier New"/>
      <w:sz w:val="16"/>
      <w:szCs w:val="24"/>
    </w:rPr>
  </w:style>
  <w:style w:type="paragraph" w:customStyle="1" w:styleId="HSCGLLineList">
    <w:name w:val="HSC GL LineList"/>
    <w:basedOn w:val="Normal"/>
    <w:next w:val="HSCNormal"/>
    <w:qFormat/>
    <w:rsid w:val="00747F95"/>
    <w:pPr>
      <w:keepNext/>
      <w:keepLines/>
      <w:suppressAutoHyphens/>
      <w:spacing w:after="100" w:line="240" w:lineRule="auto"/>
      <w:ind w:left="360"/>
    </w:pPr>
    <w:rPr>
      <w:rFonts w:ascii="Arial" w:eastAsia="Times New Roman" w:hAnsi="Arial" w:cs="Times New Roman"/>
      <w:bCs/>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7754">
      <w:bodyDiv w:val="1"/>
      <w:marLeft w:val="0"/>
      <w:marRight w:val="0"/>
      <w:marTop w:val="0"/>
      <w:marBottom w:val="0"/>
      <w:divBdr>
        <w:top w:val="none" w:sz="0" w:space="0" w:color="auto"/>
        <w:left w:val="none" w:sz="0" w:space="0" w:color="auto"/>
        <w:bottom w:val="none" w:sz="0" w:space="0" w:color="auto"/>
        <w:right w:val="none" w:sz="0" w:space="0" w:color="auto"/>
      </w:divBdr>
    </w:div>
    <w:div w:id="290478740">
      <w:bodyDiv w:val="1"/>
      <w:marLeft w:val="0"/>
      <w:marRight w:val="0"/>
      <w:marTop w:val="0"/>
      <w:marBottom w:val="0"/>
      <w:divBdr>
        <w:top w:val="none" w:sz="0" w:space="0" w:color="auto"/>
        <w:left w:val="none" w:sz="0" w:space="0" w:color="auto"/>
        <w:bottom w:val="none" w:sz="0" w:space="0" w:color="auto"/>
        <w:right w:val="none" w:sz="0" w:space="0" w:color="auto"/>
      </w:divBdr>
    </w:div>
    <w:div w:id="424694709">
      <w:bodyDiv w:val="1"/>
      <w:marLeft w:val="0"/>
      <w:marRight w:val="0"/>
      <w:marTop w:val="0"/>
      <w:marBottom w:val="0"/>
      <w:divBdr>
        <w:top w:val="none" w:sz="0" w:space="0" w:color="auto"/>
        <w:left w:val="none" w:sz="0" w:space="0" w:color="auto"/>
        <w:bottom w:val="none" w:sz="0" w:space="0" w:color="auto"/>
        <w:right w:val="none" w:sz="0" w:space="0" w:color="auto"/>
      </w:divBdr>
    </w:div>
    <w:div w:id="472601986">
      <w:bodyDiv w:val="1"/>
      <w:marLeft w:val="0"/>
      <w:marRight w:val="0"/>
      <w:marTop w:val="0"/>
      <w:marBottom w:val="0"/>
      <w:divBdr>
        <w:top w:val="none" w:sz="0" w:space="0" w:color="auto"/>
        <w:left w:val="none" w:sz="0" w:space="0" w:color="auto"/>
        <w:bottom w:val="none" w:sz="0" w:space="0" w:color="auto"/>
        <w:right w:val="none" w:sz="0" w:space="0" w:color="auto"/>
      </w:divBdr>
    </w:div>
    <w:div w:id="768354473">
      <w:bodyDiv w:val="1"/>
      <w:marLeft w:val="0"/>
      <w:marRight w:val="0"/>
      <w:marTop w:val="0"/>
      <w:marBottom w:val="0"/>
      <w:divBdr>
        <w:top w:val="none" w:sz="0" w:space="0" w:color="auto"/>
        <w:left w:val="none" w:sz="0" w:space="0" w:color="auto"/>
        <w:bottom w:val="none" w:sz="0" w:space="0" w:color="auto"/>
        <w:right w:val="none" w:sz="0" w:space="0" w:color="auto"/>
      </w:divBdr>
    </w:div>
    <w:div w:id="953903602">
      <w:bodyDiv w:val="1"/>
      <w:marLeft w:val="0"/>
      <w:marRight w:val="0"/>
      <w:marTop w:val="0"/>
      <w:marBottom w:val="0"/>
      <w:divBdr>
        <w:top w:val="none" w:sz="0" w:space="0" w:color="auto"/>
        <w:left w:val="none" w:sz="0" w:space="0" w:color="auto"/>
        <w:bottom w:val="none" w:sz="0" w:space="0" w:color="auto"/>
        <w:right w:val="none" w:sz="0" w:space="0" w:color="auto"/>
      </w:divBdr>
    </w:div>
    <w:div w:id="1656372615">
      <w:bodyDiv w:val="1"/>
      <w:marLeft w:val="0"/>
      <w:marRight w:val="0"/>
      <w:marTop w:val="0"/>
      <w:marBottom w:val="0"/>
      <w:divBdr>
        <w:top w:val="none" w:sz="0" w:space="0" w:color="auto"/>
        <w:left w:val="none" w:sz="0" w:space="0" w:color="auto"/>
        <w:bottom w:val="none" w:sz="0" w:space="0" w:color="auto"/>
        <w:right w:val="none" w:sz="0" w:space="0" w:color="auto"/>
      </w:divBdr>
    </w:div>
    <w:div w:id="2001037107">
      <w:bodyDiv w:val="1"/>
      <w:marLeft w:val="0"/>
      <w:marRight w:val="0"/>
      <w:marTop w:val="0"/>
      <w:marBottom w:val="0"/>
      <w:divBdr>
        <w:top w:val="none" w:sz="0" w:space="0" w:color="auto"/>
        <w:left w:val="none" w:sz="0" w:space="0" w:color="auto"/>
        <w:bottom w:val="none" w:sz="0" w:space="0" w:color="auto"/>
        <w:right w:val="none" w:sz="0" w:space="0" w:color="auto"/>
      </w:divBdr>
    </w:div>
    <w:div w:id="2064014905">
      <w:marLeft w:val="0"/>
      <w:marRight w:val="0"/>
      <w:marTop w:val="0"/>
      <w:marBottom w:val="0"/>
      <w:divBdr>
        <w:top w:val="none" w:sz="0" w:space="0" w:color="auto"/>
        <w:left w:val="none" w:sz="0" w:space="0" w:color="auto"/>
        <w:bottom w:val="none" w:sz="0" w:space="0" w:color="auto"/>
        <w:right w:val="none" w:sz="0" w:space="0" w:color="auto"/>
      </w:divBdr>
    </w:div>
    <w:div w:id="2064014906">
      <w:marLeft w:val="0"/>
      <w:marRight w:val="0"/>
      <w:marTop w:val="0"/>
      <w:marBottom w:val="0"/>
      <w:divBdr>
        <w:top w:val="none" w:sz="0" w:space="0" w:color="auto"/>
        <w:left w:val="none" w:sz="0" w:space="0" w:color="auto"/>
        <w:bottom w:val="none" w:sz="0" w:space="0" w:color="auto"/>
        <w:right w:val="none" w:sz="0" w:space="0" w:color="auto"/>
      </w:divBdr>
    </w:div>
    <w:div w:id="2064014907">
      <w:marLeft w:val="0"/>
      <w:marRight w:val="0"/>
      <w:marTop w:val="0"/>
      <w:marBottom w:val="0"/>
      <w:divBdr>
        <w:top w:val="none" w:sz="0" w:space="0" w:color="auto"/>
        <w:left w:val="none" w:sz="0" w:space="0" w:color="auto"/>
        <w:bottom w:val="none" w:sz="0" w:space="0" w:color="auto"/>
        <w:right w:val="none" w:sz="0" w:space="0" w:color="auto"/>
      </w:divBdr>
    </w:div>
    <w:div w:id="2064014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195137\AppData\Local\Microsoft\Windows\Temporary%20Internet%20Files\Content.MSO\150B0E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8B8313507D54D8326F9AC36709E7F" ma:contentTypeVersion="18" ma:contentTypeDescription="Create a new document." ma:contentTypeScope="" ma:versionID="e3ff354594a46a5ab218b54240ee660b">
  <xsd:schema xmlns:xsd="http://www.w3.org/2001/XMLSchema" xmlns:xs="http://www.w3.org/2001/XMLSchema" xmlns:p="http://schemas.microsoft.com/office/2006/metadata/properties" xmlns:ns1="http://schemas.microsoft.com/sharepoint/v3" xmlns:ns2="59da1016-2a1b-4f8a-9768-d7a4932f6f16" xmlns:ns3="02aa3302-3726-4429-bc74-2da0b757c478" targetNamespace="http://schemas.microsoft.com/office/2006/metadata/properties" ma:root="true" ma:fieldsID="e0b65884941d366edd5a4e66bc6478bc" ns1:_="" ns2:_="" ns3:_="">
    <xsd:import namespace="http://schemas.microsoft.com/sharepoint/v3"/>
    <xsd:import namespace="59da1016-2a1b-4f8a-9768-d7a4932f6f16"/>
    <xsd:import namespace="02aa3302-3726-4429-bc74-2da0b757c478"/>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2:Document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a3302-3726-4429-bc74-2da0b757c478" elementFormDefault="qualified">
    <xsd:import namespace="http://schemas.microsoft.com/office/2006/documentManagement/types"/>
    <xsd:import namespace="http://schemas.microsoft.com/office/infopath/2007/PartnerControls"/>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https://www.oregon.gov/oha/HPA/DSI-HERC/SearchablePLdocuments/GL-173-64451-64625-Anesthetic-steroid-injection-radiofrequency-ablation-SI-Joint.docx</Url>
      <Description>GL-173-64451-64625-Anesthetic-steroid injection-radiofrequency-ablation-SI-Joint.docx</Description>
    </URL>
    <IACategory xmlns="59da1016-2a1b-4f8a-9768-d7a4932f6f16" xsi:nil="true"/>
    <IASubtopic xmlns="59da1016-2a1b-4f8a-9768-d7a4932f6f16" xsi:nil="true"/>
    <DocumentExpirationDate xmlns="59da1016-2a1b-4f8a-9768-d7a4932f6f16" xsi:nil="true"/>
    <Meta_x0020_Keywords xmlns="02aa3302-3726-4429-bc74-2da0b757c478" xsi:nil="true"/>
    <IATopic xmlns="59da1016-2a1b-4f8a-9768-d7a4932f6f16" xsi:nil="true"/>
    <Meta_x0020_Description xmlns="02aa3302-3726-4429-bc74-2da0b757c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4C22C-F9EF-4B34-BCCC-4EBF235CC458}"/>
</file>

<file path=customXml/itemProps2.xml><?xml version="1.0" encoding="utf-8"?>
<ds:datastoreItem xmlns:ds="http://schemas.openxmlformats.org/officeDocument/2006/customXml" ds:itemID="{9E0DCFC2-BA29-4EC1-B974-50A70DF54C1E}"/>
</file>

<file path=customXml/itemProps3.xml><?xml version="1.0" encoding="utf-8"?>
<ds:datastoreItem xmlns:ds="http://schemas.openxmlformats.org/officeDocument/2006/customXml" ds:itemID="{5640D509-DD36-4796-9DEF-F4F46699C468}"/>
</file>

<file path=docProps/app.xml><?xml version="1.0" encoding="utf-8"?>
<Properties xmlns="http://schemas.openxmlformats.org/officeDocument/2006/extended-properties" xmlns:vt="http://schemas.openxmlformats.org/officeDocument/2006/docPropsVTypes">
  <Template>150B0EBB.dotx</Template>
  <TotalTime>4</TotalTime>
  <Pages>3</Pages>
  <Words>1011</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Gingerich</dc:creator>
  <cp:lastModifiedBy>Peck Daphne</cp:lastModifiedBy>
  <cp:revision>4</cp:revision>
  <dcterms:created xsi:type="dcterms:W3CDTF">2019-11-27T18:00:00Z</dcterms:created>
  <dcterms:modified xsi:type="dcterms:W3CDTF">2019-12-03T15:46:00Z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0x0101000CE8B8313507D54D8326F9AC36709E7F</vt:lpwstr>
  </property>
  <property fmtid="{D5CDD505-2E9C-101B-9397-08002B2CF9AE}" pid="3" name="WorkflowChangePath">
    <vt:lpwstr>49790272-483e-4247-9aa2-045ff6165ac0,2;</vt:lpwstr>
  </property>
</Properties>
</file>