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ECE" w:rsidRPr="00AB0019" w:rsidRDefault="001E58F1" w:rsidP="00AB0019">
      <w:pPr>
        <w:pStyle w:val="ListParagraph"/>
        <w:numPr>
          <w:ilvl w:val="0"/>
          <w:numId w:val="34"/>
        </w:numPr>
        <w:autoSpaceDE w:val="0"/>
        <w:autoSpaceDN w:val="0"/>
        <w:adjustRightInd w:val="0"/>
        <w:spacing w:after="0" w:line="240" w:lineRule="auto"/>
        <w:rPr>
          <w:rFonts w:cstheme="minorHAnsi"/>
          <w:b/>
          <w:sz w:val="24"/>
          <w:szCs w:val="24"/>
        </w:rPr>
      </w:pPr>
      <w:r w:rsidRPr="00AB0019">
        <w:rPr>
          <w:rFonts w:cstheme="minorHAnsi"/>
          <w:b/>
          <w:sz w:val="24"/>
          <w:szCs w:val="24"/>
        </w:rPr>
        <w:t>79445</w:t>
      </w:r>
      <w:r w:rsidR="004F5E4A" w:rsidRPr="00AB0019">
        <w:rPr>
          <w:rFonts w:cstheme="minorHAnsi"/>
          <w:b/>
          <w:sz w:val="24"/>
          <w:szCs w:val="24"/>
        </w:rPr>
        <w:t xml:space="preserve"> </w:t>
      </w:r>
      <w:r w:rsidRPr="00AB0019">
        <w:rPr>
          <w:rFonts w:cstheme="minorHAnsi"/>
          <w:b/>
          <w:sz w:val="24"/>
          <w:szCs w:val="24"/>
        </w:rPr>
        <w:t>Yttrium internal radiation therapy</w:t>
      </w:r>
    </w:p>
    <w:p w:rsidR="00AB0019" w:rsidRPr="00AB0019" w:rsidRDefault="00AB0019" w:rsidP="00AB0019">
      <w:pPr>
        <w:pStyle w:val="ListParagraph"/>
        <w:numPr>
          <w:ilvl w:val="0"/>
          <w:numId w:val="34"/>
        </w:numPr>
        <w:spacing w:after="0"/>
        <w:rPr>
          <w:rFonts w:cstheme="minorHAnsi"/>
          <w:b/>
          <w:bCs/>
          <w:sz w:val="24"/>
          <w:szCs w:val="24"/>
        </w:rPr>
      </w:pPr>
      <w:r w:rsidRPr="00AB0019">
        <w:rPr>
          <w:rFonts w:cstheme="minorHAnsi"/>
          <w:b/>
          <w:bCs/>
          <w:sz w:val="24"/>
          <w:szCs w:val="24"/>
        </w:rPr>
        <w:t>C2616 Brachytherapy source, non-stranded, yttrium-90, per source, for use in treating primary liver cancer or metastatic cancer to the liver</w:t>
      </w:r>
    </w:p>
    <w:p w:rsidR="00AB0019" w:rsidRPr="00AB0019" w:rsidRDefault="00AB0019" w:rsidP="00AB0019">
      <w:pPr>
        <w:pStyle w:val="ListParagraph"/>
        <w:numPr>
          <w:ilvl w:val="0"/>
          <w:numId w:val="34"/>
        </w:numPr>
        <w:spacing w:after="0"/>
        <w:rPr>
          <w:rFonts w:cstheme="minorHAnsi"/>
          <w:b/>
          <w:bCs/>
          <w:sz w:val="24"/>
          <w:szCs w:val="24"/>
        </w:rPr>
      </w:pPr>
      <w:r w:rsidRPr="00AB0019">
        <w:rPr>
          <w:b/>
          <w:sz w:val="24"/>
          <w:szCs w:val="24"/>
        </w:rPr>
        <w:t>S2095 Transcatheter occlusion or embolization for tumor destruction, percutaneous, any method, using yttrium-90 microspheres</w:t>
      </w:r>
    </w:p>
    <w:p w:rsidR="000938C4" w:rsidRPr="003A7E4E" w:rsidRDefault="000938C4" w:rsidP="00DC1ECE">
      <w:pPr>
        <w:autoSpaceDE w:val="0"/>
        <w:autoSpaceDN w:val="0"/>
        <w:adjustRightInd w:val="0"/>
        <w:spacing w:after="0" w:line="240" w:lineRule="auto"/>
        <w:rPr>
          <w:rFonts w:cstheme="minorHAnsi"/>
          <w:b/>
          <w:sz w:val="24"/>
          <w:szCs w:val="24"/>
        </w:rPr>
      </w:pPr>
    </w:p>
    <w:p w:rsidR="00DC1ECE" w:rsidRDefault="003A7E4E" w:rsidP="003A7E4E">
      <w:pPr>
        <w:autoSpaceDE w:val="0"/>
        <w:autoSpaceDN w:val="0"/>
        <w:adjustRightInd w:val="0"/>
        <w:spacing w:after="0" w:line="240" w:lineRule="auto"/>
        <w:rPr>
          <w:rFonts w:cstheme="minorHAnsi"/>
          <w:b/>
          <w:bCs/>
          <w:sz w:val="24"/>
          <w:szCs w:val="24"/>
        </w:rPr>
      </w:pPr>
      <w:r w:rsidRPr="003A7E4E">
        <w:rPr>
          <w:rFonts w:cstheme="minorHAnsi"/>
          <w:b/>
          <w:bCs/>
          <w:sz w:val="24"/>
          <w:szCs w:val="24"/>
        </w:rPr>
        <w:t xml:space="preserve">Last reviewed at VbBS in </w:t>
      </w:r>
      <w:r w:rsidR="003C3084">
        <w:rPr>
          <w:rFonts w:cstheme="minorHAnsi"/>
          <w:b/>
          <w:bCs/>
          <w:sz w:val="24"/>
          <w:szCs w:val="24"/>
        </w:rPr>
        <w:t>March 2018</w:t>
      </w:r>
      <w:r w:rsidRPr="003A7E4E">
        <w:rPr>
          <w:rFonts w:cstheme="minorHAnsi"/>
          <w:b/>
          <w:bCs/>
          <w:sz w:val="24"/>
          <w:szCs w:val="24"/>
        </w:rPr>
        <w:t xml:space="preserve">. Minutes indicate </w:t>
      </w:r>
      <w:r w:rsidR="000938C4">
        <w:rPr>
          <w:rFonts w:cstheme="minorHAnsi"/>
          <w:b/>
          <w:bCs/>
          <w:sz w:val="24"/>
          <w:szCs w:val="24"/>
        </w:rPr>
        <w:t>that the staff recommendation was accepted without significant discussion.</w:t>
      </w:r>
      <w:r w:rsidR="003C402A">
        <w:rPr>
          <w:rFonts w:cstheme="minorHAnsi"/>
          <w:b/>
          <w:bCs/>
          <w:sz w:val="24"/>
          <w:szCs w:val="24"/>
        </w:rPr>
        <w:t xml:space="preserve"> HERC approved the recommendations without change. </w:t>
      </w:r>
    </w:p>
    <w:p w:rsidR="001E58F1" w:rsidRDefault="001E58F1" w:rsidP="003A7E4E">
      <w:pPr>
        <w:autoSpaceDE w:val="0"/>
        <w:autoSpaceDN w:val="0"/>
        <w:adjustRightInd w:val="0"/>
        <w:spacing w:after="0" w:line="240" w:lineRule="auto"/>
        <w:rPr>
          <w:rFonts w:cstheme="minorHAnsi"/>
          <w:b/>
          <w:bCs/>
          <w:sz w:val="24"/>
          <w:szCs w:val="24"/>
        </w:rPr>
      </w:pPr>
    </w:p>
    <w:p w:rsidR="00BC5864" w:rsidRPr="00433DC0" w:rsidRDefault="00BC5864" w:rsidP="00BC5864">
      <w:pPr>
        <w:rPr>
          <w:rFonts w:cstheme="minorHAnsi"/>
        </w:rPr>
      </w:pPr>
      <w:r w:rsidRPr="00433DC0">
        <w:rPr>
          <w:rFonts w:cstheme="minorHAnsi"/>
          <w:u w:val="single"/>
        </w:rPr>
        <w:t>HERC staff summary</w:t>
      </w:r>
      <w:r w:rsidRPr="00433DC0">
        <w:rPr>
          <w:rFonts w:cstheme="minorHAnsi"/>
        </w:rPr>
        <w:t>: The literature on the effectiveness of yttrium 90 radiotherapy for treatment of liver metastases for non-hepatocellular carcinoma/colorectal cancer metastatic to the liver consists solely of small case series.  These case series do not show significant improvement in survival compared to conventional chemotherapy for most of the cancers studied.  Additionally, yttrium 90 products are not FDA approved for treatment of cancers other than HCC and CRC metastatic to the liver. Yttrium 90 is a much higher cost therapy than traditional chemotherapy.</w:t>
      </w:r>
    </w:p>
    <w:p w:rsidR="001E58F1" w:rsidRDefault="001E58F1" w:rsidP="003A7E4E">
      <w:pPr>
        <w:autoSpaceDE w:val="0"/>
        <w:autoSpaceDN w:val="0"/>
        <w:adjustRightInd w:val="0"/>
        <w:spacing w:after="0" w:line="240" w:lineRule="auto"/>
        <w:rPr>
          <w:rFonts w:cstheme="minorHAnsi"/>
          <w:b/>
          <w:bCs/>
          <w:sz w:val="24"/>
          <w:szCs w:val="24"/>
        </w:rPr>
      </w:pPr>
    </w:p>
    <w:p w:rsidR="001E58F1" w:rsidRPr="00433DC0" w:rsidRDefault="001E58F1" w:rsidP="00BC5864">
      <w:pPr>
        <w:spacing w:after="0" w:line="240" w:lineRule="auto"/>
        <w:rPr>
          <w:rFonts w:cstheme="minorHAnsi"/>
          <w:u w:val="single"/>
        </w:rPr>
      </w:pPr>
      <w:r w:rsidRPr="00433DC0">
        <w:rPr>
          <w:rFonts w:cstheme="minorHAnsi"/>
          <w:u w:val="single"/>
        </w:rPr>
        <w:t>Evidence</w:t>
      </w:r>
    </w:p>
    <w:p w:rsidR="001E58F1" w:rsidRPr="00433DC0" w:rsidRDefault="001E58F1" w:rsidP="001E58F1">
      <w:pPr>
        <w:pStyle w:val="ListParagraph"/>
        <w:numPr>
          <w:ilvl w:val="0"/>
          <w:numId w:val="27"/>
        </w:numPr>
        <w:spacing w:after="0" w:line="240" w:lineRule="auto"/>
        <w:rPr>
          <w:rFonts w:cstheme="minorHAnsi"/>
        </w:rPr>
      </w:pPr>
      <w:r w:rsidRPr="00433DC0">
        <w:rPr>
          <w:rFonts w:cstheme="minorHAnsi"/>
          <w:b/>
        </w:rPr>
        <w:t>Kuei 2015</w:t>
      </w:r>
      <w:r w:rsidRPr="00433DC0">
        <w:rPr>
          <w:rFonts w:cstheme="minorHAnsi"/>
        </w:rPr>
        <w:t>, systematic review of yttrium-90 for non HCC/CRC indications</w:t>
      </w:r>
      <w:r>
        <w:rPr>
          <w:rFonts w:cstheme="minorHAnsi"/>
        </w:rPr>
        <w:t xml:space="preserve"> (</w:t>
      </w:r>
      <w:hyperlink r:id="rId11" w:history="1">
        <w:r w:rsidRPr="00334438">
          <w:rPr>
            <w:rStyle w:val="Hyperlink"/>
            <w:rFonts w:cstheme="minorHAnsi"/>
          </w:rPr>
          <w:t>https://www.ncbi.nlm.nih.gov/pmc/articles/PMC4507097/pdf/WJG-21-8271.pdf</w:t>
        </w:r>
      </w:hyperlink>
      <w:r>
        <w:rPr>
          <w:rFonts w:cstheme="minorHAnsi"/>
        </w:rPr>
        <w:t xml:space="preserve">) </w:t>
      </w:r>
    </w:p>
    <w:p w:rsidR="001E58F1" w:rsidRPr="00433DC0" w:rsidRDefault="001E58F1" w:rsidP="001E58F1">
      <w:pPr>
        <w:pStyle w:val="ListParagraph"/>
        <w:numPr>
          <w:ilvl w:val="1"/>
          <w:numId w:val="27"/>
        </w:numPr>
        <w:spacing w:after="0" w:line="240" w:lineRule="auto"/>
        <w:rPr>
          <w:rFonts w:cstheme="minorHAnsi"/>
        </w:rPr>
      </w:pPr>
      <w:r w:rsidRPr="00433DC0">
        <w:rPr>
          <w:rFonts w:cstheme="minorHAnsi"/>
        </w:rPr>
        <w:t xml:space="preserve">Breast cancer: </w:t>
      </w:r>
    </w:p>
    <w:p w:rsidR="001E58F1" w:rsidRPr="00433DC0" w:rsidRDefault="001E58F1" w:rsidP="001E58F1">
      <w:pPr>
        <w:pStyle w:val="ListParagraph"/>
        <w:numPr>
          <w:ilvl w:val="2"/>
          <w:numId w:val="27"/>
        </w:numPr>
        <w:spacing w:after="0" w:line="240" w:lineRule="auto"/>
        <w:rPr>
          <w:rFonts w:cstheme="minorHAnsi"/>
        </w:rPr>
      </w:pPr>
      <w:r w:rsidRPr="00433DC0">
        <w:rPr>
          <w:rFonts w:cstheme="minorHAnsi"/>
        </w:rPr>
        <w:t xml:space="preserve">4 retrospective case series (N=75, 21, 40, 77), 3 prospective case series (N=30,44,27) and an additional 37 patients in other studies with </w:t>
      </w:r>
      <w:r w:rsidRPr="00433DC0">
        <w:rPr>
          <w:rFonts w:cs="Verdana"/>
        </w:rPr>
        <w:t>discrete response data on the patients with breast primaries</w:t>
      </w:r>
    </w:p>
    <w:p w:rsidR="001E58F1" w:rsidRPr="00433DC0" w:rsidRDefault="001E58F1" w:rsidP="001E58F1">
      <w:pPr>
        <w:pStyle w:val="ListParagraph"/>
        <w:numPr>
          <w:ilvl w:val="2"/>
          <w:numId w:val="27"/>
        </w:numPr>
        <w:spacing w:after="0" w:line="240" w:lineRule="auto"/>
        <w:rPr>
          <w:rFonts w:cstheme="minorHAnsi"/>
        </w:rPr>
      </w:pPr>
      <w:r w:rsidRPr="00433DC0">
        <w:rPr>
          <w:rFonts w:cs="Verdana"/>
        </w:rPr>
        <w:t xml:space="preserve">Collective analysis of current literature ranges </w:t>
      </w:r>
      <w:r>
        <w:rPr>
          <w:rFonts w:cs="Verdana"/>
        </w:rPr>
        <w:t xml:space="preserve">in </w:t>
      </w:r>
      <w:r w:rsidRPr="00433DC0">
        <w:rPr>
          <w:rFonts w:cs="Verdana"/>
        </w:rPr>
        <w:t xml:space="preserve">response rates between 18%-61% and median overall survival between 6.6 to 13.6 months </w:t>
      </w:r>
    </w:p>
    <w:p w:rsidR="001E58F1" w:rsidRPr="00433DC0" w:rsidRDefault="001E58F1" w:rsidP="001E58F1">
      <w:pPr>
        <w:pStyle w:val="ListParagraph"/>
        <w:numPr>
          <w:ilvl w:val="3"/>
          <w:numId w:val="27"/>
        </w:numPr>
        <w:spacing w:after="0" w:line="240" w:lineRule="auto"/>
        <w:rPr>
          <w:rFonts w:cstheme="minorHAnsi"/>
        </w:rPr>
      </w:pPr>
      <w:r w:rsidRPr="00433DC0">
        <w:rPr>
          <w:rFonts w:cs="Verdana"/>
        </w:rPr>
        <w:t>baseline historical estimated cumulative survival with metastatic breast cancer at time of diagnosis is 18.5 months. Median survival in patients with unresectable, chemoresistant breast cancer liver metastases (BRCLM) ranges between 3-10 months with standard therapy</w:t>
      </w:r>
    </w:p>
    <w:p w:rsidR="001E58F1" w:rsidRPr="00433DC0" w:rsidRDefault="001E58F1" w:rsidP="001E58F1">
      <w:pPr>
        <w:pStyle w:val="ListParagraph"/>
        <w:numPr>
          <w:ilvl w:val="2"/>
          <w:numId w:val="27"/>
        </w:numPr>
        <w:spacing w:after="0" w:line="240" w:lineRule="auto"/>
        <w:rPr>
          <w:rFonts w:cstheme="minorHAnsi"/>
        </w:rPr>
      </w:pPr>
      <w:r w:rsidRPr="00433DC0">
        <w:rPr>
          <w:rFonts w:cs="Verdana"/>
        </w:rPr>
        <w:t xml:space="preserve">The tendency of BRCLM to present with extrahepatic involvement limits SIRT from a prognostic perspective. </w:t>
      </w:r>
    </w:p>
    <w:p w:rsidR="001E58F1" w:rsidRPr="00433DC0" w:rsidRDefault="001E58F1" w:rsidP="001E58F1">
      <w:pPr>
        <w:pStyle w:val="ListParagraph"/>
        <w:numPr>
          <w:ilvl w:val="2"/>
          <w:numId w:val="27"/>
        </w:numPr>
        <w:spacing w:after="0" w:line="240" w:lineRule="auto"/>
        <w:rPr>
          <w:rFonts w:cstheme="minorHAnsi"/>
        </w:rPr>
      </w:pPr>
      <w:r w:rsidRPr="00433DC0">
        <w:rPr>
          <w:rFonts w:cs="Verdana"/>
        </w:rPr>
        <w:t>Although the number of studies on the effects of SIRT on breast cancer metastasis is gradually increasing, they have so far involved only relatively small, heterogeneous patient cohorts. In order to validate SIRT as a potential first-line adjuvant to chemotherapy, larger multicenter randomized control studies are needed</w:t>
      </w:r>
    </w:p>
    <w:p w:rsidR="001E58F1" w:rsidRPr="00433DC0" w:rsidRDefault="001E58F1" w:rsidP="001E58F1">
      <w:pPr>
        <w:pStyle w:val="ListParagraph"/>
        <w:numPr>
          <w:ilvl w:val="1"/>
          <w:numId w:val="27"/>
        </w:numPr>
        <w:spacing w:after="0" w:line="240" w:lineRule="auto"/>
        <w:rPr>
          <w:rFonts w:cstheme="minorHAnsi"/>
        </w:rPr>
      </w:pPr>
      <w:r w:rsidRPr="00433DC0">
        <w:rPr>
          <w:rFonts w:cs="Verdana"/>
        </w:rPr>
        <w:t>Cholangiocarcinoma</w:t>
      </w:r>
    </w:p>
    <w:p w:rsidR="001E58F1" w:rsidRPr="00433DC0" w:rsidRDefault="001E58F1" w:rsidP="001E58F1">
      <w:pPr>
        <w:pStyle w:val="ListParagraph"/>
        <w:numPr>
          <w:ilvl w:val="2"/>
          <w:numId w:val="27"/>
        </w:numPr>
        <w:spacing w:after="0" w:line="240" w:lineRule="auto"/>
        <w:rPr>
          <w:rFonts w:cstheme="minorHAnsi"/>
        </w:rPr>
      </w:pPr>
      <w:r w:rsidRPr="00433DC0">
        <w:rPr>
          <w:rFonts w:cs="Verdana"/>
        </w:rPr>
        <w:lastRenderedPageBreak/>
        <w:t xml:space="preserve">N=6 prospective case series (N=24, 25, 26, 19, 46, 21) and 1 retrospective case series (N=35) </w:t>
      </w:r>
    </w:p>
    <w:p w:rsidR="001E58F1" w:rsidRPr="00433DC0" w:rsidRDefault="001E58F1" w:rsidP="001E58F1">
      <w:pPr>
        <w:pStyle w:val="ListParagraph"/>
        <w:numPr>
          <w:ilvl w:val="2"/>
          <w:numId w:val="27"/>
        </w:numPr>
        <w:spacing w:after="0" w:line="240" w:lineRule="auto"/>
        <w:rPr>
          <w:rFonts w:cs="Verdana"/>
        </w:rPr>
      </w:pPr>
      <w:r w:rsidRPr="00433DC0">
        <w:rPr>
          <w:rFonts w:cs="Verdana"/>
        </w:rPr>
        <w:t xml:space="preserve">meta-analysis of 5 of these studies found the highest median overall survival was with hepatic arterial infusion (22.8 months) compared to transarterial radioembolization (13.9 months), transarterial chemoembolization (12.4 months), and drug-eluting transarterial chemoembolization (12.3 months). </w:t>
      </w:r>
    </w:p>
    <w:p w:rsidR="001E58F1" w:rsidRPr="00433DC0" w:rsidRDefault="001E58F1" w:rsidP="001E58F1">
      <w:pPr>
        <w:pStyle w:val="ListParagraph"/>
        <w:numPr>
          <w:ilvl w:val="2"/>
          <w:numId w:val="27"/>
        </w:numPr>
        <w:spacing w:after="0" w:line="240" w:lineRule="auto"/>
        <w:rPr>
          <w:rFonts w:cs="Verdana"/>
        </w:rPr>
      </w:pPr>
      <w:r w:rsidRPr="00433DC0">
        <w:rPr>
          <w:rFonts w:cs="Verdana"/>
        </w:rPr>
        <w:t xml:space="preserve">In the other 3 studies, overall survival varied between 5.7 months and 16.3 months. </w:t>
      </w:r>
    </w:p>
    <w:p w:rsidR="001E58F1" w:rsidRPr="00433DC0" w:rsidRDefault="001E58F1" w:rsidP="001E58F1">
      <w:pPr>
        <w:pStyle w:val="ListParagraph"/>
        <w:numPr>
          <w:ilvl w:val="2"/>
          <w:numId w:val="27"/>
        </w:numPr>
        <w:spacing w:after="0" w:line="240" w:lineRule="auto"/>
        <w:rPr>
          <w:rFonts w:cs="Verdana"/>
        </w:rPr>
      </w:pPr>
      <w:r w:rsidRPr="00433DC0">
        <w:rPr>
          <w:rFonts w:cs="Verdana"/>
        </w:rPr>
        <w:t>Historical median overall survival for patients with ICC is currently 22 months with standard therapy.</w:t>
      </w:r>
    </w:p>
    <w:p w:rsidR="001E58F1" w:rsidRPr="00433DC0" w:rsidRDefault="001E58F1" w:rsidP="001E58F1">
      <w:pPr>
        <w:pStyle w:val="ListParagraph"/>
        <w:numPr>
          <w:ilvl w:val="1"/>
          <w:numId w:val="27"/>
        </w:numPr>
        <w:spacing w:after="0" w:line="240" w:lineRule="auto"/>
        <w:rPr>
          <w:rFonts w:cs="Verdana"/>
        </w:rPr>
      </w:pPr>
      <w:r w:rsidRPr="00433DC0">
        <w:rPr>
          <w:rFonts w:cs="Verdana"/>
        </w:rPr>
        <w:t>Melanoma</w:t>
      </w:r>
    </w:p>
    <w:p w:rsidR="001E58F1" w:rsidRPr="00433DC0" w:rsidRDefault="001E58F1" w:rsidP="001E58F1">
      <w:pPr>
        <w:pStyle w:val="ListParagraph"/>
        <w:numPr>
          <w:ilvl w:val="2"/>
          <w:numId w:val="27"/>
        </w:numPr>
        <w:spacing w:after="0" w:line="240" w:lineRule="auto"/>
        <w:rPr>
          <w:rFonts w:cs="Verdana"/>
        </w:rPr>
      </w:pPr>
      <w:r w:rsidRPr="00433DC0">
        <w:rPr>
          <w:rFonts w:cs="Verdana"/>
        </w:rPr>
        <w:t>N=4 retrospective case series (N=28, 16, 32, 11) and 3 additional cases extracted from larger studies</w:t>
      </w:r>
    </w:p>
    <w:p w:rsidR="001E58F1" w:rsidRPr="00433DC0" w:rsidRDefault="001E58F1" w:rsidP="001E58F1">
      <w:pPr>
        <w:pStyle w:val="ListParagraph"/>
        <w:numPr>
          <w:ilvl w:val="2"/>
          <w:numId w:val="27"/>
        </w:numPr>
        <w:spacing w:after="0" w:line="240" w:lineRule="auto"/>
        <w:rPr>
          <w:rFonts w:cs="Verdana"/>
        </w:rPr>
      </w:pPr>
      <w:r w:rsidRPr="00433DC0">
        <w:rPr>
          <w:rFonts w:cs="Verdana"/>
        </w:rPr>
        <w:t>Median survival 7.6-10.1 months</w:t>
      </w:r>
    </w:p>
    <w:p w:rsidR="001E58F1" w:rsidRPr="00433DC0" w:rsidRDefault="001E58F1" w:rsidP="001E58F1">
      <w:pPr>
        <w:pStyle w:val="ListParagraph"/>
        <w:numPr>
          <w:ilvl w:val="2"/>
          <w:numId w:val="27"/>
        </w:numPr>
        <w:spacing w:after="0" w:line="240" w:lineRule="auto"/>
        <w:rPr>
          <w:rFonts w:cs="Verdana"/>
        </w:rPr>
      </w:pPr>
      <w:r w:rsidRPr="00433DC0">
        <w:rPr>
          <w:rFonts w:cs="Verdana"/>
        </w:rPr>
        <w:t>Reported median overall survival is 2.4 months with liver involvement with standard therapy</w:t>
      </w:r>
    </w:p>
    <w:p w:rsidR="001E58F1" w:rsidRPr="00433DC0" w:rsidRDefault="001E58F1" w:rsidP="001E58F1">
      <w:pPr>
        <w:pStyle w:val="ListParagraph"/>
        <w:numPr>
          <w:ilvl w:val="2"/>
          <w:numId w:val="27"/>
        </w:numPr>
        <w:spacing w:after="0" w:line="240" w:lineRule="auto"/>
        <w:rPr>
          <w:rFonts w:cs="Verdana"/>
        </w:rPr>
      </w:pPr>
      <w:r w:rsidRPr="00433DC0">
        <w:rPr>
          <w:rFonts w:cs="Verdana"/>
        </w:rPr>
        <w:t>Based on the few small cohort studies so far, SIRT has been demonstrated to be safe and effective at prolonging survival, however without further comparative studies the ideal selection criteria and benefit over other regional therapies remains uncertain.</w:t>
      </w:r>
    </w:p>
    <w:p w:rsidR="001E58F1" w:rsidRPr="00433DC0" w:rsidRDefault="001E58F1" w:rsidP="001E58F1">
      <w:pPr>
        <w:pStyle w:val="ListParagraph"/>
        <w:numPr>
          <w:ilvl w:val="1"/>
          <w:numId w:val="27"/>
        </w:numPr>
        <w:spacing w:after="0" w:line="240" w:lineRule="auto"/>
        <w:rPr>
          <w:rFonts w:cs="Verdana"/>
        </w:rPr>
      </w:pPr>
      <w:r w:rsidRPr="00433DC0">
        <w:rPr>
          <w:rFonts w:cs="Verdana"/>
        </w:rPr>
        <w:t>Pancreatic cancer</w:t>
      </w:r>
    </w:p>
    <w:p w:rsidR="001E58F1" w:rsidRPr="00433DC0" w:rsidRDefault="001E58F1" w:rsidP="001E58F1">
      <w:pPr>
        <w:pStyle w:val="ListParagraph"/>
        <w:numPr>
          <w:ilvl w:val="2"/>
          <w:numId w:val="27"/>
        </w:numPr>
        <w:spacing w:after="0" w:line="240" w:lineRule="auto"/>
        <w:rPr>
          <w:rFonts w:cs="Verdana"/>
        </w:rPr>
      </w:pPr>
      <w:r w:rsidRPr="00433DC0">
        <w:rPr>
          <w:rFonts w:cs="Verdana"/>
        </w:rPr>
        <w:t>N=2 retrospective case series (N=19, 7)</w:t>
      </w:r>
    </w:p>
    <w:p w:rsidR="001E58F1" w:rsidRPr="00433DC0" w:rsidRDefault="001E58F1" w:rsidP="001E58F1">
      <w:pPr>
        <w:pStyle w:val="ListParagraph"/>
        <w:numPr>
          <w:ilvl w:val="2"/>
          <w:numId w:val="27"/>
        </w:numPr>
        <w:spacing w:after="0" w:line="240" w:lineRule="auto"/>
        <w:rPr>
          <w:rFonts w:cs="Verdana"/>
        </w:rPr>
      </w:pPr>
      <w:r w:rsidRPr="00433DC0">
        <w:rPr>
          <w:rFonts w:cs="Verdana"/>
        </w:rPr>
        <w:t>Though the limited available data makes survivability benefits unclear, initial reports as a salvage treatment are encouraging. Median survival with the small cohort is attributed to a roughly 2-4 month improvement over conventional therapy</w:t>
      </w:r>
    </w:p>
    <w:p w:rsidR="001E58F1" w:rsidRPr="00433DC0" w:rsidRDefault="001E58F1" w:rsidP="001E58F1">
      <w:pPr>
        <w:pStyle w:val="ListParagraph"/>
        <w:numPr>
          <w:ilvl w:val="1"/>
          <w:numId w:val="27"/>
        </w:numPr>
        <w:spacing w:after="0" w:line="240" w:lineRule="auto"/>
        <w:rPr>
          <w:rFonts w:cs="Verdana"/>
        </w:rPr>
      </w:pPr>
      <w:r w:rsidRPr="00433DC0">
        <w:rPr>
          <w:rFonts w:cs="Verdana"/>
        </w:rPr>
        <w:t xml:space="preserve">Renal cell carcinoma: </w:t>
      </w:r>
    </w:p>
    <w:p w:rsidR="001E58F1" w:rsidRPr="00433DC0" w:rsidRDefault="001E58F1" w:rsidP="001E58F1">
      <w:pPr>
        <w:pStyle w:val="ListParagraph"/>
        <w:numPr>
          <w:ilvl w:val="2"/>
          <w:numId w:val="27"/>
        </w:numPr>
        <w:spacing w:after="0" w:line="240" w:lineRule="auto"/>
        <w:rPr>
          <w:rFonts w:cs="Verdana"/>
        </w:rPr>
      </w:pPr>
      <w:r w:rsidRPr="00433DC0">
        <w:rPr>
          <w:rFonts w:cs="Verdana"/>
        </w:rPr>
        <w:t>N=1 retrospective case series (N=6) and 1 case study (N=1)</w:t>
      </w:r>
    </w:p>
    <w:p w:rsidR="001E58F1" w:rsidRPr="00433DC0" w:rsidRDefault="001E58F1" w:rsidP="001E58F1">
      <w:pPr>
        <w:pStyle w:val="ListParagraph"/>
        <w:numPr>
          <w:ilvl w:val="2"/>
          <w:numId w:val="27"/>
        </w:numPr>
        <w:spacing w:after="0" w:line="240" w:lineRule="auto"/>
        <w:rPr>
          <w:rFonts w:cs="Verdana"/>
        </w:rPr>
      </w:pPr>
      <w:r w:rsidRPr="00433DC0">
        <w:rPr>
          <w:rFonts w:cs="Verdana"/>
        </w:rPr>
        <w:t>preliminary data on a handful of patients…are promising for the use of SIRT of hepatic metastases by renal cell carcinoma with a palliative rather than curative intent</w:t>
      </w:r>
    </w:p>
    <w:p w:rsidR="001E58F1" w:rsidRPr="00433DC0" w:rsidRDefault="001E58F1" w:rsidP="001E58F1">
      <w:pPr>
        <w:pStyle w:val="ListParagraph"/>
        <w:numPr>
          <w:ilvl w:val="1"/>
          <w:numId w:val="27"/>
        </w:numPr>
        <w:spacing w:after="0" w:line="240" w:lineRule="auto"/>
        <w:rPr>
          <w:rFonts w:cs="Verdana"/>
        </w:rPr>
      </w:pPr>
      <w:r w:rsidRPr="00433DC0">
        <w:rPr>
          <w:rFonts w:cs="Verdana"/>
        </w:rPr>
        <w:t>Lung cancer</w:t>
      </w:r>
    </w:p>
    <w:p w:rsidR="001E58F1" w:rsidRPr="00433DC0" w:rsidRDefault="001E58F1" w:rsidP="001E58F1">
      <w:pPr>
        <w:pStyle w:val="ListParagraph"/>
        <w:numPr>
          <w:ilvl w:val="2"/>
          <w:numId w:val="27"/>
        </w:numPr>
        <w:spacing w:after="0" w:line="240" w:lineRule="auto"/>
        <w:rPr>
          <w:rFonts w:cs="Verdana"/>
        </w:rPr>
      </w:pPr>
      <w:r w:rsidRPr="00433DC0">
        <w:rPr>
          <w:rFonts w:cs="Verdana"/>
        </w:rPr>
        <w:t>N=1 retrospective case series (N=6) and 1 case study (N=2)</w:t>
      </w:r>
    </w:p>
    <w:p w:rsidR="001E58F1" w:rsidRDefault="001E58F1" w:rsidP="001E58F1">
      <w:pPr>
        <w:pStyle w:val="ListParagraph"/>
        <w:numPr>
          <w:ilvl w:val="2"/>
          <w:numId w:val="27"/>
        </w:numPr>
        <w:spacing w:after="0" w:line="240" w:lineRule="auto"/>
        <w:rPr>
          <w:rFonts w:cs="Verdana"/>
        </w:rPr>
      </w:pPr>
      <w:r w:rsidRPr="00433DC0">
        <w:rPr>
          <w:rFonts w:cs="Verdana"/>
        </w:rPr>
        <w:t>The few cases of yttrium-90 SIRT of lung cancer liver metastases so far demonstrate SIRT’s potential as an effective salvage therapy</w:t>
      </w:r>
    </w:p>
    <w:p w:rsidR="00BC5864" w:rsidRPr="00433DC0" w:rsidRDefault="00BC5864" w:rsidP="00BC5864">
      <w:pPr>
        <w:pStyle w:val="ListParagraph"/>
        <w:spacing w:after="0" w:line="240" w:lineRule="auto"/>
        <w:ind w:left="2160"/>
        <w:rPr>
          <w:rFonts w:cs="Verdana"/>
        </w:rPr>
      </w:pPr>
    </w:p>
    <w:p w:rsidR="00CF7E7E" w:rsidRPr="00433DC0" w:rsidRDefault="00CF7E7E" w:rsidP="00CF7E7E">
      <w:pPr>
        <w:rPr>
          <w:rFonts w:cstheme="minorHAnsi"/>
        </w:rPr>
      </w:pPr>
      <w:r w:rsidRPr="00433DC0">
        <w:rPr>
          <w:rFonts w:cstheme="minorHAnsi"/>
          <w:u w:val="single"/>
        </w:rPr>
        <w:t>HERC staff recommendations</w:t>
      </w:r>
      <w:r w:rsidRPr="00433DC0">
        <w:rPr>
          <w:rFonts w:cstheme="minorHAnsi"/>
        </w:rPr>
        <w:t>:</w:t>
      </w:r>
    </w:p>
    <w:p w:rsidR="00CF7E7E" w:rsidRPr="00433DC0" w:rsidRDefault="00CF7E7E" w:rsidP="00CF7E7E">
      <w:pPr>
        <w:pStyle w:val="ListParagraph"/>
        <w:numPr>
          <w:ilvl w:val="0"/>
          <w:numId w:val="28"/>
        </w:numPr>
        <w:spacing w:after="0" w:line="240" w:lineRule="auto"/>
        <w:outlineLvl w:val="0"/>
        <w:rPr>
          <w:rFonts w:cstheme="minorHAnsi"/>
          <w:bCs/>
        </w:rPr>
      </w:pPr>
      <w:r w:rsidRPr="00433DC0">
        <w:rPr>
          <w:rFonts w:cstheme="minorHAnsi"/>
        </w:rPr>
        <w:t>Add the additional HCPCS code for yttrium-90 radioembolization (CPT 79445) to line 500/GN172</w:t>
      </w:r>
    </w:p>
    <w:p w:rsidR="00CF7E7E" w:rsidRPr="00433DC0" w:rsidRDefault="00CF7E7E" w:rsidP="00CF7E7E">
      <w:pPr>
        <w:pStyle w:val="ListParagraph"/>
        <w:numPr>
          <w:ilvl w:val="1"/>
          <w:numId w:val="28"/>
        </w:numPr>
        <w:spacing w:after="0" w:line="240" w:lineRule="auto"/>
        <w:outlineLvl w:val="0"/>
        <w:rPr>
          <w:rFonts w:cstheme="minorHAnsi"/>
          <w:bCs/>
        </w:rPr>
      </w:pPr>
      <w:r w:rsidRPr="00433DC0">
        <w:t>S2095 Transcatheter occlusion or embolization for tumor destruction, percutaneous, any method, using yttrium-90 microspheres</w:t>
      </w:r>
    </w:p>
    <w:p w:rsidR="00CF7E7E" w:rsidRPr="00433DC0" w:rsidRDefault="00CF7E7E" w:rsidP="00CF7E7E">
      <w:pPr>
        <w:pStyle w:val="ListParagraph"/>
        <w:numPr>
          <w:ilvl w:val="0"/>
          <w:numId w:val="28"/>
        </w:numPr>
        <w:spacing w:after="0" w:line="240" w:lineRule="auto"/>
        <w:outlineLvl w:val="0"/>
        <w:rPr>
          <w:rFonts w:cstheme="minorHAnsi"/>
          <w:bCs/>
        </w:rPr>
      </w:pPr>
      <w:r>
        <w:rPr>
          <w:rFonts w:cstheme="minorHAnsi"/>
          <w:bCs/>
        </w:rPr>
        <w:t>Modify the</w:t>
      </w:r>
      <w:r w:rsidRPr="00433DC0">
        <w:rPr>
          <w:rFonts w:cstheme="minorHAnsi"/>
          <w:bCs/>
        </w:rPr>
        <w:t xml:space="preserve"> entry to GN172/line 500 </w:t>
      </w:r>
      <w:r w:rsidRPr="00433DC0">
        <w:rPr>
          <w:rFonts w:cstheme="minorHAnsi"/>
        </w:rPr>
        <w:t>CONDITIONS FOR WHICH CERTAIN INTERVENTIONS RESULT IN MARGINAL CLINICAL BENEFIT OR LOW COST-EFFECTIVENESS</w:t>
      </w:r>
      <w:r w:rsidRPr="00433DC0">
        <w:rPr>
          <w:rFonts w:cstheme="minorHAnsi"/>
          <w:bCs/>
        </w:rPr>
        <w:t xml:space="preserve"> as shown below </w:t>
      </w:r>
      <w:r w:rsidRPr="00433DC0">
        <w:rPr>
          <w:rFonts w:cstheme="minorHAnsi"/>
          <w:bCs/>
        </w:rPr>
        <w:lastRenderedPageBreak/>
        <w:t xml:space="preserve">for yttrium-90 for treatment of primary hepatocellular carcinoma, or colorectal cancer metastatic to the liver </w:t>
      </w:r>
    </w:p>
    <w:p w:rsidR="0006578B" w:rsidRDefault="0006578B" w:rsidP="00CF7E7E">
      <w:pPr>
        <w:pStyle w:val="Heading1"/>
        <w:spacing w:before="0"/>
        <w:rPr>
          <w:rFonts w:asciiTheme="minorHAnsi" w:hAnsiTheme="minorHAnsi" w:cstheme="minorHAnsi"/>
          <w:color w:val="auto"/>
          <w:sz w:val="22"/>
          <w:szCs w:val="22"/>
        </w:rPr>
      </w:pPr>
      <w:bookmarkStart w:id="0" w:name="GuidelineNote00172"/>
    </w:p>
    <w:p w:rsidR="00CF7E7E" w:rsidRPr="00433DC0" w:rsidRDefault="00CF7E7E" w:rsidP="00CF7E7E">
      <w:pPr>
        <w:pStyle w:val="Heading1"/>
        <w:spacing w:before="0"/>
        <w:rPr>
          <w:rFonts w:asciiTheme="minorHAnsi" w:hAnsiTheme="minorHAnsi" w:cstheme="minorHAnsi"/>
          <w:color w:val="auto"/>
          <w:sz w:val="22"/>
          <w:szCs w:val="22"/>
        </w:rPr>
      </w:pPr>
      <w:r w:rsidRPr="00433DC0">
        <w:rPr>
          <w:rFonts w:asciiTheme="minorHAnsi" w:hAnsiTheme="minorHAnsi" w:cstheme="minorHAnsi"/>
          <w:color w:val="auto"/>
          <w:sz w:val="22"/>
          <w:szCs w:val="22"/>
        </w:rPr>
        <w:t>GUIDELINE NOTE 172, INTERVENTIONS WITH MARGINAL CLINICAL BENEFIT OR LOW COST-EFFECTIVENESS FOR CERTAIN CONDITIONS</w:t>
      </w:r>
    </w:p>
    <w:bookmarkEnd w:id="0"/>
    <w:p w:rsidR="00CF7E7E" w:rsidRPr="00433DC0" w:rsidRDefault="00CF7E7E" w:rsidP="00CF7E7E">
      <w:pPr>
        <w:pStyle w:val="HSCGLLineList"/>
        <w:spacing w:after="0"/>
        <w:rPr>
          <w:rFonts w:asciiTheme="minorHAnsi" w:hAnsiTheme="minorHAnsi" w:cstheme="minorHAnsi"/>
          <w:sz w:val="22"/>
          <w:szCs w:val="22"/>
        </w:rPr>
      </w:pPr>
      <w:r w:rsidRPr="00433DC0">
        <w:rPr>
          <w:rFonts w:asciiTheme="minorHAnsi" w:hAnsiTheme="minorHAnsi" w:cstheme="minorHAnsi"/>
          <w:sz w:val="22"/>
          <w:szCs w:val="22"/>
        </w:rPr>
        <w:t>Line 500</w:t>
      </w:r>
    </w:p>
    <w:p w:rsidR="00CF7E7E" w:rsidRPr="00433DC0" w:rsidRDefault="00CF7E7E" w:rsidP="00CF7E7E">
      <w:pPr>
        <w:pStyle w:val="HSCNormal"/>
        <w:rPr>
          <w:rFonts w:asciiTheme="minorHAnsi" w:hAnsiTheme="minorHAnsi" w:cstheme="minorHAnsi"/>
          <w:sz w:val="22"/>
          <w:szCs w:val="22"/>
        </w:rPr>
      </w:pPr>
      <w:r w:rsidRPr="00433DC0">
        <w:rPr>
          <w:rFonts w:asciiTheme="minorHAnsi" w:hAnsiTheme="minorHAnsi" w:cstheme="minorHAnsi"/>
          <w:sz w:val="22"/>
          <w:szCs w:val="22"/>
        </w:rPr>
        <w:t>The following interventions are prioritized on Line 500 CONDITIONS FOR WHICH CERTAIN INTERVENTIONS RESULT IN MARGINAL CLINICAL BENEFIT OR LOW COST-EFFECTIVENESS:</w:t>
      </w:r>
    </w:p>
    <w:p w:rsidR="00CF7E7E" w:rsidRPr="00433DC0" w:rsidRDefault="00CF7E7E" w:rsidP="00CF7E7E">
      <w:pPr>
        <w:pStyle w:val="HSCNormal"/>
        <w:rPr>
          <w:rFonts w:asciiTheme="minorHAnsi" w:hAnsiTheme="minorHAnsi" w:cstheme="minorHAnsi"/>
          <w:sz w:val="22"/>
          <w:szCs w:val="22"/>
        </w:rPr>
      </w:pPr>
    </w:p>
    <w:tbl>
      <w:tblPr>
        <w:tblStyle w:val="TableGrid"/>
        <w:tblW w:w="9000" w:type="dxa"/>
        <w:tblLook w:val="04A0" w:firstRow="1" w:lastRow="0" w:firstColumn="1" w:lastColumn="0" w:noHBand="0" w:noVBand="1"/>
      </w:tblPr>
      <w:tblGrid>
        <w:gridCol w:w="1435"/>
        <w:gridCol w:w="3240"/>
        <w:gridCol w:w="2160"/>
        <w:gridCol w:w="2165"/>
      </w:tblGrid>
      <w:tr w:rsidR="00CF7E7E" w:rsidRPr="00433DC0" w:rsidTr="00E25865">
        <w:trPr>
          <w:tblHeader/>
        </w:trPr>
        <w:tc>
          <w:tcPr>
            <w:tcW w:w="1435" w:type="dxa"/>
            <w:shd w:val="clear" w:color="auto" w:fill="D9D9D9" w:themeFill="background1" w:themeFillShade="D9"/>
          </w:tcPr>
          <w:p w:rsidR="00CF7E7E" w:rsidRPr="00433DC0" w:rsidRDefault="00CF7E7E" w:rsidP="00E25865">
            <w:pPr>
              <w:pStyle w:val="HSCNormal"/>
              <w:rPr>
                <w:rStyle w:val="PageNumber"/>
                <w:rFonts w:asciiTheme="minorHAnsi" w:hAnsiTheme="minorHAnsi" w:cstheme="minorHAnsi"/>
                <w:b/>
                <w:sz w:val="22"/>
                <w:szCs w:val="22"/>
              </w:rPr>
            </w:pPr>
            <w:r w:rsidRPr="00433DC0">
              <w:rPr>
                <w:rStyle w:val="PageNumber"/>
                <w:rFonts w:asciiTheme="minorHAnsi" w:hAnsiTheme="minorHAnsi" w:cstheme="minorHAnsi"/>
                <w:sz w:val="22"/>
                <w:szCs w:val="22"/>
              </w:rPr>
              <w:t>Procedure Code</w:t>
            </w:r>
          </w:p>
        </w:tc>
        <w:tc>
          <w:tcPr>
            <w:tcW w:w="3240" w:type="dxa"/>
            <w:shd w:val="clear" w:color="auto" w:fill="D9D9D9" w:themeFill="background1" w:themeFillShade="D9"/>
          </w:tcPr>
          <w:p w:rsidR="00CF7E7E" w:rsidRPr="00433DC0" w:rsidRDefault="00CF7E7E" w:rsidP="00E25865">
            <w:pPr>
              <w:pStyle w:val="HSCNormal"/>
              <w:rPr>
                <w:rStyle w:val="PageNumber"/>
                <w:rFonts w:asciiTheme="minorHAnsi" w:hAnsiTheme="minorHAnsi" w:cstheme="minorHAnsi"/>
                <w:b/>
                <w:sz w:val="22"/>
                <w:szCs w:val="22"/>
              </w:rPr>
            </w:pPr>
            <w:r w:rsidRPr="00433DC0">
              <w:rPr>
                <w:rStyle w:val="PageNumber"/>
                <w:rFonts w:asciiTheme="minorHAnsi" w:hAnsiTheme="minorHAnsi" w:cstheme="minorHAnsi"/>
                <w:sz w:val="22"/>
                <w:szCs w:val="22"/>
              </w:rPr>
              <w:t>Intervention Description</w:t>
            </w:r>
          </w:p>
        </w:tc>
        <w:tc>
          <w:tcPr>
            <w:tcW w:w="2160" w:type="dxa"/>
            <w:shd w:val="clear" w:color="auto" w:fill="D9D9D9" w:themeFill="background1" w:themeFillShade="D9"/>
          </w:tcPr>
          <w:p w:rsidR="00CF7E7E" w:rsidRPr="00433DC0" w:rsidRDefault="00CF7E7E" w:rsidP="00E25865">
            <w:pPr>
              <w:pStyle w:val="HSCNormal"/>
              <w:rPr>
                <w:rStyle w:val="PageNumber"/>
                <w:rFonts w:asciiTheme="minorHAnsi" w:hAnsiTheme="minorHAnsi" w:cstheme="minorHAnsi"/>
                <w:b/>
                <w:sz w:val="22"/>
                <w:szCs w:val="22"/>
              </w:rPr>
            </w:pPr>
            <w:r w:rsidRPr="00433DC0">
              <w:rPr>
                <w:rStyle w:val="PageNumber"/>
                <w:rFonts w:asciiTheme="minorHAnsi" w:hAnsiTheme="minorHAnsi" w:cstheme="minorHAnsi"/>
                <w:sz w:val="22"/>
                <w:szCs w:val="22"/>
              </w:rPr>
              <w:t>Rationale</w:t>
            </w:r>
          </w:p>
        </w:tc>
        <w:tc>
          <w:tcPr>
            <w:tcW w:w="2165" w:type="dxa"/>
            <w:shd w:val="clear" w:color="auto" w:fill="D9D9D9" w:themeFill="background1" w:themeFillShade="D9"/>
          </w:tcPr>
          <w:p w:rsidR="00CF7E7E" w:rsidRPr="00433DC0" w:rsidRDefault="00CF7E7E" w:rsidP="00E25865">
            <w:pPr>
              <w:pStyle w:val="HSCNormal"/>
              <w:rPr>
                <w:rStyle w:val="PageNumber"/>
                <w:rFonts w:asciiTheme="minorHAnsi" w:hAnsiTheme="minorHAnsi" w:cstheme="minorHAnsi"/>
                <w:b/>
                <w:sz w:val="22"/>
                <w:szCs w:val="22"/>
              </w:rPr>
            </w:pPr>
            <w:r w:rsidRPr="00433DC0">
              <w:rPr>
                <w:rStyle w:val="PageNumber"/>
                <w:rFonts w:asciiTheme="minorHAnsi" w:hAnsiTheme="minorHAnsi" w:cstheme="minorHAnsi"/>
                <w:sz w:val="22"/>
                <w:szCs w:val="22"/>
              </w:rPr>
              <w:t>Last Review</w:t>
            </w:r>
          </w:p>
        </w:tc>
      </w:tr>
      <w:tr w:rsidR="00CF7E7E" w:rsidRPr="00433DC0" w:rsidTr="00E25865">
        <w:tc>
          <w:tcPr>
            <w:tcW w:w="1435" w:type="dxa"/>
          </w:tcPr>
          <w:p w:rsidR="00CF7E7E" w:rsidRPr="00DF5E40" w:rsidRDefault="00CF7E7E" w:rsidP="00E25865">
            <w:pPr>
              <w:rPr>
                <w:rFonts w:cstheme="minorHAnsi"/>
              </w:rPr>
            </w:pPr>
            <w:r w:rsidRPr="00DF5E40">
              <w:rPr>
                <w:rFonts w:cstheme="minorHAnsi"/>
              </w:rPr>
              <w:t>79445</w:t>
            </w:r>
          </w:p>
          <w:p w:rsidR="00CF7E7E" w:rsidRPr="00DF5E40" w:rsidRDefault="00CF7E7E" w:rsidP="00E25865">
            <w:pPr>
              <w:rPr>
                <w:rFonts w:cstheme="minorHAnsi"/>
              </w:rPr>
            </w:pPr>
          </w:p>
          <w:p w:rsidR="00CF7E7E" w:rsidRPr="00DF5E40" w:rsidRDefault="00CF7E7E" w:rsidP="00E25865">
            <w:pPr>
              <w:rPr>
                <w:rFonts w:cstheme="minorHAnsi"/>
              </w:rPr>
            </w:pPr>
          </w:p>
          <w:p w:rsidR="00CF7E7E" w:rsidRPr="00DF5E40" w:rsidRDefault="00CF7E7E" w:rsidP="00E25865">
            <w:pPr>
              <w:rPr>
                <w:rFonts w:cstheme="minorHAnsi"/>
              </w:rPr>
            </w:pPr>
          </w:p>
          <w:p w:rsidR="00CF7E7E" w:rsidRDefault="00CF7E7E" w:rsidP="00E25865">
            <w:pPr>
              <w:rPr>
                <w:rFonts w:cstheme="minorHAnsi"/>
              </w:rPr>
            </w:pPr>
          </w:p>
          <w:p w:rsidR="00BC5864" w:rsidRDefault="00BC5864" w:rsidP="00E25865">
            <w:pPr>
              <w:rPr>
                <w:rFonts w:cstheme="minorHAnsi"/>
              </w:rPr>
            </w:pPr>
          </w:p>
          <w:p w:rsidR="00BC5864" w:rsidRPr="00DF5E40" w:rsidRDefault="00BC5864" w:rsidP="00E25865">
            <w:pPr>
              <w:rPr>
                <w:rFonts w:cstheme="minorHAnsi"/>
              </w:rPr>
            </w:pPr>
          </w:p>
          <w:p w:rsidR="00CF7E7E" w:rsidRPr="00DF5E40" w:rsidRDefault="00CF7E7E" w:rsidP="00E25865">
            <w:pPr>
              <w:rPr>
                <w:rFonts w:cstheme="minorHAnsi"/>
              </w:rPr>
            </w:pPr>
            <w:r w:rsidRPr="00DF5E40">
              <w:rPr>
                <w:rFonts w:cstheme="minorHAnsi"/>
                <w:bCs/>
              </w:rPr>
              <w:t>C2616</w:t>
            </w:r>
          </w:p>
          <w:p w:rsidR="00CF7E7E" w:rsidRPr="00DF5E40" w:rsidRDefault="00CF7E7E" w:rsidP="00E25865">
            <w:pPr>
              <w:rPr>
                <w:rFonts w:cstheme="minorHAnsi"/>
              </w:rPr>
            </w:pPr>
          </w:p>
          <w:p w:rsidR="00CF7E7E" w:rsidRPr="00DF5E40" w:rsidRDefault="00CF7E7E" w:rsidP="00E25865">
            <w:pPr>
              <w:rPr>
                <w:rStyle w:val="PageNumber"/>
                <w:rFonts w:cstheme="minorHAnsi"/>
              </w:rPr>
            </w:pPr>
          </w:p>
          <w:p w:rsidR="00CF7E7E" w:rsidRDefault="00CF7E7E" w:rsidP="00E25865">
            <w:pPr>
              <w:rPr>
                <w:rStyle w:val="PageNumber"/>
                <w:rFonts w:cstheme="minorHAnsi"/>
              </w:rPr>
            </w:pPr>
          </w:p>
          <w:p w:rsidR="00BC5864" w:rsidRPr="00DF5E40" w:rsidRDefault="00BC5864" w:rsidP="00E25865">
            <w:pPr>
              <w:rPr>
                <w:rStyle w:val="PageNumber"/>
                <w:rFonts w:cstheme="minorHAnsi"/>
              </w:rPr>
            </w:pPr>
          </w:p>
          <w:p w:rsidR="00CF7E7E" w:rsidRPr="00DF5E40" w:rsidRDefault="00CF7E7E" w:rsidP="00E25865">
            <w:pPr>
              <w:rPr>
                <w:rStyle w:val="PageNumber"/>
                <w:rFonts w:cstheme="minorHAnsi"/>
              </w:rPr>
            </w:pPr>
            <w:r w:rsidRPr="00DF5E40">
              <w:t>S2095</w:t>
            </w:r>
          </w:p>
        </w:tc>
        <w:tc>
          <w:tcPr>
            <w:tcW w:w="3240" w:type="dxa"/>
          </w:tcPr>
          <w:p w:rsidR="00CF7E7E" w:rsidRPr="00DF5E40" w:rsidRDefault="00CF7E7E" w:rsidP="00E25865">
            <w:pPr>
              <w:rPr>
                <w:rStyle w:val="PageNumber"/>
                <w:rFonts w:cstheme="minorHAnsi"/>
              </w:rPr>
            </w:pPr>
            <w:r w:rsidRPr="00DF5E40">
              <w:rPr>
                <w:rStyle w:val="PageNumber"/>
                <w:rFonts w:cstheme="minorHAnsi"/>
              </w:rPr>
              <w:t xml:space="preserve">Radiopharmaceutical therapy, by intra-arterial particulate administration </w:t>
            </w:r>
            <w:r w:rsidRPr="00903F61">
              <w:rPr>
                <w:rStyle w:val="PageNumber"/>
                <w:rFonts w:cstheme="minorHAnsi"/>
              </w:rPr>
              <w:t>for use in treating primary hepatocellular carcinoma or colorectal cancer metastatic to the liver</w:t>
            </w:r>
          </w:p>
          <w:p w:rsidR="00CF7E7E" w:rsidRDefault="00CF7E7E" w:rsidP="00E25865">
            <w:pPr>
              <w:rPr>
                <w:rStyle w:val="PageNumber"/>
                <w:rFonts w:cstheme="minorHAnsi"/>
              </w:rPr>
            </w:pPr>
          </w:p>
          <w:p w:rsidR="00BC5864" w:rsidRDefault="00BC5864" w:rsidP="00E25865">
            <w:pPr>
              <w:rPr>
                <w:rStyle w:val="PageNumber"/>
                <w:rFonts w:cstheme="minorHAnsi"/>
              </w:rPr>
            </w:pPr>
          </w:p>
          <w:p w:rsidR="00BC5864" w:rsidRPr="00DF5E40" w:rsidRDefault="00BC5864" w:rsidP="00E25865">
            <w:pPr>
              <w:rPr>
                <w:rStyle w:val="PageNumber"/>
                <w:rFonts w:cstheme="minorHAnsi"/>
              </w:rPr>
            </w:pPr>
          </w:p>
          <w:p w:rsidR="00CF7E7E" w:rsidRPr="00DF5E40" w:rsidRDefault="00CF7E7E" w:rsidP="00E25865">
            <w:pPr>
              <w:rPr>
                <w:rFonts w:cstheme="minorHAnsi"/>
                <w:bCs/>
              </w:rPr>
            </w:pPr>
            <w:r w:rsidRPr="00DF5E40">
              <w:rPr>
                <w:rFonts w:cstheme="minorHAnsi"/>
                <w:bCs/>
              </w:rPr>
              <w:t>Brachytherapy source, non-stranded, yttrium-90, per source, for use in treating primary liver cancer or metastatic cancer to the liver</w:t>
            </w:r>
          </w:p>
          <w:p w:rsidR="00CF7E7E" w:rsidRDefault="00CF7E7E" w:rsidP="00E25865">
            <w:pPr>
              <w:rPr>
                <w:rFonts w:cstheme="minorHAnsi"/>
                <w:bCs/>
              </w:rPr>
            </w:pPr>
          </w:p>
          <w:p w:rsidR="00CF7E7E" w:rsidRPr="00DF5E40" w:rsidRDefault="00CF7E7E" w:rsidP="00E25865">
            <w:pPr>
              <w:rPr>
                <w:rStyle w:val="PageNumber"/>
                <w:rFonts w:cstheme="minorHAnsi"/>
              </w:rPr>
            </w:pPr>
            <w:r w:rsidRPr="00DF5E40">
              <w:t>Transcatheter occlusion or embolization for tumor destruction, percutaneous, any method, using yttrium-90 microspheres</w:t>
            </w:r>
          </w:p>
        </w:tc>
        <w:tc>
          <w:tcPr>
            <w:tcW w:w="2160" w:type="dxa"/>
          </w:tcPr>
          <w:p w:rsidR="00CF7E7E" w:rsidRPr="00433DC0" w:rsidRDefault="00CF7E7E" w:rsidP="00E25865">
            <w:pPr>
              <w:rPr>
                <w:rStyle w:val="PageNumber"/>
                <w:rFonts w:cstheme="minorHAnsi"/>
              </w:rPr>
            </w:pPr>
            <w:r w:rsidRPr="00433DC0">
              <w:rPr>
                <w:rStyle w:val="PageNumber"/>
                <w:rFonts w:cstheme="minorHAnsi"/>
              </w:rPr>
              <w:t>Low cost-effectiveness compared to equally effective but less expensive standard chemotherapies; concern for possible harms compared to standard chemotherapy</w:t>
            </w:r>
          </w:p>
        </w:tc>
        <w:tc>
          <w:tcPr>
            <w:tcW w:w="2165" w:type="dxa"/>
          </w:tcPr>
          <w:p w:rsidR="00CF7E7E" w:rsidRPr="00433DC0" w:rsidRDefault="00CF7E7E" w:rsidP="00E25865">
            <w:pPr>
              <w:rPr>
                <w:rStyle w:val="PageNumber"/>
                <w:rFonts w:cstheme="minorHAnsi"/>
              </w:rPr>
            </w:pPr>
            <w:r w:rsidRPr="0006578B">
              <w:rPr>
                <w:rFonts w:cstheme="minorHAnsi"/>
              </w:rPr>
              <w:t>January, 2018</w:t>
            </w:r>
          </w:p>
        </w:tc>
      </w:tr>
    </w:tbl>
    <w:p w:rsidR="00CF7E7E" w:rsidRPr="00433DC0" w:rsidRDefault="00CF7E7E" w:rsidP="00CF7E7E">
      <w:pPr>
        <w:outlineLvl w:val="0"/>
        <w:rPr>
          <w:rFonts w:cstheme="minorHAnsi"/>
          <w:bCs/>
          <w:color w:val="FF0000"/>
        </w:rPr>
      </w:pPr>
    </w:p>
    <w:p w:rsidR="00CF7E7E" w:rsidRPr="00433DC0" w:rsidRDefault="00CF7E7E" w:rsidP="00CF7E7E">
      <w:pPr>
        <w:pStyle w:val="ListParagraph"/>
        <w:numPr>
          <w:ilvl w:val="0"/>
          <w:numId w:val="28"/>
        </w:numPr>
        <w:spacing w:after="0" w:line="240" w:lineRule="auto"/>
        <w:outlineLvl w:val="0"/>
        <w:rPr>
          <w:rFonts w:cstheme="minorHAnsi"/>
          <w:bCs/>
        </w:rPr>
      </w:pPr>
      <w:r w:rsidRPr="00433DC0">
        <w:rPr>
          <w:rFonts w:cstheme="minorHAnsi"/>
        </w:rPr>
        <w:t xml:space="preserve">Remove CPT </w:t>
      </w:r>
      <w:r w:rsidRPr="00433DC0">
        <w:rPr>
          <w:rFonts w:cstheme="minorHAnsi"/>
          <w:bCs/>
        </w:rPr>
        <w:t>79445 (Radiopharmaceutical therapy, by intra-arterial particulate administration) from all current lines on the Prioritized List</w:t>
      </w:r>
    </w:p>
    <w:p w:rsidR="00CF7E7E" w:rsidRPr="00433DC0" w:rsidRDefault="00CF7E7E" w:rsidP="00CF7E7E">
      <w:pPr>
        <w:pStyle w:val="ListParagraph"/>
        <w:numPr>
          <w:ilvl w:val="1"/>
          <w:numId w:val="28"/>
        </w:numPr>
        <w:spacing w:after="0" w:line="240" w:lineRule="auto"/>
        <w:outlineLvl w:val="0"/>
        <w:rPr>
          <w:rFonts w:cstheme="minorHAnsi"/>
          <w:bCs/>
        </w:rPr>
      </w:pPr>
      <w:r w:rsidRPr="00433DC0">
        <w:rPr>
          <w:rFonts w:cstheme="minorHAnsi"/>
          <w:bCs/>
        </w:rPr>
        <w:t>Lines 129,130,160,161,162,165,195,204,214,238,242,262,265,274,279,291,292,299,319, 321, 333,346,376,439,465,533,600,611</w:t>
      </w:r>
    </w:p>
    <w:p w:rsidR="00CF7E7E" w:rsidRDefault="00CF7E7E" w:rsidP="00CF7E7E">
      <w:pPr>
        <w:pStyle w:val="ListParagraph"/>
        <w:numPr>
          <w:ilvl w:val="1"/>
          <w:numId w:val="28"/>
        </w:numPr>
        <w:spacing w:after="0" w:line="240" w:lineRule="auto"/>
        <w:outlineLvl w:val="0"/>
        <w:rPr>
          <w:rFonts w:cstheme="minorHAnsi"/>
          <w:bCs/>
        </w:rPr>
      </w:pPr>
      <w:r w:rsidRPr="00433DC0">
        <w:rPr>
          <w:rFonts w:cstheme="minorHAnsi"/>
          <w:bCs/>
        </w:rPr>
        <w:lastRenderedPageBreak/>
        <w:t>Evidence for efficacy is extremely limited; appears experimental; not FDA approved for these indications</w:t>
      </w:r>
    </w:p>
    <w:p w:rsidR="00CF7E7E" w:rsidRDefault="00CF7E7E" w:rsidP="00CF7E7E">
      <w:pPr>
        <w:pStyle w:val="ListParagraph"/>
        <w:numPr>
          <w:ilvl w:val="0"/>
          <w:numId w:val="28"/>
        </w:numPr>
        <w:spacing w:after="0" w:line="240" w:lineRule="auto"/>
        <w:outlineLvl w:val="0"/>
        <w:rPr>
          <w:rFonts w:cstheme="minorHAnsi"/>
          <w:bCs/>
        </w:rPr>
      </w:pPr>
      <w:r>
        <w:rPr>
          <w:rFonts w:cstheme="minorHAnsi"/>
          <w:bCs/>
        </w:rPr>
        <w:t>Add an entry to GN173/line 660 for all non-HCC/CRC metastatic to the liver indications as experimental</w:t>
      </w:r>
    </w:p>
    <w:p w:rsidR="00CF7E7E" w:rsidRDefault="00CF7E7E" w:rsidP="00CF7E7E">
      <w:pPr>
        <w:outlineLvl w:val="0"/>
        <w:rPr>
          <w:rFonts w:cstheme="minorHAnsi"/>
          <w:bCs/>
        </w:rPr>
      </w:pPr>
    </w:p>
    <w:p w:rsidR="00CF7E7E" w:rsidRPr="005506C6" w:rsidRDefault="00CF7E7E" w:rsidP="00CF7E7E">
      <w:pPr>
        <w:rPr>
          <w:rStyle w:val="PageNumber"/>
          <w:rFonts w:cstheme="minorHAnsi"/>
          <w:b/>
        </w:rPr>
      </w:pPr>
      <w:r w:rsidRPr="00EF3F99">
        <w:rPr>
          <w:rStyle w:val="PageNumber"/>
          <w:rFonts w:cstheme="minorHAnsi"/>
        </w:rPr>
        <w:t>GUIDELINE NOTE 1</w:t>
      </w:r>
      <w:r>
        <w:rPr>
          <w:rStyle w:val="PageNumber"/>
          <w:rFonts w:cstheme="minorHAnsi"/>
        </w:rPr>
        <w:t>73</w:t>
      </w:r>
      <w:r w:rsidRPr="00EF3F99">
        <w:rPr>
          <w:rStyle w:val="PageNumber"/>
          <w:rFonts w:cstheme="minorHAnsi"/>
        </w:rPr>
        <w:t xml:space="preserve">, TREATMENTS THAT HAVE NO CLINICALLY IMPORTANT BENEFIT OR HAVE HARMS THAT OUTWEIGH BENEFITS FOR CERTAIN CONDITIONS; </w:t>
      </w:r>
      <w:r w:rsidRPr="00EF3F99">
        <w:rPr>
          <w:rStyle w:val="PageNumber"/>
          <w:rFonts w:cstheme="minorHAnsi"/>
          <w:caps/>
        </w:rPr>
        <w:t>unproven treatments</w:t>
      </w:r>
    </w:p>
    <w:p w:rsidR="00CF7E7E" w:rsidRPr="00EF3F99" w:rsidRDefault="00CF7E7E" w:rsidP="00CF7E7E">
      <w:pPr>
        <w:rPr>
          <w:rStyle w:val="PageNumber"/>
          <w:rFonts w:cstheme="minorHAnsi"/>
        </w:rPr>
      </w:pPr>
      <w:r w:rsidRPr="00EF3F99">
        <w:rPr>
          <w:rStyle w:val="PageNumber"/>
          <w:rFonts w:cstheme="minorHAnsi"/>
        </w:rPr>
        <w:t xml:space="preserve">The following treatments are prioritized on Line 660, CONDITIONS FOR WHICH CERTAIN TREATMENTS HAVE NO CLINICALLY IMPORTANT BENEFIT OR HAVE HARMS THAT OUTWEIGH BENEFITS; </w:t>
      </w:r>
      <w:r w:rsidRPr="00EF3F99">
        <w:rPr>
          <w:rStyle w:val="PageNumber"/>
          <w:rFonts w:cstheme="minorHAnsi"/>
          <w:caps/>
        </w:rPr>
        <w:t>unproven treatments</w:t>
      </w:r>
      <w:r w:rsidRPr="00EF3F99">
        <w:rPr>
          <w:rStyle w:val="PageNumber"/>
          <w:rFonts w:cstheme="minorHAnsi"/>
        </w:rPr>
        <w:t>, for the conditions listed here:</w:t>
      </w:r>
    </w:p>
    <w:tbl>
      <w:tblPr>
        <w:tblStyle w:val="TableGrid"/>
        <w:tblW w:w="9462" w:type="dxa"/>
        <w:tblLook w:val="04A0" w:firstRow="1" w:lastRow="0" w:firstColumn="1" w:lastColumn="0" w:noHBand="0" w:noVBand="1"/>
      </w:tblPr>
      <w:tblGrid>
        <w:gridCol w:w="1885"/>
        <w:gridCol w:w="3033"/>
        <w:gridCol w:w="1988"/>
        <w:gridCol w:w="2556"/>
      </w:tblGrid>
      <w:tr w:rsidR="00CF7E7E" w:rsidRPr="00EF3F99" w:rsidTr="00E25865">
        <w:tc>
          <w:tcPr>
            <w:tcW w:w="1885" w:type="dxa"/>
          </w:tcPr>
          <w:p w:rsidR="00CF7E7E" w:rsidRPr="00EF3F99" w:rsidRDefault="00CF7E7E" w:rsidP="00E25865">
            <w:pPr>
              <w:rPr>
                <w:rStyle w:val="PageNumber"/>
                <w:rFonts w:cstheme="minorHAnsi"/>
                <w:b/>
              </w:rPr>
            </w:pPr>
            <w:r w:rsidRPr="00EF3F99">
              <w:rPr>
                <w:rStyle w:val="PageNumber"/>
                <w:rFonts w:cstheme="minorHAnsi"/>
              </w:rPr>
              <w:t>CPT/HCPCS Code</w:t>
            </w:r>
          </w:p>
        </w:tc>
        <w:tc>
          <w:tcPr>
            <w:tcW w:w="3033" w:type="dxa"/>
          </w:tcPr>
          <w:p w:rsidR="00CF7E7E" w:rsidRPr="00EF3F99" w:rsidRDefault="00CF7E7E" w:rsidP="00E25865">
            <w:pPr>
              <w:rPr>
                <w:rStyle w:val="PageNumber"/>
                <w:rFonts w:cstheme="minorHAnsi"/>
                <w:b/>
              </w:rPr>
            </w:pPr>
            <w:r w:rsidRPr="00EF3F99">
              <w:rPr>
                <w:rStyle w:val="PageNumber"/>
                <w:rFonts w:cstheme="minorHAnsi"/>
              </w:rPr>
              <w:t>TREATMENT</w:t>
            </w:r>
          </w:p>
        </w:tc>
        <w:tc>
          <w:tcPr>
            <w:tcW w:w="1988" w:type="dxa"/>
          </w:tcPr>
          <w:p w:rsidR="00CF7E7E" w:rsidRPr="00EF3F99" w:rsidRDefault="00CF7E7E" w:rsidP="00E25865">
            <w:pPr>
              <w:rPr>
                <w:rStyle w:val="PageNumber"/>
                <w:rFonts w:cstheme="minorHAnsi"/>
                <w:b/>
              </w:rPr>
            </w:pPr>
            <w:r w:rsidRPr="00EF3F99">
              <w:rPr>
                <w:rStyle w:val="PageNumber"/>
                <w:rFonts w:cstheme="minorHAnsi"/>
              </w:rPr>
              <w:t>Rational</w:t>
            </w:r>
          </w:p>
        </w:tc>
        <w:tc>
          <w:tcPr>
            <w:tcW w:w="2556" w:type="dxa"/>
          </w:tcPr>
          <w:p w:rsidR="00CF7E7E" w:rsidRPr="00EF3F99" w:rsidRDefault="00CF7E7E" w:rsidP="00E25865">
            <w:pPr>
              <w:rPr>
                <w:rStyle w:val="PageNumber"/>
                <w:rFonts w:cstheme="minorHAnsi"/>
                <w:b/>
              </w:rPr>
            </w:pPr>
            <w:r w:rsidRPr="00EF3F99">
              <w:rPr>
                <w:rStyle w:val="PageNumber"/>
                <w:rFonts w:cstheme="minorHAnsi"/>
              </w:rPr>
              <w:t>Date of Last Review/Link to Meeting Minutes</w:t>
            </w:r>
          </w:p>
        </w:tc>
      </w:tr>
      <w:tr w:rsidR="00CF7E7E" w:rsidRPr="00EF3F99" w:rsidTr="00E25865">
        <w:tc>
          <w:tcPr>
            <w:tcW w:w="1885" w:type="dxa"/>
          </w:tcPr>
          <w:p w:rsidR="00CF7E7E" w:rsidRPr="00DF5E40" w:rsidRDefault="00CF7E7E" w:rsidP="00E25865">
            <w:pPr>
              <w:rPr>
                <w:rFonts w:cstheme="minorHAnsi"/>
              </w:rPr>
            </w:pPr>
            <w:r w:rsidRPr="00DF5E40">
              <w:rPr>
                <w:rFonts w:cstheme="minorHAnsi"/>
              </w:rPr>
              <w:t>79445</w:t>
            </w:r>
          </w:p>
          <w:p w:rsidR="00CF7E7E" w:rsidRPr="00DF5E40" w:rsidRDefault="00CF7E7E" w:rsidP="00E25865">
            <w:pPr>
              <w:rPr>
                <w:rFonts w:cstheme="minorHAnsi"/>
              </w:rPr>
            </w:pPr>
          </w:p>
          <w:p w:rsidR="00CF7E7E" w:rsidRPr="00DF5E40" w:rsidRDefault="00CF7E7E" w:rsidP="00E25865">
            <w:pPr>
              <w:rPr>
                <w:rFonts w:cstheme="minorHAnsi"/>
              </w:rPr>
            </w:pPr>
          </w:p>
          <w:p w:rsidR="00CF7E7E" w:rsidRDefault="00CF7E7E" w:rsidP="00E25865">
            <w:pPr>
              <w:rPr>
                <w:rFonts w:cstheme="minorHAnsi"/>
              </w:rPr>
            </w:pPr>
          </w:p>
          <w:p w:rsidR="000B2637" w:rsidRDefault="000B2637" w:rsidP="00E25865">
            <w:pPr>
              <w:rPr>
                <w:rFonts w:cstheme="minorHAnsi"/>
              </w:rPr>
            </w:pPr>
          </w:p>
          <w:p w:rsidR="000B2637" w:rsidRDefault="000B2637" w:rsidP="00E25865">
            <w:pPr>
              <w:rPr>
                <w:rFonts w:cstheme="minorHAnsi"/>
              </w:rPr>
            </w:pPr>
          </w:p>
          <w:p w:rsidR="000B2637" w:rsidRPr="00DF5E40" w:rsidRDefault="000B2637" w:rsidP="000B2637">
            <w:pPr>
              <w:rPr>
                <w:rFonts w:cstheme="minorHAnsi"/>
              </w:rPr>
            </w:pPr>
            <w:r w:rsidRPr="00DF5E40">
              <w:rPr>
                <w:rFonts w:cstheme="minorHAnsi"/>
                <w:bCs/>
              </w:rPr>
              <w:t>C2616</w:t>
            </w:r>
          </w:p>
          <w:p w:rsidR="000B2637" w:rsidRDefault="000B2637" w:rsidP="00E25865">
            <w:pPr>
              <w:rPr>
                <w:rFonts w:cstheme="minorHAnsi"/>
              </w:rPr>
            </w:pPr>
          </w:p>
          <w:p w:rsidR="000B2637" w:rsidRDefault="000B2637" w:rsidP="00E25865">
            <w:pPr>
              <w:rPr>
                <w:rFonts w:cstheme="minorHAnsi"/>
              </w:rPr>
            </w:pPr>
          </w:p>
          <w:p w:rsidR="000B2637" w:rsidRDefault="000B2637" w:rsidP="00E25865">
            <w:pPr>
              <w:rPr>
                <w:rFonts w:cstheme="minorHAnsi"/>
              </w:rPr>
            </w:pPr>
          </w:p>
          <w:p w:rsidR="000B2637" w:rsidRDefault="000B2637" w:rsidP="00E25865">
            <w:pPr>
              <w:rPr>
                <w:rFonts w:cstheme="minorHAnsi"/>
              </w:rPr>
            </w:pPr>
            <w:r w:rsidRPr="00DF5E40">
              <w:t>S2095</w:t>
            </w:r>
            <w:bookmarkStart w:id="1" w:name="_GoBack"/>
            <w:bookmarkEnd w:id="1"/>
          </w:p>
          <w:p w:rsidR="000B2637" w:rsidRPr="00DF5E40" w:rsidRDefault="000B2637" w:rsidP="00E25865">
            <w:pPr>
              <w:rPr>
                <w:rFonts w:cstheme="minorHAnsi"/>
              </w:rPr>
            </w:pPr>
          </w:p>
          <w:p w:rsidR="00CF7E7E" w:rsidRPr="00DF5E40" w:rsidRDefault="00CF7E7E" w:rsidP="00E25865">
            <w:pPr>
              <w:rPr>
                <w:rStyle w:val="PageNumber"/>
                <w:rFonts w:cstheme="minorHAnsi"/>
              </w:rPr>
            </w:pPr>
          </w:p>
        </w:tc>
        <w:tc>
          <w:tcPr>
            <w:tcW w:w="3033" w:type="dxa"/>
          </w:tcPr>
          <w:p w:rsidR="00CF7E7E" w:rsidRPr="00DF5E40" w:rsidRDefault="00CF7E7E" w:rsidP="00E25865">
            <w:pPr>
              <w:rPr>
                <w:rStyle w:val="PageNumber"/>
                <w:rFonts w:cstheme="minorHAnsi"/>
              </w:rPr>
            </w:pPr>
            <w:r w:rsidRPr="00DF5E40">
              <w:rPr>
                <w:rStyle w:val="PageNumber"/>
                <w:rFonts w:cstheme="minorHAnsi"/>
              </w:rPr>
              <w:t xml:space="preserve">Radiopharmaceutical therapy, by intra-arterial particulate administration for use in treating </w:t>
            </w:r>
            <w:r>
              <w:rPr>
                <w:rStyle w:val="PageNumber"/>
                <w:rFonts w:cstheme="minorHAnsi"/>
              </w:rPr>
              <w:t xml:space="preserve">cancers </w:t>
            </w:r>
            <w:r w:rsidRPr="00903F61">
              <w:rPr>
                <w:rStyle w:val="PageNumber"/>
                <w:rFonts w:cstheme="minorHAnsi"/>
              </w:rPr>
              <w:t>other than</w:t>
            </w:r>
            <w:r>
              <w:rPr>
                <w:rStyle w:val="PageNumber"/>
                <w:rFonts w:cstheme="minorHAnsi"/>
              </w:rPr>
              <w:t xml:space="preserve"> </w:t>
            </w:r>
            <w:r w:rsidRPr="00DF5E40">
              <w:rPr>
                <w:rStyle w:val="PageNumber"/>
                <w:rFonts w:cstheme="minorHAnsi"/>
              </w:rPr>
              <w:t>primary hepatocellular carcinoma or colorectal cancer metastatic to the liver</w:t>
            </w:r>
          </w:p>
          <w:p w:rsidR="00CF7E7E" w:rsidRPr="00DF5E40" w:rsidRDefault="00CF7E7E" w:rsidP="00E25865">
            <w:pPr>
              <w:rPr>
                <w:rStyle w:val="PageNumber"/>
                <w:rFonts w:cstheme="minorHAnsi"/>
              </w:rPr>
            </w:pPr>
          </w:p>
          <w:p w:rsidR="00CF7E7E" w:rsidRPr="00DF5E40" w:rsidRDefault="00CF7E7E" w:rsidP="00E25865">
            <w:pPr>
              <w:rPr>
                <w:rFonts w:cstheme="minorHAnsi"/>
                <w:bCs/>
              </w:rPr>
            </w:pPr>
            <w:r w:rsidRPr="00DF5E40">
              <w:rPr>
                <w:rFonts w:cstheme="minorHAnsi"/>
                <w:bCs/>
              </w:rPr>
              <w:t>Brachytherapy source, non-stranded, yttrium-90, per source, for use in treating primary liver cancer or metastatic cancer to the liver</w:t>
            </w:r>
          </w:p>
          <w:p w:rsidR="00CF7E7E" w:rsidRPr="00DF5E40" w:rsidRDefault="00CF7E7E" w:rsidP="00E25865">
            <w:pPr>
              <w:rPr>
                <w:rFonts w:cstheme="minorHAnsi"/>
                <w:bCs/>
              </w:rPr>
            </w:pPr>
          </w:p>
          <w:p w:rsidR="00CF7E7E" w:rsidRPr="00DF5E40" w:rsidRDefault="00CF7E7E" w:rsidP="00E25865">
            <w:pPr>
              <w:rPr>
                <w:rStyle w:val="PageNumber"/>
                <w:rFonts w:cstheme="minorHAnsi"/>
              </w:rPr>
            </w:pPr>
            <w:r w:rsidRPr="00DF5E40">
              <w:t>Transcatheter occlusion or embolization for tumor destruction, percutaneous, any method, using yttrium-90 microspheres</w:t>
            </w:r>
          </w:p>
        </w:tc>
        <w:tc>
          <w:tcPr>
            <w:tcW w:w="1988" w:type="dxa"/>
          </w:tcPr>
          <w:p w:rsidR="00CF7E7E" w:rsidRPr="00433DC0" w:rsidRDefault="00CF7E7E" w:rsidP="00E25865">
            <w:pPr>
              <w:rPr>
                <w:rStyle w:val="PageNumber"/>
                <w:rFonts w:cstheme="minorHAnsi"/>
              </w:rPr>
            </w:pPr>
            <w:r>
              <w:rPr>
                <w:rStyle w:val="PageNumber"/>
                <w:rFonts w:cstheme="minorHAnsi"/>
              </w:rPr>
              <w:t>No evidence of effectiveness</w:t>
            </w:r>
          </w:p>
        </w:tc>
        <w:tc>
          <w:tcPr>
            <w:tcW w:w="2556" w:type="dxa"/>
          </w:tcPr>
          <w:p w:rsidR="00CF7E7E" w:rsidRPr="00433DC0" w:rsidRDefault="00CF7E7E" w:rsidP="00E25865">
            <w:pPr>
              <w:rPr>
                <w:rStyle w:val="PageNumber"/>
                <w:rFonts w:cstheme="minorHAnsi"/>
              </w:rPr>
            </w:pPr>
            <w:r w:rsidRPr="0006578B">
              <w:rPr>
                <w:rFonts w:cstheme="minorHAnsi"/>
              </w:rPr>
              <w:t>March, 2018</w:t>
            </w:r>
          </w:p>
        </w:tc>
      </w:tr>
    </w:tbl>
    <w:p w:rsidR="00CF7E7E" w:rsidRDefault="00CF7E7E" w:rsidP="00CF7E7E">
      <w:pPr>
        <w:pStyle w:val="ListParagraph"/>
        <w:rPr>
          <w:rFonts w:cstheme="minorHAnsi"/>
        </w:rPr>
      </w:pPr>
    </w:p>
    <w:p w:rsidR="00AB0019" w:rsidRDefault="00AB0019" w:rsidP="00CF7E7E">
      <w:pPr>
        <w:pStyle w:val="ListParagraph"/>
        <w:rPr>
          <w:rFonts w:cstheme="minorHAnsi"/>
        </w:rPr>
      </w:pPr>
    </w:p>
    <w:p w:rsidR="00AB0019" w:rsidRPr="0006578B" w:rsidRDefault="0006578B" w:rsidP="0006578B">
      <w:pPr>
        <w:rPr>
          <w:rFonts w:cstheme="minorHAnsi"/>
        </w:rPr>
      </w:pPr>
      <w:r w:rsidRPr="0006578B">
        <w:rPr>
          <w:rFonts w:cstheme="minorHAnsi"/>
        </w:rPr>
        <w:t>=======================================================================</w:t>
      </w:r>
    </w:p>
    <w:p w:rsidR="00AB0019" w:rsidRDefault="00AB0019" w:rsidP="00AB0019">
      <w:pPr>
        <w:autoSpaceDE w:val="0"/>
        <w:autoSpaceDN w:val="0"/>
        <w:adjustRightInd w:val="0"/>
        <w:spacing w:after="0" w:line="240" w:lineRule="auto"/>
        <w:rPr>
          <w:rFonts w:cstheme="minorHAnsi"/>
          <w:b/>
          <w:bCs/>
          <w:sz w:val="24"/>
          <w:szCs w:val="24"/>
        </w:rPr>
      </w:pPr>
      <w:r w:rsidRPr="003A7E4E">
        <w:rPr>
          <w:rFonts w:cstheme="minorHAnsi"/>
          <w:b/>
          <w:bCs/>
          <w:sz w:val="24"/>
          <w:szCs w:val="24"/>
        </w:rPr>
        <w:lastRenderedPageBreak/>
        <w:t xml:space="preserve">Last reviewed at VbBS in </w:t>
      </w:r>
      <w:r>
        <w:rPr>
          <w:rFonts w:cstheme="minorHAnsi"/>
          <w:b/>
          <w:bCs/>
          <w:sz w:val="24"/>
          <w:szCs w:val="24"/>
        </w:rPr>
        <w:t>January 2018</w:t>
      </w:r>
      <w:r w:rsidRPr="003A7E4E">
        <w:rPr>
          <w:rFonts w:cstheme="minorHAnsi"/>
          <w:b/>
          <w:bCs/>
          <w:sz w:val="24"/>
          <w:szCs w:val="24"/>
        </w:rPr>
        <w:t xml:space="preserve">. Minutes indicate </w:t>
      </w:r>
      <w:r>
        <w:rPr>
          <w:rFonts w:cstheme="minorHAnsi"/>
          <w:b/>
          <w:bCs/>
          <w:sz w:val="24"/>
          <w:szCs w:val="24"/>
        </w:rPr>
        <w:t xml:space="preserve">that the staff recommendation was accepted without significant discussion. HERC approved the recommendations without change. </w:t>
      </w:r>
    </w:p>
    <w:p w:rsidR="00AB0019" w:rsidRDefault="00AB0019" w:rsidP="00AB0019">
      <w:pPr>
        <w:rPr>
          <w:rFonts w:cstheme="minorHAnsi"/>
        </w:rPr>
      </w:pPr>
    </w:p>
    <w:p w:rsidR="00AB0019" w:rsidRPr="00AB0019" w:rsidRDefault="00AB0019" w:rsidP="00AB0019">
      <w:pPr>
        <w:pStyle w:val="ListParagraph"/>
        <w:numPr>
          <w:ilvl w:val="0"/>
          <w:numId w:val="33"/>
        </w:numPr>
        <w:rPr>
          <w:rStyle w:val="PageNumber"/>
          <w:rFonts w:cstheme="minorHAnsi"/>
        </w:rPr>
      </w:pPr>
      <w:r w:rsidRPr="00AB0019">
        <w:rPr>
          <w:rFonts w:cstheme="minorHAnsi"/>
        </w:rPr>
        <w:t xml:space="preserve">CPT 79445 </w:t>
      </w:r>
      <w:r w:rsidRPr="00AB0019">
        <w:rPr>
          <w:rStyle w:val="PageNumber"/>
          <w:rFonts w:cstheme="minorHAnsi"/>
        </w:rPr>
        <w:t>Radiopharmaceutical therapy, by intra-arterial particulate administration for use in treating primary hepatocellular carcinoma or colorectal cancer metastatic to the liver</w:t>
      </w:r>
    </w:p>
    <w:p w:rsidR="00AB0019" w:rsidRPr="00AB0019" w:rsidRDefault="00AB0019" w:rsidP="00AB0019">
      <w:pPr>
        <w:pStyle w:val="ListParagraph"/>
        <w:numPr>
          <w:ilvl w:val="0"/>
          <w:numId w:val="33"/>
        </w:numPr>
        <w:rPr>
          <w:rFonts w:cstheme="minorHAnsi"/>
        </w:rPr>
      </w:pPr>
      <w:r w:rsidRPr="00AB0019">
        <w:rPr>
          <w:rFonts w:cstheme="minorHAnsi"/>
          <w:bCs/>
        </w:rPr>
        <w:t>C2616 Brachytherapy source, non-stranded, yttrium-90, per source, for use in treating primary liver cancer or metastatic cancer to the liver</w:t>
      </w:r>
    </w:p>
    <w:p w:rsidR="00AB0019" w:rsidRDefault="00AB0019" w:rsidP="00AB0019">
      <w:pPr>
        <w:rPr>
          <w:rFonts w:cstheme="minorHAnsi"/>
          <w:u w:val="single"/>
        </w:rPr>
      </w:pPr>
      <w:r w:rsidRPr="00DB5EF4">
        <w:rPr>
          <w:rFonts w:cstheme="minorHAnsi"/>
          <w:u w:val="single"/>
        </w:rPr>
        <w:t>Evidence</w:t>
      </w:r>
    </w:p>
    <w:p w:rsidR="00AB0019" w:rsidRPr="00333B68" w:rsidRDefault="00AB0019" w:rsidP="00AB0019">
      <w:pPr>
        <w:rPr>
          <w:rFonts w:cstheme="minorHAnsi"/>
          <w:i/>
        </w:rPr>
      </w:pPr>
      <w:r w:rsidRPr="00333B68">
        <w:rPr>
          <w:rFonts w:cstheme="minorHAnsi"/>
          <w:i/>
        </w:rPr>
        <w:t xml:space="preserve">SARAH </w:t>
      </w:r>
    </w:p>
    <w:p w:rsidR="00AB0019" w:rsidRPr="00333B68" w:rsidRDefault="00AB0019" w:rsidP="00AB0019">
      <w:pPr>
        <w:pStyle w:val="ListParagraph"/>
        <w:numPr>
          <w:ilvl w:val="0"/>
          <w:numId w:val="32"/>
        </w:numPr>
        <w:spacing w:after="0" w:line="240" w:lineRule="auto"/>
        <w:rPr>
          <w:rFonts w:cstheme="minorHAnsi"/>
        </w:rPr>
      </w:pPr>
      <w:r>
        <w:rPr>
          <w:rFonts w:cstheme="minorHAnsi"/>
          <w:b/>
        </w:rPr>
        <w:t>Vi</w:t>
      </w:r>
      <w:r w:rsidRPr="00197592">
        <w:rPr>
          <w:rFonts w:cstheme="minorHAnsi"/>
          <w:b/>
        </w:rPr>
        <w:t>lgrain 2017</w:t>
      </w:r>
      <w:r>
        <w:rPr>
          <w:rFonts w:cstheme="minorHAnsi"/>
        </w:rPr>
        <w:t xml:space="preserve">, </w:t>
      </w:r>
      <w:r>
        <w:rPr>
          <w:lang w:val="en"/>
        </w:rPr>
        <w:t>Efficacy and safety of selective internal radiotherapy with yttrium-90 resin microspheres compared with sorafenib in locally advanced and inoperable hepatocellular carcinoma (SARAH): an open-label randomised controlled phase 3 trial</w:t>
      </w:r>
    </w:p>
    <w:p w:rsidR="00AB0019" w:rsidRPr="00333B68" w:rsidRDefault="00AB0019" w:rsidP="00AB0019">
      <w:pPr>
        <w:pStyle w:val="ListParagraph"/>
        <w:numPr>
          <w:ilvl w:val="1"/>
          <w:numId w:val="32"/>
        </w:numPr>
        <w:spacing w:after="0" w:line="240" w:lineRule="auto"/>
        <w:rPr>
          <w:rFonts w:cstheme="minorHAnsi"/>
        </w:rPr>
      </w:pPr>
      <w:r>
        <w:rPr>
          <w:lang w:val="en"/>
        </w:rPr>
        <w:t xml:space="preserve">Methods: </w:t>
      </w:r>
    </w:p>
    <w:p w:rsidR="00AB0019" w:rsidRPr="00333B68" w:rsidRDefault="00AB0019" w:rsidP="00AB0019">
      <w:pPr>
        <w:pStyle w:val="ListParagraph"/>
        <w:numPr>
          <w:ilvl w:val="2"/>
          <w:numId w:val="32"/>
        </w:numPr>
        <w:spacing w:after="0" w:line="240" w:lineRule="auto"/>
        <w:rPr>
          <w:rFonts w:cstheme="minorHAnsi"/>
        </w:rPr>
      </w:pPr>
      <w:r>
        <w:rPr>
          <w:lang w:val="en"/>
        </w:rPr>
        <w:t>multicenter, open label RCT phase 3 trial done in France</w:t>
      </w:r>
    </w:p>
    <w:p w:rsidR="00AB0019" w:rsidRPr="00333B68" w:rsidRDefault="00AB0019" w:rsidP="00AB0019">
      <w:pPr>
        <w:pStyle w:val="ListParagraph"/>
        <w:numPr>
          <w:ilvl w:val="2"/>
          <w:numId w:val="32"/>
        </w:numPr>
        <w:spacing w:after="0" w:line="240" w:lineRule="auto"/>
        <w:rPr>
          <w:rFonts w:cstheme="minorHAnsi"/>
        </w:rPr>
      </w:pPr>
      <w:r w:rsidRPr="00333B68">
        <w:rPr>
          <w:lang w:val="en"/>
        </w:rPr>
        <w:t xml:space="preserve">Patients were eligible if they were aged at least 18 years with a life expectancy greater than 3 months, had an Eastern Cooperative Oncology Group (ECOG) performance status of 0 or 1, Child-Pugh liver function class A or B score of 7 or </w:t>
      </w:r>
      <w:r w:rsidRPr="00333B68">
        <w:rPr>
          <w:rFonts w:cstheme="minorHAnsi"/>
          <w:lang w:val="en"/>
        </w:rPr>
        <w:t xml:space="preserve">lower, and locally advanced hepatocellular carcinoma (Barcelona Clinic Liver Cancer [BCLC] stage C), or new hepatocellular carcinoma not eligible for surgical resection, liver transplantation, or thermal ablation after a previously cured hepatocellular carcinoma (cured by surgery or thermoablative therapy), or hepatocellular carcinoma with two unsuccessful rounds of transarterial chemoembolisation. </w:t>
      </w:r>
    </w:p>
    <w:p w:rsidR="00AB0019" w:rsidRPr="00333B68" w:rsidRDefault="00AB0019" w:rsidP="00AB0019">
      <w:pPr>
        <w:pStyle w:val="ListParagraph"/>
        <w:numPr>
          <w:ilvl w:val="2"/>
          <w:numId w:val="32"/>
        </w:numPr>
        <w:spacing w:after="0" w:line="240" w:lineRule="auto"/>
        <w:rPr>
          <w:rFonts w:cstheme="minorHAnsi"/>
        </w:rPr>
      </w:pPr>
      <w:r w:rsidRPr="00333B68">
        <w:rPr>
          <w:rFonts w:cstheme="minorHAnsi"/>
          <w:lang w:val="en"/>
        </w:rPr>
        <w:t xml:space="preserve">Patients were randomly assigned (1:1) to receive continuous oral sorafenib (400 mg twice daily) or SIRT with </w:t>
      </w:r>
      <w:r w:rsidRPr="00333B68">
        <w:rPr>
          <w:rFonts w:cstheme="minorHAnsi"/>
          <w:vertAlign w:val="superscript"/>
          <w:lang w:val="en"/>
        </w:rPr>
        <w:t>90</w:t>
      </w:r>
      <w:r w:rsidRPr="00333B68">
        <w:rPr>
          <w:rFonts w:cstheme="minorHAnsi"/>
          <w:lang w:val="en"/>
        </w:rPr>
        <w:t xml:space="preserve">Y-loaded resin microspheres 2–5 weeks after randomisation. </w:t>
      </w:r>
    </w:p>
    <w:p w:rsidR="00AB0019" w:rsidRPr="00333B68" w:rsidRDefault="00AB0019" w:rsidP="00AB0019">
      <w:pPr>
        <w:pStyle w:val="ListParagraph"/>
        <w:numPr>
          <w:ilvl w:val="2"/>
          <w:numId w:val="32"/>
        </w:numPr>
        <w:spacing w:after="0" w:line="240" w:lineRule="auto"/>
        <w:rPr>
          <w:rFonts w:cstheme="minorHAnsi"/>
        </w:rPr>
      </w:pPr>
      <w:r w:rsidRPr="00333B68">
        <w:rPr>
          <w:rFonts w:cstheme="minorHAnsi"/>
          <w:lang w:val="en"/>
        </w:rPr>
        <w:t>The primary endpoint was overall survival. Analyses were done on the intention-to-treat population</w:t>
      </w:r>
    </w:p>
    <w:p w:rsidR="00AB0019" w:rsidRPr="00333B68" w:rsidRDefault="00AB0019" w:rsidP="00AB0019">
      <w:pPr>
        <w:pStyle w:val="ListParagraph"/>
        <w:numPr>
          <w:ilvl w:val="1"/>
          <w:numId w:val="32"/>
        </w:numPr>
        <w:spacing w:after="0" w:line="240" w:lineRule="auto"/>
        <w:rPr>
          <w:rFonts w:cstheme="minorHAnsi"/>
        </w:rPr>
      </w:pPr>
      <w:r w:rsidRPr="00333B68">
        <w:rPr>
          <w:rFonts w:cstheme="minorHAnsi"/>
          <w:lang w:val="en"/>
        </w:rPr>
        <w:t>Results:</w:t>
      </w:r>
    </w:p>
    <w:p w:rsidR="00AB0019" w:rsidRPr="00333B68" w:rsidRDefault="00AB0019" w:rsidP="00AB0019">
      <w:pPr>
        <w:pStyle w:val="ListParagraph"/>
        <w:numPr>
          <w:ilvl w:val="2"/>
          <w:numId w:val="32"/>
        </w:numPr>
        <w:spacing w:after="0" w:line="240" w:lineRule="auto"/>
        <w:rPr>
          <w:rFonts w:cstheme="minorHAnsi"/>
        </w:rPr>
      </w:pPr>
      <w:r w:rsidRPr="00333B68">
        <w:rPr>
          <w:rFonts w:cstheme="minorHAnsi"/>
          <w:lang w:val="en"/>
        </w:rPr>
        <w:t>N=467 patients (237 were assigned to SIRT and 222 to sorafenib)</w:t>
      </w:r>
    </w:p>
    <w:p w:rsidR="00AB0019" w:rsidRPr="00333B68" w:rsidRDefault="00AB0019" w:rsidP="00AB0019">
      <w:pPr>
        <w:pStyle w:val="ListParagraph"/>
        <w:numPr>
          <w:ilvl w:val="3"/>
          <w:numId w:val="32"/>
        </w:numPr>
        <w:spacing w:after="0" w:line="240" w:lineRule="auto"/>
        <w:rPr>
          <w:rFonts w:cstheme="minorHAnsi"/>
        </w:rPr>
      </w:pPr>
      <w:r w:rsidRPr="00333B68">
        <w:rPr>
          <w:rFonts w:cstheme="minorHAnsi"/>
          <w:lang w:val="en"/>
        </w:rPr>
        <w:t xml:space="preserve">In the SIRT group, 53 (22%) of 237 patients did not receive SIRT; 26 (49%) of these 53 patients were treated with sorafenib. </w:t>
      </w:r>
    </w:p>
    <w:p w:rsidR="00AB0019" w:rsidRPr="00333B68" w:rsidRDefault="00AB0019" w:rsidP="00AB0019">
      <w:pPr>
        <w:pStyle w:val="ListParagraph"/>
        <w:numPr>
          <w:ilvl w:val="2"/>
          <w:numId w:val="32"/>
        </w:numPr>
        <w:spacing w:after="0" w:line="240" w:lineRule="auto"/>
        <w:rPr>
          <w:rFonts w:cstheme="minorHAnsi"/>
        </w:rPr>
      </w:pPr>
      <w:r>
        <w:rPr>
          <w:rFonts w:cstheme="minorHAnsi"/>
          <w:lang w:val="en"/>
        </w:rPr>
        <w:t>Median follow-up was 27.</w:t>
      </w:r>
      <w:r w:rsidRPr="00333B68">
        <w:rPr>
          <w:rFonts w:cstheme="minorHAnsi"/>
          <w:lang w:val="en"/>
        </w:rPr>
        <w:t>9 months (IQR 21·9</w:t>
      </w:r>
      <w:r>
        <w:rPr>
          <w:rFonts w:cstheme="minorHAnsi"/>
          <w:lang w:val="en"/>
        </w:rPr>
        <w:t>–33·6) in the SIRT group and 28.</w:t>
      </w:r>
      <w:r w:rsidRPr="00333B68">
        <w:rPr>
          <w:rFonts w:cstheme="minorHAnsi"/>
          <w:lang w:val="en"/>
        </w:rPr>
        <w:t xml:space="preserve">1 months (20·0–35·3) in the sorafenib group. </w:t>
      </w:r>
    </w:p>
    <w:p w:rsidR="00AB0019" w:rsidRPr="00333B68" w:rsidRDefault="00AB0019" w:rsidP="00AB0019">
      <w:pPr>
        <w:pStyle w:val="ListParagraph"/>
        <w:numPr>
          <w:ilvl w:val="2"/>
          <w:numId w:val="32"/>
        </w:numPr>
        <w:spacing w:after="0" w:line="240" w:lineRule="auto"/>
        <w:rPr>
          <w:rFonts w:cstheme="minorHAnsi"/>
        </w:rPr>
      </w:pPr>
      <w:r w:rsidRPr="00333B68">
        <w:rPr>
          <w:rFonts w:cstheme="minorHAnsi"/>
          <w:lang w:val="en"/>
        </w:rPr>
        <w:t>Median overall survival was 8</w:t>
      </w:r>
      <w:r>
        <w:rPr>
          <w:rFonts w:cstheme="minorHAnsi"/>
          <w:lang w:val="en"/>
        </w:rPr>
        <w:t>.</w:t>
      </w:r>
      <w:r w:rsidRPr="00333B68">
        <w:rPr>
          <w:rFonts w:cstheme="minorHAnsi"/>
          <w:lang w:val="en"/>
        </w:rPr>
        <w:t>0 months (95% CI 6</w:t>
      </w:r>
      <w:r>
        <w:rPr>
          <w:rFonts w:cstheme="minorHAnsi"/>
          <w:lang w:val="en"/>
        </w:rPr>
        <w:t>.</w:t>
      </w:r>
      <w:r w:rsidRPr="00333B68">
        <w:rPr>
          <w:rFonts w:cstheme="minorHAnsi"/>
          <w:lang w:val="en"/>
        </w:rPr>
        <w:t>7–</w:t>
      </w:r>
      <w:r>
        <w:rPr>
          <w:rFonts w:cstheme="minorHAnsi"/>
          <w:lang w:val="en"/>
        </w:rPr>
        <w:t>9.9) in the SIRT group versus 9.</w:t>
      </w:r>
      <w:r w:rsidRPr="00333B68">
        <w:rPr>
          <w:rFonts w:cstheme="minorHAnsi"/>
          <w:lang w:val="en"/>
        </w:rPr>
        <w:t>9 months (8</w:t>
      </w:r>
      <w:r>
        <w:rPr>
          <w:rFonts w:cstheme="minorHAnsi"/>
          <w:lang w:val="en"/>
        </w:rPr>
        <w:t>.</w:t>
      </w:r>
      <w:r w:rsidRPr="00333B68">
        <w:rPr>
          <w:rFonts w:cstheme="minorHAnsi"/>
          <w:lang w:val="en"/>
        </w:rPr>
        <w:t>7–11</w:t>
      </w:r>
      <w:r>
        <w:rPr>
          <w:rFonts w:cstheme="minorHAnsi"/>
          <w:lang w:val="en"/>
        </w:rPr>
        <w:t>.</w:t>
      </w:r>
      <w:r w:rsidRPr="00333B68">
        <w:rPr>
          <w:rFonts w:cstheme="minorHAnsi"/>
          <w:lang w:val="en"/>
        </w:rPr>
        <w:t>4) in the sorafenib group (hazard ratio 1</w:t>
      </w:r>
      <w:r>
        <w:rPr>
          <w:rFonts w:cstheme="minorHAnsi"/>
          <w:lang w:val="en"/>
        </w:rPr>
        <w:t>.</w:t>
      </w:r>
      <w:r w:rsidRPr="00333B68">
        <w:rPr>
          <w:rFonts w:cstheme="minorHAnsi"/>
          <w:lang w:val="en"/>
        </w:rPr>
        <w:t>15 [95% CI 0</w:t>
      </w:r>
      <w:r>
        <w:rPr>
          <w:rFonts w:cstheme="minorHAnsi"/>
          <w:lang w:val="en"/>
        </w:rPr>
        <w:t>.</w:t>
      </w:r>
      <w:r w:rsidRPr="00333B68">
        <w:rPr>
          <w:rFonts w:cstheme="minorHAnsi"/>
          <w:lang w:val="en"/>
        </w:rPr>
        <w:t>94–1</w:t>
      </w:r>
      <w:r>
        <w:rPr>
          <w:rFonts w:cstheme="minorHAnsi"/>
          <w:lang w:val="en"/>
        </w:rPr>
        <w:t>.</w:t>
      </w:r>
      <w:r w:rsidRPr="00333B68">
        <w:rPr>
          <w:rFonts w:cstheme="minorHAnsi"/>
          <w:lang w:val="en"/>
        </w:rPr>
        <w:t xml:space="preserve">41] for SIRT </w:t>
      </w:r>
      <w:r w:rsidRPr="00333B68">
        <w:rPr>
          <w:rFonts w:cstheme="minorHAnsi"/>
          <w:i/>
          <w:iCs/>
          <w:lang w:val="en"/>
        </w:rPr>
        <w:t>vs</w:t>
      </w:r>
      <w:r w:rsidRPr="00333B68">
        <w:rPr>
          <w:rFonts w:cstheme="minorHAnsi"/>
          <w:lang w:val="en"/>
        </w:rPr>
        <w:t xml:space="preserve"> sorafenib; p=0</w:t>
      </w:r>
      <w:r>
        <w:rPr>
          <w:rFonts w:cstheme="minorHAnsi"/>
          <w:lang w:val="en"/>
        </w:rPr>
        <w:t>.</w:t>
      </w:r>
      <w:r w:rsidRPr="00333B68">
        <w:rPr>
          <w:rFonts w:cstheme="minorHAnsi"/>
          <w:lang w:val="en"/>
        </w:rPr>
        <w:t xml:space="preserve">18). </w:t>
      </w:r>
    </w:p>
    <w:p w:rsidR="00AB0019" w:rsidRPr="00333B68" w:rsidRDefault="00AB0019" w:rsidP="00AB0019">
      <w:pPr>
        <w:pStyle w:val="ListParagraph"/>
        <w:numPr>
          <w:ilvl w:val="2"/>
          <w:numId w:val="32"/>
        </w:numPr>
        <w:spacing w:after="0" w:line="240" w:lineRule="auto"/>
        <w:rPr>
          <w:rFonts w:cstheme="minorHAnsi"/>
        </w:rPr>
      </w:pPr>
      <w:r w:rsidRPr="00333B68">
        <w:rPr>
          <w:rFonts w:cstheme="minorHAnsi"/>
          <w:lang w:val="en"/>
        </w:rPr>
        <w:t xml:space="preserve">In the safety population, at least one serious adverse event was reported in 174 (77%) of 226 patients in the SIRT group and in 176 (82%) </w:t>
      </w:r>
      <w:r w:rsidRPr="00333B68">
        <w:rPr>
          <w:rFonts w:cstheme="minorHAnsi"/>
          <w:lang w:val="en"/>
        </w:rPr>
        <w:lastRenderedPageBreak/>
        <w:t>of 216 in the sorafenib group. 19 deaths in the SIRT group and 12 in the sorafenib group were deemed to be treatment related.</w:t>
      </w:r>
    </w:p>
    <w:p w:rsidR="00AB0019" w:rsidRPr="00333B68" w:rsidRDefault="00AB0019" w:rsidP="00AB0019">
      <w:pPr>
        <w:pStyle w:val="ListParagraph"/>
        <w:numPr>
          <w:ilvl w:val="1"/>
          <w:numId w:val="32"/>
        </w:numPr>
        <w:spacing w:after="0" w:line="240" w:lineRule="auto"/>
        <w:rPr>
          <w:rFonts w:cstheme="minorHAnsi"/>
        </w:rPr>
      </w:pPr>
      <w:r w:rsidRPr="00333B68">
        <w:rPr>
          <w:rFonts w:cstheme="minorHAnsi"/>
          <w:lang w:val="en"/>
        </w:rPr>
        <w:t>Conclusion: In patients with locally advanced or intermediate-stage hepatocellular carcinoma after unsuccessful transarterial chemoembolisation, overall survival did not significantly differ between the two groups. Quality of life and tolerance might help when choosing between the two treatments.</w:t>
      </w:r>
    </w:p>
    <w:p w:rsidR="00AB0019" w:rsidRDefault="00AB0019" w:rsidP="00AB0019">
      <w:pPr>
        <w:rPr>
          <w:rFonts w:cstheme="minorHAnsi"/>
        </w:rPr>
      </w:pPr>
    </w:p>
    <w:p w:rsidR="00AB0019" w:rsidRPr="00333B68" w:rsidRDefault="00AB0019" w:rsidP="00AB0019">
      <w:pPr>
        <w:rPr>
          <w:rFonts w:cstheme="minorHAnsi"/>
        </w:rPr>
      </w:pPr>
    </w:p>
    <w:p w:rsidR="00AB0019" w:rsidRDefault="00AB0019" w:rsidP="00AB0019">
      <w:pPr>
        <w:autoSpaceDE w:val="0"/>
        <w:autoSpaceDN w:val="0"/>
        <w:adjustRightInd w:val="0"/>
        <w:rPr>
          <w:rFonts w:cstheme="minorHAnsi"/>
          <w:bCs/>
        </w:rPr>
      </w:pPr>
      <w:r w:rsidRPr="008B48F3">
        <w:rPr>
          <w:rFonts w:cstheme="minorHAnsi"/>
          <w:bCs/>
          <w:i/>
        </w:rPr>
        <w:t>FOXFIRE, SIRFLOX, and FOXFIRE-Global</w:t>
      </w:r>
    </w:p>
    <w:p w:rsidR="00AB0019" w:rsidRPr="008B48F3" w:rsidRDefault="00AB0019" w:rsidP="00AB0019">
      <w:pPr>
        <w:pStyle w:val="ListParagraph"/>
        <w:numPr>
          <w:ilvl w:val="0"/>
          <w:numId w:val="31"/>
        </w:numPr>
        <w:autoSpaceDE w:val="0"/>
        <w:autoSpaceDN w:val="0"/>
        <w:adjustRightInd w:val="0"/>
        <w:spacing w:after="0" w:line="240" w:lineRule="auto"/>
        <w:rPr>
          <w:rFonts w:cstheme="minorHAnsi"/>
          <w:b/>
          <w:bCs/>
        </w:rPr>
      </w:pPr>
      <w:r w:rsidRPr="008B48F3">
        <w:rPr>
          <w:rFonts w:cstheme="minorHAnsi"/>
          <w:b/>
          <w:bCs/>
        </w:rPr>
        <w:t>Wasan 2017</w:t>
      </w:r>
      <w:r>
        <w:rPr>
          <w:rFonts w:cstheme="minorHAnsi"/>
          <w:b/>
          <w:bCs/>
        </w:rPr>
        <w:t xml:space="preserve"> </w:t>
      </w:r>
      <w:r w:rsidRPr="00E61944">
        <w:rPr>
          <w:rFonts w:cstheme="minorHAnsi"/>
          <w:bCs/>
        </w:rPr>
        <w:t>(</w:t>
      </w:r>
      <w:hyperlink r:id="rId12" w:history="1">
        <w:r w:rsidRPr="00E61944">
          <w:rPr>
            <w:rStyle w:val="Hyperlink"/>
            <w:rFonts w:cstheme="minorHAnsi"/>
            <w:bCs/>
          </w:rPr>
          <w:t>https://www.ncbi.nlm.nih.gov/pmc/articles/PMC5593813/pdf/main.pdf</w:t>
        </w:r>
      </w:hyperlink>
      <w:r w:rsidRPr="00E61944">
        <w:rPr>
          <w:rFonts w:cstheme="minorHAnsi"/>
          <w:bCs/>
        </w:rPr>
        <w:t>)</w:t>
      </w:r>
      <w:r>
        <w:rPr>
          <w:rFonts w:cstheme="minorHAnsi"/>
          <w:b/>
          <w:bCs/>
        </w:rPr>
        <w:t xml:space="preserve"> </w:t>
      </w:r>
    </w:p>
    <w:p w:rsidR="00AB0019" w:rsidRDefault="00AB0019" w:rsidP="00AB0019">
      <w:pPr>
        <w:pStyle w:val="ListParagraph"/>
        <w:numPr>
          <w:ilvl w:val="1"/>
          <w:numId w:val="31"/>
        </w:numPr>
        <w:autoSpaceDE w:val="0"/>
        <w:autoSpaceDN w:val="0"/>
        <w:adjustRightInd w:val="0"/>
        <w:spacing w:after="0" w:line="240" w:lineRule="auto"/>
        <w:rPr>
          <w:rFonts w:cstheme="minorHAnsi"/>
          <w:bCs/>
        </w:rPr>
      </w:pPr>
      <w:r>
        <w:rPr>
          <w:rFonts w:cstheme="minorHAnsi"/>
          <w:bCs/>
        </w:rPr>
        <w:t>Combined analysis of FOXFIRE, SIRFLOX, and FOXFIRE-Global RCTs for yttrium-90 with chemotherapy compared to chemotherapy alone for colorectal liver metastases to the liver</w:t>
      </w:r>
    </w:p>
    <w:p w:rsidR="00AB0019" w:rsidRPr="008B48F3" w:rsidRDefault="00AB0019" w:rsidP="00AB0019">
      <w:pPr>
        <w:pStyle w:val="ListParagraph"/>
        <w:numPr>
          <w:ilvl w:val="1"/>
          <w:numId w:val="31"/>
        </w:numPr>
        <w:autoSpaceDE w:val="0"/>
        <w:autoSpaceDN w:val="0"/>
        <w:adjustRightInd w:val="0"/>
        <w:spacing w:after="0" w:line="240" w:lineRule="auto"/>
        <w:rPr>
          <w:rFonts w:cstheme="minorHAnsi"/>
          <w:bCs/>
        </w:rPr>
      </w:pPr>
      <w:r w:rsidRPr="008B48F3">
        <w:rPr>
          <w:rFonts w:cstheme="minorHAnsi"/>
          <w:bCs/>
        </w:rPr>
        <w:t>Combined analysis of 3 trials done in 14 countries for chemotherapy-naive patients with metastatic colorectal cancer (WHO performance status 0 or 1) with liver metastases not suitable for curative resection or ablation</w:t>
      </w:r>
    </w:p>
    <w:p w:rsidR="00AB0019" w:rsidRPr="008B48F3" w:rsidRDefault="00AB0019" w:rsidP="00AB0019">
      <w:pPr>
        <w:pStyle w:val="ListParagraph"/>
        <w:numPr>
          <w:ilvl w:val="1"/>
          <w:numId w:val="31"/>
        </w:numPr>
        <w:autoSpaceDE w:val="0"/>
        <w:autoSpaceDN w:val="0"/>
        <w:adjustRightInd w:val="0"/>
        <w:spacing w:after="0" w:line="240" w:lineRule="auto"/>
        <w:rPr>
          <w:rFonts w:cstheme="minorHAnsi"/>
          <w:bCs/>
        </w:rPr>
      </w:pPr>
      <w:r w:rsidRPr="008B48F3">
        <w:rPr>
          <w:rFonts w:cstheme="minorHAnsi"/>
          <w:bCs/>
        </w:rPr>
        <w:t xml:space="preserve">Methods: </w:t>
      </w:r>
    </w:p>
    <w:p w:rsidR="00AB0019" w:rsidRPr="008B48F3" w:rsidRDefault="00AB0019" w:rsidP="00AB0019">
      <w:pPr>
        <w:pStyle w:val="ListParagraph"/>
        <w:numPr>
          <w:ilvl w:val="2"/>
          <w:numId w:val="31"/>
        </w:numPr>
        <w:autoSpaceDE w:val="0"/>
        <w:autoSpaceDN w:val="0"/>
        <w:adjustRightInd w:val="0"/>
        <w:spacing w:after="0" w:line="240" w:lineRule="auto"/>
        <w:rPr>
          <w:rFonts w:cstheme="minorHAnsi"/>
          <w:bCs/>
        </w:rPr>
      </w:pPr>
      <w:r w:rsidRPr="008B48F3">
        <w:rPr>
          <w:rFonts w:cstheme="minorHAnsi"/>
          <w:bCs/>
        </w:rPr>
        <w:t xml:space="preserve">Treatment groups: oxaliplatin-based chemotherapy (FOLFOX: leucovorin, fluorouracil, and oxaliplatin) or FOLFOX plus single treatment SIRT concurrent with cycle 1 or 2 of chemotherapy. </w:t>
      </w:r>
    </w:p>
    <w:p w:rsidR="00AB0019" w:rsidRPr="008B48F3" w:rsidRDefault="00AB0019" w:rsidP="00AB0019">
      <w:pPr>
        <w:pStyle w:val="ListParagraph"/>
        <w:numPr>
          <w:ilvl w:val="2"/>
          <w:numId w:val="31"/>
        </w:numPr>
        <w:autoSpaceDE w:val="0"/>
        <w:autoSpaceDN w:val="0"/>
        <w:adjustRightInd w:val="0"/>
        <w:spacing w:after="0" w:line="240" w:lineRule="auto"/>
        <w:rPr>
          <w:rFonts w:cstheme="minorHAnsi"/>
          <w:bCs/>
        </w:rPr>
      </w:pPr>
      <w:r w:rsidRPr="008B48F3">
        <w:rPr>
          <w:rFonts w:cstheme="minorHAnsi"/>
          <w:bCs/>
        </w:rPr>
        <w:t>Participants and investigators were not masked to treatment.</w:t>
      </w:r>
    </w:p>
    <w:p w:rsidR="00AB0019" w:rsidRPr="008B48F3" w:rsidRDefault="00AB0019" w:rsidP="00AB0019">
      <w:pPr>
        <w:pStyle w:val="ListParagraph"/>
        <w:numPr>
          <w:ilvl w:val="2"/>
          <w:numId w:val="31"/>
        </w:numPr>
        <w:autoSpaceDE w:val="0"/>
        <w:autoSpaceDN w:val="0"/>
        <w:adjustRightInd w:val="0"/>
        <w:spacing w:after="0" w:line="240" w:lineRule="auto"/>
        <w:rPr>
          <w:rFonts w:cstheme="minorHAnsi"/>
          <w:i/>
        </w:rPr>
      </w:pPr>
      <w:r w:rsidRPr="008B48F3">
        <w:rPr>
          <w:rFonts w:cstheme="minorHAnsi"/>
          <w:bCs/>
        </w:rPr>
        <w:t xml:space="preserve">The primary endpoint was overall survival, analysed in the intention-to-treat population, using a two-stage meta-analysis of pooled individual patient data. All three trials have completed 2 years of follow-up. </w:t>
      </w:r>
    </w:p>
    <w:p w:rsidR="00AB0019" w:rsidRPr="008B48F3" w:rsidRDefault="00AB0019" w:rsidP="00AB0019">
      <w:pPr>
        <w:pStyle w:val="ListParagraph"/>
        <w:numPr>
          <w:ilvl w:val="1"/>
          <w:numId w:val="31"/>
        </w:numPr>
        <w:autoSpaceDE w:val="0"/>
        <w:autoSpaceDN w:val="0"/>
        <w:adjustRightInd w:val="0"/>
        <w:spacing w:after="0" w:line="240" w:lineRule="auto"/>
        <w:rPr>
          <w:rFonts w:cstheme="minorHAnsi"/>
          <w:i/>
        </w:rPr>
      </w:pPr>
      <w:r w:rsidRPr="008B48F3">
        <w:rPr>
          <w:rFonts w:cstheme="minorHAnsi"/>
          <w:bCs/>
        </w:rPr>
        <w:t>Findings:</w:t>
      </w:r>
    </w:p>
    <w:p w:rsidR="00AB0019" w:rsidRPr="008B48F3" w:rsidRDefault="00AB0019" w:rsidP="00AB0019">
      <w:pPr>
        <w:pStyle w:val="ListParagraph"/>
        <w:numPr>
          <w:ilvl w:val="2"/>
          <w:numId w:val="31"/>
        </w:numPr>
        <w:autoSpaceDE w:val="0"/>
        <w:autoSpaceDN w:val="0"/>
        <w:adjustRightInd w:val="0"/>
        <w:spacing w:after="0" w:line="240" w:lineRule="auto"/>
        <w:rPr>
          <w:rFonts w:cstheme="minorHAnsi"/>
          <w:i/>
        </w:rPr>
      </w:pPr>
      <w:r w:rsidRPr="008B48F3">
        <w:rPr>
          <w:rFonts w:cstheme="minorHAnsi"/>
          <w:bCs/>
        </w:rPr>
        <w:t>N=549 FOLFOX alone, 554 FOLFOX plus SIRT</w:t>
      </w:r>
    </w:p>
    <w:p w:rsidR="00AB0019" w:rsidRPr="008B48F3" w:rsidRDefault="00AB0019" w:rsidP="00AB0019">
      <w:pPr>
        <w:pStyle w:val="ListParagraph"/>
        <w:numPr>
          <w:ilvl w:val="2"/>
          <w:numId w:val="31"/>
        </w:numPr>
        <w:autoSpaceDE w:val="0"/>
        <w:autoSpaceDN w:val="0"/>
        <w:adjustRightInd w:val="0"/>
        <w:spacing w:after="0" w:line="240" w:lineRule="auto"/>
        <w:rPr>
          <w:rFonts w:cstheme="minorHAnsi"/>
          <w:i/>
        </w:rPr>
      </w:pPr>
      <w:r w:rsidRPr="008B48F3">
        <w:rPr>
          <w:rFonts w:cstheme="minorHAnsi"/>
          <w:bCs/>
        </w:rPr>
        <w:t>Median follow-up was 43</w:t>
      </w:r>
      <w:r>
        <w:rPr>
          <w:rFonts w:cstheme="minorHAnsi"/>
          <w:bCs/>
        </w:rPr>
        <w:t>.</w:t>
      </w:r>
      <w:r w:rsidRPr="008B48F3">
        <w:rPr>
          <w:rFonts w:cstheme="minorHAnsi"/>
          <w:bCs/>
        </w:rPr>
        <w:t>3 months (IQR 31</w:t>
      </w:r>
      <w:r>
        <w:rPr>
          <w:rFonts w:cstheme="minorHAnsi"/>
          <w:bCs/>
        </w:rPr>
        <w:t>.</w:t>
      </w:r>
      <w:r w:rsidRPr="008B48F3">
        <w:rPr>
          <w:rFonts w:cstheme="minorHAnsi"/>
          <w:bCs/>
        </w:rPr>
        <w:t>6–58</w:t>
      </w:r>
      <w:r>
        <w:rPr>
          <w:rFonts w:cstheme="minorHAnsi"/>
          <w:bCs/>
        </w:rPr>
        <w:t>.</w:t>
      </w:r>
      <w:r w:rsidRPr="008B48F3">
        <w:rPr>
          <w:rFonts w:cstheme="minorHAnsi"/>
          <w:bCs/>
        </w:rPr>
        <w:t xml:space="preserve">4). </w:t>
      </w:r>
    </w:p>
    <w:p w:rsidR="00AB0019" w:rsidRPr="008B48F3" w:rsidRDefault="00AB0019" w:rsidP="00AB0019">
      <w:pPr>
        <w:pStyle w:val="ListParagraph"/>
        <w:numPr>
          <w:ilvl w:val="2"/>
          <w:numId w:val="31"/>
        </w:numPr>
        <w:autoSpaceDE w:val="0"/>
        <w:autoSpaceDN w:val="0"/>
        <w:adjustRightInd w:val="0"/>
        <w:spacing w:after="0" w:line="240" w:lineRule="auto"/>
        <w:rPr>
          <w:rFonts w:cstheme="minorHAnsi"/>
          <w:bCs/>
        </w:rPr>
      </w:pPr>
      <w:r w:rsidRPr="008B48F3">
        <w:rPr>
          <w:rFonts w:cstheme="minorHAnsi"/>
          <w:bCs/>
        </w:rPr>
        <w:t>There were 411 (75%) deaths in 549 patients in the FOLFOX alone group and 433 (78%) deaths in 554 patients in the FOLFOX plus SIRT group. There was no difference in overall survival (hazard ratio [HR] 1</w:t>
      </w:r>
      <w:r>
        <w:rPr>
          <w:rFonts w:cstheme="minorHAnsi"/>
          <w:bCs/>
        </w:rPr>
        <w:t>.</w:t>
      </w:r>
      <w:r w:rsidRPr="008B48F3">
        <w:rPr>
          <w:rFonts w:cstheme="minorHAnsi"/>
          <w:bCs/>
        </w:rPr>
        <w:t>04, 95% CI 0</w:t>
      </w:r>
      <w:r>
        <w:rPr>
          <w:rFonts w:cstheme="minorHAnsi"/>
          <w:bCs/>
        </w:rPr>
        <w:t>.</w:t>
      </w:r>
      <w:r w:rsidRPr="008B48F3">
        <w:rPr>
          <w:rFonts w:cstheme="minorHAnsi"/>
          <w:bCs/>
        </w:rPr>
        <w:t>90–1</w:t>
      </w:r>
      <w:r>
        <w:rPr>
          <w:rFonts w:cstheme="minorHAnsi"/>
          <w:bCs/>
        </w:rPr>
        <w:t>.</w:t>
      </w:r>
      <w:r w:rsidRPr="008B48F3">
        <w:rPr>
          <w:rFonts w:cstheme="minorHAnsi"/>
          <w:bCs/>
        </w:rPr>
        <w:t>19; p=0</w:t>
      </w:r>
      <w:r>
        <w:rPr>
          <w:rFonts w:cstheme="minorHAnsi"/>
          <w:bCs/>
        </w:rPr>
        <w:t>.</w:t>
      </w:r>
      <w:r w:rsidRPr="008B48F3">
        <w:rPr>
          <w:rFonts w:cstheme="minorHAnsi"/>
          <w:bCs/>
        </w:rPr>
        <w:t>61). The median survival time in the FOLFOX plus SIRT group was 22</w:t>
      </w:r>
      <w:r>
        <w:rPr>
          <w:rFonts w:cstheme="minorHAnsi"/>
          <w:bCs/>
        </w:rPr>
        <w:t>.</w:t>
      </w:r>
      <w:r w:rsidRPr="008B48F3">
        <w:rPr>
          <w:rFonts w:cstheme="minorHAnsi"/>
          <w:bCs/>
        </w:rPr>
        <w:t>6 months (95% CI 21</w:t>
      </w:r>
      <w:r>
        <w:rPr>
          <w:rFonts w:cstheme="minorHAnsi"/>
          <w:bCs/>
        </w:rPr>
        <w:t>.</w:t>
      </w:r>
      <w:r w:rsidRPr="008B48F3">
        <w:rPr>
          <w:rFonts w:cstheme="minorHAnsi"/>
          <w:bCs/>
        </w:rPr>
        <w:t>0–24</w:t>
      </w:r>
      <w:r>
        <w:rPr>
          <w:rFonts w:cstheme="minorHAnsi"/>
          <w:bCs/>
        </w:rPr>
        <w:t>.</w:t>
      </w:r>
      <w:r w:rsidRPr="008B48F3">
        <w:rPr>
          <w:rFonts w:cstheme="minorHAnsi"/>
          <w:bCs/>
        </w:rPr>
        <w:t>5) compared with 23</w:t>
      </w:r>
      <w:r>
        <w:rPr>
          <w:rFonts w:cstheme="minorHAnsi"/>
          <w:bCs/>
        </w:rPr>
        <w:t>.</w:t>
      </w:r>
      <w:r w:rsidRPr="008B48F3">
        <w:rPr>
          <w:rFonts w:cstheme="minorHAnsi"/>
          <w:bCs/>
        </w:rPr>
        <w:t>3 months (21</w:t>
      </w:r>
      <w:r>
        <w:rPr>
          <w:rFonts w:cstheme="minorHAnsi"/>
          <w:bCs/>
        </w:rPr>
        <w:t>.</w:t>
      </w:r>
      <w:r w:rsidRPr="008B48F3">
        <w:rPr>
          <w:rFonts w:cstheme="minorHAnsi"/>
          <w:bCs/>
        </w:rPr>
        <w:t>8–24</w:t>
      </w:r>
      <w:r>
        <w:rPr>
          <w:rFonts w:cstheme="minorHAnsi"/>
          <w:bCs/>
        </w:rPr>
        <w:t>.</w:t>
      </w:r>
      <w:r w:rsidRPr="008B48F3">
        <w:rPr>
          <w:rFonts w:cstheme="minorHAnsi"/>
          <w:bCs/>
        </w:rPr>
        <w:t xml:space="preserve">7) in the FOLFOX alone group. </w:t>
      </w:r>
    </w:p>
    <w:p w:rsidR="00AB0019" w:rsidRPr="008B48F3" w:rsidRDefault="00AB0019" w:rsidP="00AB0019">
      <w:pPr>
        <w:pStyle w:val="ListParagraph"/>
        <w:numPr>
          <w:ilvl w:val="2"/>
          <w:numId w:val="31"/>
        </w:numPr>
        <w:autoSpaceDE w:val="0"/>
        <w:autoSpaceDN w:val="0"/>
        <w:adjustRightInd w:val="0"/>
        <w:spacing w:after="0" w:line="240" w:lineRule="auto"/>
        <w:rPr>
          <w:rFonts w:cstheme="minorHAnsi"/>
          <w:bCs/>
        </w:rPr>
      </w:pPr>
      <w:r w:rsidRPr="008B48F3">
        <w:rPr>
          <w:rFonts w:cstheme="minorHAnsi"/>
          <w:bCs/>
        </w:rPr>
        <w:t>Serious adverse events of any grade occurred in 244 (43%) of 571 patients receiving FOLFOX alone and 274 (54%) of 507 patients receiving FOLFOX plus SIRT. 10 patients in the FOLFOX plus SIRT group and 11 patients in the FOLFOX alone group died due to an adverse event; eight treatment-related deaths occurred in the FOLFOX plus SIRT group and three treatment-related deaths occurred in the FOLFOX alone group.</w:t>
      </w:r>
    </w:p>
    <w:p w:rsidR="00AB0019" w:rsidRPr="008B48F3" w:rsidRDefault="00AB0019" w:rsidP="00AB0019">
      <w:pPr>
        <w:pStyle w:val="ListParagraph"/>
        <w:numPr>
          <w:ilvl w:val="1"/>
          <w:numId w:val="31"/>
        </w:numPr>
        <w:autoSpaceDE w:val="0"/>
        <w:autoSpaceDN w:val="0"/>
        <w:adjustRightInd w:val="0"/>
        <w:spacing w:after="0" w:line="240" w:lineRule="auto"/>
        <w:rPr>
          <w:rFonts w:cstheme="minorHAnsi"/>
          <w:bCs/>
        </w:rPr>
      </w:pPr>
      <w:r w:rsidRPr="008B48F3">
        <w:rPr>
          <w:rFonts w:cstheme="minorHAnsi"/>
          <w:bCs/>
        </w:rPr>
        <w:t xml:space="preserve">Interpretation Addition of SIRT to first-line FOLFOX chemotherapy for patients with liver-only and liver-dominant metastatic colorectal cancer did not improve overall survival compared with that for FOLFOX alone. Therefore, early use of SIRT in combination with chemotherapy in unselected patients with metastatic </w:t>
      </w:r>
      <w:r w:rsidRPr="008B48F3">
        <w:rPr>
          <w:rFonts w:cstheme="minorHAnsi"/>
          <w:bCs/>
        </w:rPr>
        <w:lastRenderedPageBreak/>
        <w:t>colorectal cancer cannot be recommended. To further define the role of SIRT in metastatic colorectal cancer, careful patient selection and studies investigating the role of SIRT as consolidation therapy after chemotherapy are needed.</w:t>
      </w:r>
    </w:p>
    <w:p w:rsidR="00AB0019" w:rsidRPr="008B48F3" w:rsidRDefault="00AB0019" w:rsidP="00AB0019">
      <w:pPr>
        <w:pStyle w:val="ListParagraph"/>
        <w:autoSpaceDE w:val="0"/>
        <w:autoSpaceDN w:val="0"/>
        <w:adjustRightInd w:val="0"/>
        <w:ind w:left="1440"/>
        <w:rPr>
          <w:rFonts w:ascii="ScalaLancetPro-Bold" w:hAnsi="ScalaLancetPro-Bold" w:cs="ScalaLancetPro-Bold"/>
          <w:b/>
          <w:bCs/>
          <w:color w:val="000000"/>
          <w:sz w:val="18"/>
          <w:szCs w:val="18"/>
        </w:rPr>
      </w:pPr>
    </w:p>
    <w:p w:rsidR="00AB0019" w:rsidRPr="00197592" w:rsidRDefault="00AB0019" w:rsidP="00AB0019">
      <w:pPr>
        <w:rPr>
          <w:rFonts w:cstheme="minorHAnsi"/>
        </w:rPr>
      </w:pPr>
    </w:p>
    <w:p w:rsidR="00AB0019" w:rsidRPr="00281C08" w:rsidRDefault="00AB0019" w:rsidP="00AB0019">
      <w:pPr>
        <w:pStyle w:val="ListParagraph"/>
        <w:rPr>
          <w:rFonts w:cstheme="minorHAnsi"/>
        </w:rPr>
      </w:pPr>
    </w:p>
    <w:p w:rsidR="00AB0019" w:rsidRPr="00DB5EF4" w:rsidRDefault="00AB0019" w:rsidP="00AB0019">
      <w:pPr>
        <w:pStyle w:val="ListParagraph"/>
        <w:numPr>
          <w:ilvl w:val="0"/>
          <w:numId w:val="30"/>
        </w:numPr>
        <w:spacing w:after="0" w:line="240" w:lineRule="auto"/>
        <w:rPr>
          <w:rFonts w:cstheme="minorHAnsi"/>
        </w:rPr>
      </w:pPr>
      <w:r w:rsidRPr="00DB5EF4">
        <w:rPr>
          <w:rFonts w:cstheme="minorHAnsi"/>
          <w:b/>
          <w:color w:val="282828"/>
        </w:rPr>
        <w:t>NICE 2013</w:t>
      </w:r>
      <w:r w:rsidRPr="00DB5EF4">
        <w:rPr>
          <w:rFonts w:cstheme="minorHAnsi"/>
          <w:color w:val="282828"/>
        </w:rPr>
        <w:t>, guidance on SIRT for primary intrahepatic cholangiocarcinoma</w:t>
      </w:r>
    </w:p>
    <w:p w:rsidR="00AB0019" w:rsidRPr="00DB5EF4" w:rsidRDefault="00AB0019" w:rsidP="00AB0019">
      <w:pPr>
        <w:pStyle w:val="ListParagraph"/>
        <w:numPr>
          <w:ilvl w:val="1"/>
          <w:numId w:val="30"/>
        </w:numPr>
        <w:spacing w:after="0" w:line="240" w:lineRule="auto"/>
        <w:rPr>
          <w:rFonts w:cstheme="minorHAnsi"/>
        </w:rPr>
      </w:pPr>
      <w:r w:rsidRPr="00DB5EF4">
        <w:rPr>
          <w:rFonts w:cstheme="minorHAnsi"/>
          <w:color w:val="282828"/>
        </w:rPr>
        <w:t>Current evidence on the safety and efficacy of selective internal radiation therapy (SIRT) for primary intrahepatic cholangiocarcinoma is limited in both quantity and quality. Therefore this procedure should only be used with special arrangements for clinical governance, consent and audit or research.</w:t>
      </w:r>
    </w:p>
    <w:p w:rsidR="00AB0019" w:rsidRDefault="00AB0019" w:rsidP="00AB0019">
      <w:pPr>
        <w:pStyle w:val="ListParagraph"/>
        <w:ind w:left="1440"/>
        <w:rPr>
          <w:rFonts w:cstheme="minorHAnsi"/>
          <w:b/>
          <w:color w:val="282828"/>
        </w:rPr>
      </w:pPr>
    </w:p>
    <w:p w:rsidR="00AB0019" w:rsidRPr="00197592" w:rsidRDefault="00AB0019" w:rsidP="00AB0019">
      <w:pPr>
        <w:pStyle w:val="ListParagraph"/>
        <w:ind w:left="1440"/>
        <w:rPr>
          <w:rFonts w:cstheme="minorHAnsi"/>
        </w:rPr>
      </w:pPr>
    </w:p>
    <w:p w:rsidR="00AB0019" w:rsidRPr="00DB5EF4" w:rsidRDefault="00AB0019" w:rsidP="00AB0019">
      <w:pPr>
        <w:rPr>
          <w:rFonts w:cstheme="minorHAnsi"/>
          <w:u w:val="single"/>
        </w:rPr>
      </w:pPr>
      <w:r w:rsidRPr="00DB5EF4">
        <w:rPr>
          <w:rFonts w:cstheme="minorHAnsi"/>
          <w:u w:val="single"/>
        </w:rPr>
        <w:t>Other guidelines</w:t>
      </w:r>
    </w:p>
    <w:p w:rsidR="00AB0019" w:rsidRPr="00DB5EF4" w:rsidRDefault="00AB0019" w:rsidP="00AB0019">
      <w:pPr>
        <w:pStyle w:val="ListParagraph"/>
        <w:numPr>
          <w:ilvl w:val="0"/>
          <w:numId w:val="29"/>
        </w:numPr>
        <w:spacing w:after="0" w:line="240" w:lineRule="auto"/>
        <w:rPr>
          <w:rFonts w:cstheme="minorHAnsi"/>
        </w:rPr>
      </w:pPr>
      <w:r w:rsidRPr="00DB5EF4">
        <w:rPr>
          <w:rFonts w:cstheme="minorHAnsi"/>
          <w:b/>
        </w:rPr>
        <w:t>NCCN 2015</w:t>
      </w:r>
      <w:r w:rsidRPr="00DB5EF4">
        <w:rPr>
          <w:rFonts w:cstheme="minorHAnsi"/>
        </w:rPr>
        <w:t>, hepatocellular carcinoma</w:t>
      </w:r>
    </w:p>
    <w:p w:rsidR="00AB0019" w:rsidRPr="00DB5EF4" w:rsidRDefault="00AB0019" w:rsidP="00AB0019">
      <w:pPr>
        <w:pStyle w:val="ListParagraph"/>
        <w:numPr>
          <w:ilvl w:val="1"/>
          <w:numId w:val="29"/>
        </w:numPr>
        <w:spacing w:after="0" w:line="240" w:lineRule="auto"/>
        <w:rPr>
          <w:rFonts w:cstheme="minorHAnsi"/>
        </w:rPr>
      </w:pPr>
      <w:r w:rsidRPr="00DB5EF4">
        <w:rPr>
          <w:rFonts w:cstheme="minorHAnsi"/>
        </w:rPr>
        <w:t>Locoregional therapy should be considered in patients who are not candidates for surgical curative treatments, or as part of a strategy to bridge patients to other curative therapies.</w:t>
      </w:r>
    </w:p>
    <w:p w:rsidR="00AB0019" w:rsidRPr="00DB5EF4" w:rsidRDefault="00AB0019" w:rsidP="00AB0019">
      <w:pPr>
        <w:pStyle w:val="ListParagraph"/>
        <w:numPr>
          <w:ilvl w:val="1"/>
          <w:numId w:val="29"/>
        </w:numPr>
        <w:spacing w:after="0" w:line="240" w:lineRule="auto"/>
        <w:rPr>
          <w:rFonts w:cstheme="minorHAnsi"/>
        </w:rPr>
      </w:pPr>
      <w:r w:rsidRPr="00DB5EF4">
        <w:rPr>
          <w:rFonts w:cstheme="minorHAnsi"/>
        </w:rPr>
        <w:t>Radioembolization (RE) with yttrium-90 is listed as a locoregional therapy</w:t>
      </w:r>
    </w:p>
    <w:p w:rsidR="00AB0019" w:rsidRPr="00DB5EF4" w:rsidRDefault="00AB0019" w:rsidP="00AB0019">
      <w:pPr>
        <w:pStyle w:val="ListParagraph"/>
        <w:numPr>
          <w:ilvl w:val="1"/>
          <w:numId w:val="29"/>
        </w:numPr>
        <w:spacing w:after="0" w:line="240" w:lineRule="auto"/>
        <w:rPr>
          <w:rFonts w:cstheme="minorHAnsi"/>
        </w:rPr>
      </w:pPr>
      <w:r w:rsidRPr="00DB5EF4">
        <w:rPr>
          <w:rFonts w:cstheme="minorHAnsi"/>
        </w:rPr>
        <w:t>Listed as category 2B</w:t>
      </w:r>
    </w:p>
    <w:p w:rsidR="00AB0019" w:rsidRPr="00DB5EF4" w:rsidRDefault="00AB0019" w:rsidP="00AB0019">
      <w:pPr>
        <w:pStyle w:val="ListParagraph"/>
        <w:numPr>
          <w:ilvl w:val="1"/>
          <w:numId w:val="29"/>
        </w:numPr>
        <w:spacing w:after="0" w:line="240" w:lineRule="auto"/>
        <w:rPr>
          <w:rFonts w:cstheme="minorHAnsi"/>
        </w:rPr>
      </w:pPr>
      <w:r w:rsidRPr="00DB5EF4">
        <w:rPr>
          <w:rFonts w:cstheme="minorHAnsi"/>
        </w:rPr>
        <w:t xml:space="preserve">Sorefenib is recommended as first line, with locoregional therapy second line in the majority of these cases </w:t>
      </w:r>
    </w:p>
    <w:p w:rsidR="00AB0019" w:rsidRPr="00DB5EF4" w:rsidRDefault="00AB0019" w:rsidP="00AB0019">
      <w:pPr>
        <w:pStyle w:val="ListParagraph"/>
        <w:numPr>
          <w:ilvl w:val="1"/>
          <w:numId w:val="29"/>
        </w:numPr>
        <w:spacing w:after="0" w:line="240" w:lineRule="auto"/>
        <w:rPr>
          <w:rFonts w:cstheme="minorHAnsi"/>
        </w:rPr>
      </w:pPr>
      <w:r w:rsidRPr="00DB5EF4">
        <w:rPr>
          <w:rFonts w:cstheme="minorHAnsi"/>
        </w:rPr>
        <w:t>Evidence reviewed that yttrium-90 RE has been found to be safe and effective in the treatment of non-resectable cholangiocarcinoma</w:t>
      </w:r>
    </w:p>
    <w:p w:rsidR="00AB0019" w:rsidRPr="00DB5EF4" w:rsidRDefault="00AB0019" w:rsidP="00AB0019">
      <w:pPr>
        <w:pStyle w:val="ListParagraph"/>
        <w:numPr>
          <w:ilvl w:val="1"/>
          <w:numId w:val="29"/>
        </w:numPr>
        <w:spacing w:after="0" w:line="240" w:lineRule="auto"/>
        <w:rPr>
          <w:rFonts w:cstheme="minorHAnsi"/>
        </w:rPr>
      </w:pPr>
      <w:r w:rsidRPr="00DB5EF4">
        <w:rPr>
          <w:rFonts w:cstheme="minorHAnsi"/>
        </w:rPr>
        <w:t>For HCC, ablation therapy should be first line, and locoregional therapy, including yttrium RE</w:t>
      </w:r>
      <w:r>
        <w:rPr>
          <w:rFonts w:cstheme="minorHAnsi"/>
        </w:rPr>
        <w:t>,</w:t>
      </w:r>
      <w:r w:rsidRPr="00DB5EF4">
        <w:rPr>
          <w:rFonts w:cstheme="minorHAnsi"/>
        </w:rPr>
        <w:t xml:space="preserve"> should only be considered when ablation is not feasible</w:t>
      </w:r>
    </w:p>
    <w:p w:rsidR="00AB0019" w:rsidRPr="00DB5EF4" w:rsidRDefault="00AB0019" w:rsidP="00AB0019">
      <w:pPr>
        <w:rPr>
          <w:rFonts w:cstheme="minorHAnsi"/>
        </w:rPr>
      </w:pPr>
    </w:p>
    <w:p w:rsidR="00AB0019" w:rsidRPr="00DB5EF4" w:rsidRDefault="00AB0019" w:rsidP="00AB0019">
      <w:pPr>
        <w:rPr>
          <w:rFonts w:cstheme="minorHAnsi"/>
        </w:rPr>
      </w:pPr>
    </w:p>
    <w:p w:rsidR="00AB0019" w:rsidRPr="00DB5EF4" w:rsidRDefault="00AB0019" w:rsidP="00AB0019">
      <w:pPr>
        <w:rPr>
          <w:rFonts w:cstheme="minorHAnsi"/>
        </w:rPr>
      </w:pPr>
    </w:p>
    <w:p w:rsidR="00AB0019" w:rsidRDefault="00AB0019" w:rsidP="00AB0019">
      <w:pPr>
        <w:rPr>
          <w:rFonts w:cstheme="minorHAnsi"/>
          <w:u w:val="single"/>
        </w:rPr>
      </w:pPr>
      <w:r>
        <w:rPr>
          <w:rFonts w:cstheme="minorHAnsi"/>
          <w:u w:val="single"/>
        </w:rPr>
        <w:br w:type="page"/>
      </w:r>
    </w:p>
    <w:p w:rsidR="00AB0019" w:rsidRPr="00DB5EF4" w:rsidRDefault="00AB0019" w:rsidP="00AB0019">
      <w:pPr>
        <w:rPr>
          <w:rFonts w:cstheme="minorHAnsi"/>
        </w:rPr>
      </w:pPr>
      <w:r>
        <w:rPr>
          <w:rFonts w:cstheme="minorHAnsi"/>
          <w:u w:val="single"/>
        </w:rPr>
        <w:lastRenderedPageBreak/>
        <w:t>HERC staff s</w:t>
      </w:r>
      <w:r w:rsidRPr="00DB5EF4">
        <w:rPr>
          <w:rFonts w:cstheme="minorHAnsi"/>
          <w:u w:val="single"/>
        </w:rPr>
        <w:t>ummary</w:t>
      </w:r>
      <w:r w:rsidRPr="00DB5EF4">
        <w:rPr>
          <w:rFonts w:cstheme="minorHAnsi"/>
        </w:rPr>
        <w:t xml:space="preserve">: </w:t>
      </w:r>
      <w:r>
        <w:rPr>
          <w:rFonts w:cstheme="minorHAnsi"/>
        </w:rPr>
        <w:t>New randomized controlled trial data of yttrium 90 compared to standard chemotherapy for either primary hepatocellular carcinoma or metastatic colorectal cancer in the liver find that this therapy is at best no better than standard chemotherapy.  There is a concerning trend in the data that yttrium 90 actually reduces survival and increases serious complications, although this was not statistically significant.  Yttrium 90 is a much higher cost therapy than traditional chemotherapy.</w:t>
      </w:r>
    </w:p>
    <w:p w:rsidR="00AB0019" w:rsidRPr="00DB5EF4" w:rsidRDefault="00AB0019" w:rsidP="00AB0019">
      <w:pPr>
        <w:rPr>
          <w:rFonts w:cstheme="minorHAnsi"/>
        </w:rPr>
      </w:pPr>
      <w:r w:rsidRPr="00DB5EF4">
        <w:rPr>
          <w:rFonts w:cstheme="minorHAnsi"/>
          <w:u w:val="single"/>
        </w:rPr>
        <w:t>HERC staff recommendation</w:t>
      </w:r>
      <w:r w:rsidRPr="00DB5EF4">
        <w:rPr>
          <w:rFonts w:cstheme="minorHAnsi"/>
        </w:rPr>
        <w:t>:</w:t>
      </w:r>
    </w:p>
    <w:p w:rsidR="00AB0019" w:rsidRDefault="00AB0019" w:rsidP="00AB0019">
      <w:pPr>
        <w:pStyle w:val="ListParagraph"/>
        <w:numPr>
          <w:ilvl w:val="0"/>
          <w:numId w:val="28"/>
        </w:numPr>
        <w:spacing w:after="0" w:line="240" w:lineRule="auto"/>
        <w:outlineLvl w:val="0"/>
        <w:rPr>
          <w:rFonts w:cstheme="minorHAnsi"/>
          <w:bCs/>
        </w:rPr>
      </w:pPr>
      <w:r>
        <w:rPr>
          <w:rFonts w:cstheme="minorHAnsi"/>
        </w:rPr>
        <w:t>Do not add</w:t>
      </w:r>
      <w:r w:rsidRPr="00DB5EF4">
        <w:rPr>
          <w:rFonts w:cstheme="minorHAnsi"/>
        </w:rPr>
        <w:t xml:space="preserve"> yttrium-90 radioembolization (CPT 79445) as a treatment to </w:t>
      </w:r>
      <w:r w:rsidRPr="00DB5EF4">
        <w:rPr>
          <w:rFonts w:cstheme="minorHAnsi"/>
          <w:bCs/>
        </w:rPr>
        <w:t xml:space="preserve">Line 320 CANCER OF LIVER   </w:t>
      </w:r>
    </w:p>
    <w:p w:rsidR="00AB0019" w:rsidRDefault="00AB0019" w:rsidP="00AB0019">
      <w:pPr>
        <w:pStyle w:val="ListParagraph"/>
        <w:numPr>
          <w:ilvl w:val="0"/>
          <w:numId w:val="28"/>
        </w:numPr>
        <w:spacing w:after="0" w:line="240" w:lineRule="auto"/>
        <w:outlineLvl w:val="0"/>
        <w:rPr>
          <w:rFonts w:cstheme="minorHAnsi"/>
          <w:bCs/>
        </w:rPr>
      </w:pPr>
      <w:r>
        <w:rPr>
          <w:rFonts w:cstheme="minorHAnsi"/>
          <w:bCs/>
        </w:rPr>
        <w:t xml:space="preserve">Add a new entry to GN172/line 500 </w:t>
      </w:r>
      <w:r w:rsidRPr="0037722A">
        <w:rPr>
          <w:rFonts w:cstheme="minorHAnsi"/>
        </w:rPr>
        <w:t xml:space="preserve">CONDITIONS FOR WHICH CERTAIN INTERVENTIONS </w:t>
      </w:r>
      <w:r w:rsidRPr="00B34AB7">
        <w:rPr>
          <w:rFonts w:cstheme="minorHAnsi"/>
        </w:rPr>
        <w:t>RESULT IN MARGINAL CLINICAL BENEFIT OR LOW COST-EFFECTIVENESS</w:t>
      </w:r>
      <w:r>
        <w:rPr>
          <w:rFonts w:cstheme="minorHAnsi"/>
          <w:bCs/>
        </w:rPr>
        <w:t xml:space="preserve"> as shown below for yttrium-90 for treatment of primary hepatocellular carcinoma, or colorectal cancer metastatic to the liver </w:t>
      </w:r>
    </w:p>
    <w:p w:rsidR="00AB0019" w:rsidRDefault="00AB0019" w:rsidP="00AB0019">
      <w:pPr>
        <w:pStyle w:val="ListParagraph"/>
        <w:numPr>
          <w:ilvl w:val="1"/>
          <w:numId w:val="28"/>
        </w:numPr>
        <w:spacing w:after="0" w:line="240" w:lineRule="auto"/>
        <w:outlineLvl w:val="0"/>
        <w:rPr>
          <w:rFonts w:cstheme="minorHAnsi"/>
          <w:bCs/>
        </w:rPr>
      </w:pPr>
      <w:r>
        <w:rPr>
          <w:rFonts w:cstheme="minorHAnsi"/>
          <w:bCs/>
        </w:rPr>
        <w:t>Less cost-effective than conventional chemotherapy</w:t>
      </w:r>
    </w:p>
    <w:p w:rsidR="00AB0019" w:rsidRDefault="00AB0019" w:rsidP="00AB0019">
      <w:pPr>
        <w:pStyle w:val="ListParagraph"/>
        <w:numPr>
          <w:ilvl w:val="1"/>
          <w:numId w:val="28"/>
        </w:numPr>
        <w:spacing w:after="0" w:line="240" w:lineRule="auto"/>
        <w:outlineLvl w:val="0"/>
        <w:rPr>
          <w:rFonts w:cstheme="minorHAnsi"/>
          <w:bCs/>
        </w:rPr>
      </w:pPr>
      <w:r>
        <w:rPr>
          <w:rFonts w:cstheme="minorHAnsi"/>
          <w:bCs/>
        </w:rPr>
        <w:t>May be harmful</w:t>
      </w:r>
    </w:p>
    <w:p w:rsidR="00AB0019" w:rsidRPr="0037722A" w:rsidRDefault="00AB0019" w:rsidP="00AB0019">
      <w:pPr>
        <w:pStyle w:val="Heading1"/>
        <w:rPr>
          <w:rFonts w:asciiTheme="minorHAnsi" w:hAnsiTheme="minorHAnsi" w:cstheme="minorHAnsi"/>
          <w:color w:val="auto"/>
          <w:sz w:val="22"/>
          <w:szCs w:val="22"/>
        </w:rPr>
      </w:pPr>
      <w:r w:rsidRPr="0037722A">
        <w:rPr>
          <w:rFonts w:asciiTheme="minorHAnsi" w:hAnsiTheme="minorHAnsi" w:cstheme="minorHAnsi"/>
          <w:color w:val="auto"/>
          <w:sz w:val="22"/>
          <w:szCs w:val="22"/>
        </w:rPr>
        <w:t>GUIDELINE NOTE 172, INTERVENTIONS WITH MARGINAL CLINICAL BENEFIT OR LOW COST-EFFECTIVENESS FOR CERTAIN CONDITIONS</w:t>
      </w:r>
    </w:p>
    <w:p w:rsidR="00AB0019" w:rsidRPr="0037722A" w:rsidRDefault="00AB0019" w:rsidP="00AB0019">
      <w:pPr>
        <w:pStyle w:val="HSCGLLineList"/>
        <w:spacing w:after="0"/>
        <w:rPr>
          <w:rFonts w:asciiTheme="minorHAnsi" w:hAnsiTheme="minorHAnsi" w:cstheme="minorHAnsi"/>
          <w:sz w:val="22"/>
          <w:szCs w:val="22"/>
        </w:rPr>
      </w:pPr>
      <w:r w:rsidRPr="0037722A">
        <w:rPr>
          <w:rFonts w:asciiTheme="minorHAnsi" w:hAnsiTheme="minorHAnsi" w:cstheme="minorHAnsi"/>
          <w:sz w:val="22"/>
          <w:szCs w:val="22"/>
        </w:rPr>
        <w:t>Line 500</w:t>
      </w:r>
    </w:p>
    <w:p w:rsidR="00AB0019" w:rsidRPr="00B34AB7" w:rsidRDefault="00AB0019" w:rsidP="00AB0019">
      <w:pPr>
        <w:pStyle w:val="HSCNormal"/>
        <w:rPr>
          <w:rFonts w:asciiTheme="minorHAnsi" w:hAnsiTheme="minorHAnsi" w:cstheme="minorHAnsi"/>
          <w:sz w:val="22"/>
          <w:szCs w:val="22"/>
        </w:rPr>
      </w:pPr>
      <w:r w:rsidRPr="0037722A">
        <w:rPr>
          <w:rFonts w:asciiTheme="minorHAnsi" w:hAnsiTheme="minorHAnsi" w:cstheme="minorHAnsi"/>
          <w:sz w:val="22"/>
          <w:szCs w:val="22"/>
        </w:rPr>
        <w:t xml:space="preserve">The following interventions are prioritized on Line 500 CONDITIONS FOR WHICH CERTAIN INTERVENTIONS </w:t>
      </w:r>
      <w:r w:rsidRPr="00B34AB7">
        <w:rPr>
          <w:rFonts w:asciiTheme="minorHAnsi" w:hAnsiTheme="minorHAnsi" w:cstheme="minorHAnsi"/>
          <w:sz w:val="22"/>
          <w:szCs w:val="22"/>
        </w:rPr>
        <w:t>RESULT IN MARGINAL CLINICAL BENEFIT OR LOW COST-EFFECTIVENESS:</w:t>
      </w:r>
    </w:p>
    <w:p w:rsidR="00AB0019" w:rsidRPr="00B34AB7" w:rsidRDefault="00AB0019" w:rsidP="00AB0019">
      <w:pPr>
        <w:pStyle w:val="HSCNormal"/>
        <w:rPr>
          <w:rFonts w:asciiTheme="minorHAnsi" w:hAnsiTheme="minorHAnsi" w:cstheme="minorHAnsi"/>
          <w:sz w:val="22"/>
          <w:szCs w:val="22"/>
        </w:rPr>
      </w:pPr>
    </w:p>
    <w:tbl>
      <w:tblPr>
        <w:tblStyle w:val="TableGrid"/>
        <w:tblW w:w="9000" w:type="dxa"/>
        <w:tblLook w:val="04A0" w:firstRow="1" w:lastRow="0" w:firstColumn="1" w:lastColumn="0" w:noHBand="0" w:noVBand="1"/>
      </w:tblPr>
      <w:tblGrid>
        <w:gridCol w:w="1435"/>
        <w:gridCol w:w="3240"/>
        <w:gridCol w:w="2160"/>
        <w:gridCol w:w="2165"/>
      </w:tblGrid>
      <w:tr w:rsidR="00AB0019" w:rsidRPr="00B34AB7" w:rsidTr="0005791C">
        <w:trPr>
          <w:tblHeader/>
        </w:trPr>
        <w:tc>
          <w:tcPr>
            <w:tcW w:w="1435" w:type="dxa"/>
            <w:shd w:val="clear" w:color="auto" w:fill="D9D9D9" w:themeFill="background1" w:themeFillShade="D9"/>
          </w:tcPr>
          <w:p w:rsidR="00AB0019" w:rsidRPr="00B34AB7" w:rsidRDefault="00AB0019" w:rsidP="0005791C">
            <w:pPr>
              <w:pStyle w:val="HSCNormal"/>
              <w:rPr>
                <w:rStyle w:val="PageNumber"/>
                <w:rFonts w:asciiTheme="minorHAnsi" w:hAnsiTheme="minorHAnsi" w:cstheme="minorHAnsi"/>
                <w:b/>
                <w:sz w:val="22"/>
                <w:szCs w:val="22"/>
              </w:rPr>
            </w:pPr>
            <w:r w:rsidRPr="00B34AB7">
              <w:rPr>
                <w:rStyle w:val="PageNumber"/>
                <w:rFonts w:asciiTheme="minorHAnsi" w:hAnsiTheme="minorHAnsi" w:cstheme="minorHAnsi"/>
                <w:sz w:val="22"/>
                <w:szCs w:val="22"/>
              </w:rPr>
              <w:t>Procedure Code</w:t>
            </w:r>
          </w:p>
        </w:tc>
        <w:tc>
          <w:tcPr>
            <w:tcW w:w="3240" w:type="dxa"/>
            <w:shd w:val="clear" w:color="auto" w:fill="D9D9D9" w:themeFill="background1" w:themeFillShade="D9"/>
          </w:tcPr>
          <w:p w:rsidR="00AB0019" w:rsidRPr="00B34AB7" w:rsidRDefault="00AB0019" w:rsidP="0005791C">
            <w:pPr>
              <w:pStyle w:val="HSCNormal"/>
              <w:rPr>
                <w:rStyle w:val="PageNumber"/>
                <w:rFonts w:asciiTheme="minorHAnsi" w:hAnsiTheme="minorHAnsi" w:cstheme="minorHAnsi"/>
                <w:b/>
                <w:sz w:val="22"/>
                <w:szCs w:val="22"/>
              </w:rPr>
            </w:pPr>
            <w:r w:rsidRPr="00B34AB7">
              <w:rPr>
                <w:rStyle w:val="PageNumber"/>
                <w:rFonts w:asciiTheme="minorHAnsi" w:hAnsiTheme="minorHAnsi" w:cstheme="minorHAnsi"/>
                <w:sz w:val="22"/>
                <w:szCs w:val="22"/>
              </w:rPr>
              <w:t xml:space="preserve">Intervention </w:t>
            </w:r>
            <w:r>
              <w:rPr>
                <w:rStyle w:val="PageNumber"/>
                <w:rFonts w:asciiTheme="minorHAnsi" w:hAnsiTheme="minorHAnsi" w:cstheme="minorHAnsi"/>
                <w:sz w:val="22"/>
                <w:szCs w:val="22"/>
              </w:rPr>
              <w:t>D</w:t>
            </w:r>
            <w:r w:rsidRPr="00B34AB7">
              <w:rPr>
                <w:rStyle w:val="PageNumber"/>
                <w:rFonts w:asciiTheme="minorHAnsi" w:hAnsiTheme="minorHAnsi" w:cstheme="minorHAnsi"/>
                <w:sz w:val="22"/>
                <w:szCs w:val="22"/>
              </w:rPr>
              <w:t>escription</w:t>
            </w:r>
          </w:p>
        </w:tc>
        <w:tc>
          <w:tcPr>
            <w:tcW w:w="2160" w:type="dxa"/>
            <w:shd w:val="clear" w:color="auto" w:fill="D9D9D9" w:themeFill="background1" w:themeFillShade="D9"/>
          </w:tcPr>
          <w:p w:rsidR="00AB0019" w:rsidRPr="00B34AB7" w:rsidRDefault="00AB0019" w:rsidP="0005791C">
            <w:pPr>
              <w:pStyle w:val="HSCNormal"/>
              <w:rPr>
                <w:rStyle w:val="PageNumber"/>
                <w:rFonts w:asciiTheme="minorHAnsi" w:hAnsiTheme="minorHAnsi" w:cstheme="minorHAnsi"/>
                <w:b/>
                <w:sz w:val="22"/>
                <w:szCs w:val="22"/>
              </w:rPr>
            </w:pPr>
            <w:r w:rsidRPr="00B34AB7">
              <w:rPr>
                <w:rStyle w:val="PageNumber"/>
                <w:rFonts w:asciiTheme="minorHAnsi" w:hAnsiTheme="minorHAnsi" w:cstheme="minorHAnsi"/>
                <w:sz w:val="22"/>
                <w:szCs w:val="22"/>
              </w:rPr>
              <w:t>Rationale</w:t>
            </w:r>
          </w:p>
        </w:tc>
        <w:tc>
          <w:tcPr>
            <w:tcW w:w="2165" w:type="dxa"/>
            <w:shd w:val="clear" w:color="auto" w:fill="D9D9D9" w:themeFill="background1" w:themeFillShade="D9"/>
          </w:tcPr>
          <w:p w:rsidR="00AB0019" w:rsidRPr="00B34AB7" w:rsidRDefault="00AB0019" w:rsidP="0005791C">
            <w:pPr>
              <w:pStyle w:val="HSCNormal"/>
              <w:rPr>
                <w:rStyle w:val="PageNumber"/>
                <w:rFonts w:asciiTheme="minorHAnsi" w:hAnsiTheme="minorHAnsi" w:cstheme="minorHAnsi"/>
                <w:b/>
                <w:sz w:val="22"/>
                <w:szCs w:val="22"/>
              </w:rPr>
            </w:pPr>
            <w:r w:rsidRPr="000C62CA">
              <w:rPr>
                <w:rStyle w:val="PageNumber"/>
                <w:rFonts w:asciiTheme="minorHAnsi" w:hAnsiTheme="minorHAnsi" w:cstheme="minorHAnsi"/>
                <w:sz w:val="22"/>
                <w:szCs w:val="22"/>
              </w:rPr>
              <w:t>Last Review</w:t>
            </w:r>
          </w:p>
        </w:tc>
      </w:tr>
      <w:tr w:rsidR="00AB0019" w:rsidRPr="00B34AB7" w:rsidTr="0005791C">
        <w:tc>
          <w:tcPr>
            <w:tcW w:w="1435" w:type="dxa"/>
          </w:tcPr>
          <w:p w:rsidR="00AB0019" w:rsidRPr="0037722A" w:rsidRDefault="00AB0019" w:rsidP="0005791C">
            <w:pPr>
              <w:rPr>
                <w:rFonts w:cstheme="minorHAnsi"/>
              </w:rPr>
            </w:pPr>
            <w:r w:rsidRPr="0037722A">
              <w:rPr>
                <w:rFonts w:cstheme="minorHAnsi"/>
              </w:rPr>
              <w:t>79445</w:t>
            </w:r>
          </w:p>
          <w:p w:rsidR="00AB0019" w:rsidRPr="0037722A" w:rsidRDefault="00AB0019" w:rsidP="0005791C">
            <w:pPr>
              <w:rPr>
                <w:rFonts w:cstheme="minorHAnsi"/>
              </w:rPr>
            </w:pPr>
          </w:p>
          <w:p w:rsidR="00AB0019" w:rsidRPr="0037722A" w:rsidRDefault="00AB0019" w:rsidP="0005791C">
            <w:pPr>
              <w:rPr>
                <w:rFonts w:cstheme="minorHAnsi"/>
              </w:rPr>
            </w:pPr>
          </w:p>
          <w:p w:rsidR="00AB0019" w:rsidRPr="0037722A" w:rsidRDefault="00AB0019" w:rsidP="0005791C">
            <w:pPr>
              <w:rPr>
                <w:rFonts w:cstheme="minorHAnsi"/>
              </w:rPr>
            </w:pPr>
          </w:p>
          <w:p w:rsidR="00AB0019" w:rsidRPr="0037722A" w:rsidRDefault="00AB0019" w:rsidP="0005791C">
            <w:pPr>
              <w:rPr>
                <w:rFonts w:cstheme="minorHAnsi"/>
              </w:rPr>
            </w:pPr>
          </w:p>
          <w:p w:rsidR="00AB0019" w:rsidRPr="0037722A" w:rsidRDefault="00AB0019" w:rsidP="0005791C">
            <w:pPr>
              <w:rPr>
                <w:rFonts w:cstheme="minorHAnsi"/>
              </w:rPr>
            </w:pPr>
          </w:p>
          <w:p w:rsidR="00AB0019" w:rsidRPr="0037722A" w:rsidRDefault="00AB0019" w:rsidP="0005791C">
            <w:pPr>
              <w:rPr>
                <w:rFonts w:cstheme="minorHAnsi"/>
              </w:rPr>
            </w:pPr>
          </w:p>
          <w:p w:rsidR="00AB0019" w:rsidRPr="0037722A" w:rsidRDefault="00AB0019" w:rsidP="0005791C">
            <w:pPr>
              <w:rPr>
                <w:rFonts w:cstheme="minorHAnsi"/>
              </w:rPr>
            </w:pPr>
            <w:r w:rsidRPr="0037722A">
              <w:rPr>
                <w:rFonts w:cstheme="minorHAnsi"/>
                <w:bCs/>
              </w:rPr>
              <w:t>C2616</w:t>
            </w:r>
          </w:p>
          <w:p w:rsidR="00AB0019" w:rsidRPr="0037722A" w:rsidRDefault="00AB0019" w:rsidP="0005791C">
            <w:pPr>
              <w:rPr>
                <w:rFonts w:cstheme="minorHAnsi"/>
              </w:rPr>
            </w:pPr>
          </w:p>
          <w:p w:rsidR="00AB0019" w:rsidRPr="0037722A" w:rsidRDefault="00AB0019" w:rsidP="0005791C">
            <w:pPr>
              <w:rPr>
                <w:rStyle w:val="PageNumber"/>
                <w:rFonts w:cstheme="minorHAnsi"/>
              </w:rPr>
            </w:pPr>
          </w:p>
        </w:tc>
        <w:tc>
          <w:tcPr>
            <w:tcW w:w="3240" w:type="dxa"/>
          </w:tcPr>
          <w:p w:rsidR="00AB0019" w:rsidRPr="0037722A" w:rsidRDefault="00AB0019" w:rsidP="0005791C">
            <w:pPr>
              <w:rPr>
                <w:rStyle w:val="PageNumber"/>
                <w:rFonts w:cstheme="minorHAnsi"/>
              </w:rPr>
            </w:pPr>
            <w:r w:rsidRPr="0037722A">
              <w:rPr>
                <w:rStyle w:val="PageNumber"/>
                <w:rFonts w:cstheme="minorHAnsi"/>
              </w:rPr>
              <w:t>Radiopharmaceutical therapy, by intra-arterial particulate administration for use in treating primary hepatocellular carcinoma or colorectal cancer metastatic to the liver</w:t>
            </w:r>
          </w:p>
          <w:p w:rsidR="00AB0019" w:rsidRPr="0037722A" w:rsidRDefault="00AB0019" w:rsidP="0005791C">
            <w:pPr>
              <w:rPr>
                <w:rStyle w:val="PageNumber"/>
                <w:rFonts w:cstheme="minorHAnsi"/>
              </w:rPr>
            </w:pPr>
          </w:p>
          <w:p w:rsidR="00AB0019" w:rsidRPr="0037722A" w:rsidRDefault="00AB0019" w:rsidP="0005791C">
            <w:pPr>
              <w:rPr>
                <w:rStyle w:val="PageNumber"/>
                <w:rFonts w:cstheme="minorHAnsi"/>
              </w:rPr>
            </w:pPr>
            <w:r w:rsidRPr="0037722A">
              <w:rPr>
                <w:rFonts w:cstheme="minorHAnsi"/>
                <w:bCs/>
              </w:rPr>
              <w:t>Brachytherapy source, non-stranded, yttrium-90, per source</w:t>
            </w:r>
            <w:r>
              <w:rPr>
                <w:rFonts w:cstheme="minorHAnsi"/>
                <w:bCs/>
              </w:rPr>
              <w:t>, for use in treating primary liver cancer or metastatic cancer to the liver</w:t>
            </w:r>
          </w:p>
        </w:tc>
        <w:tc>
          <w:tcPr>
            <w:tcW w:w="2160" w:type="dxa"/>
          </w:tcPr>
          <w:p w:rsidR="00AB0019" w:rsidRPr="00B34AB7" w:rsidRDefault="00AB0019" w:rsidP="0005791C">
            <w:pPr>
              <w:rPr>
                <w:rStyle w:val="PageNumber"/>
                <w:rFonts w:cstheme="minorHAnsi"/>
              </w:rPr>
            </w:pPr>
            <w:r>
              <w:rPr>
                <w:rStyle w:val="PageNumber"/>
                <w:rFonts w:cstheme="minorHAnsi"/>
              </w:rPr>
              <w:t>L</w:t>
            </w:r>
            <w:r w:rsidRPr="00B34AB7">
              <w:rPr>
                <w:rStyle w:val="PageNumber"/>
                <w:rFonts w:cstheme="minorHAnsi"/>
              </w:rPr>
              <w:t xml:space="preserve">ow cost-effectiveness compared to equally effective but less expensive </w:t>
            </w:r>
            <w:r>
              <w:rPr>
                <w:rStyle w:val="PageNumber"/>
                <w:rFonts w:cstheme="minorHAnsi"/>
              </w:rPr>
              <w:t>standard</w:t>
            </w:r>
            <w:r w:rsidRPr="00B34AB7">
              <w:rPr>
                <w:rStyle w:val="PageNumber"/>
                <w:rFonts w:cstheme="minorHAnsi"/>
              </w:rPr>
              <w:t xml:space="preserve"> </w:t>
            </w:r>
            <w:r>
              <w:rPr>
                <w:rStyle w:val="PageNumber"/>
                <w:rFonts w:cstheme="minorHAnsi"/>
              </w:rPr>
              <w:t>chemotherapies; concern for possible harms compared to standard chemotherapy</w:t>
            </w:r>
          </w:p>
        </w:tc>
        <w:tc>
          <w:tcPr>
            <w:tcW w:w="2165" w:type="dxa"/>
          </w:tcPr>
          <w:p w:rsidR="00AB0019" w:rsidRPr="00B34AB7" w:rsidRDefault="00AB0019" w:rsidP="0005791C">
            <w:pPr>
              <w:rPr>
                <w:rStyle w:val="PageNumber"/>
                <w:rFonts w:cstheme="minorHAnsi"/>
              </w:rPr>
            </w:pPr>
            <w:r w:rsidRPr="00AB0019">
              <w:rPr>
                <w:rFonts w:cstheme="minorHAnsi"/>
              </w:rPr>
              <w:t>January, 2018</w:t>
            </w:r>
          </w:p>
        </w:tc>
      </w:tr>
    </w:tbl>
    <w:p w:rsidR="00AB0019" w:rsidRPr="0006578B" w:rsidRDefault="00AB0019" w:rsidP="0006578B">
      <w:pPr>
        <w:rPr>
          <w:rFonts w:cstheme="minorHAnsi"/>
        </w:rPr>
      </w:pPr>
    </w:p>
    <w:sectPr w:rsidR="00AB0019" w:rsidRPr="0006578B" w:rsidSect="00A06407">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B7" w:rsidRDefault="00A00BB7">
      <w:r>
        <w:separator/>
      </w:r>
    </w:p>
  </w:endnote>
  <w:endnote w:type="continuationSeparator" w:id="0">
    <w:p w:rsidR="00A00BB7" w:rsidRDefault="00A0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PSA337">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alaLancetPro-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BE9" w:rsidRPr="00146B0B" w:rsidRDefault="003E2BE9" w:rsidP="009D1C62">
    <w:pPr>
      <w:pStyle w:val="Footer"/>
    </w:pPr>
    <w:r>
      <w:tab/>
    </w:r>
    <w:r w:rsidR="00D941C7">
      <w:rPr>
        <w:noProof/>
      </w:rPr>
      <w:drawing>
        <wp:inline distT="0" distB="0" distL="0" distR="0" wp14:anchorId="604343EB" wp14:editId="0F9181EA">
          <wp:extent cx="904875" cy="3619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4875" cy="361950"/>
                  </a:xfrm>
                  <a:prstGeom prst="rect">
                    <a:avLst/>
                  </a:prstGeom>
                  <a:noFill/>
                  <a:ln w="9525">
                    <a:noFill/>
                    <a:miter lim="800000"/>
                    <a:headEnd/>
                    <a:tailEnd/>
                  </a:ln>
                </pic:spPr>
              </pic:pic>
            </a:graphicData>
          </a:graphic>
        </wp:inline>
      </w:drawing>
    </w:r>
    <w:r>
      <w:tab/>
    </w:r>
    <w:r w:rsidR="00062D99">
      <w:fldChar w:fldCharType="begin"/>
    </w:r>
    <w:r>
      <w:instrText xml:space="preserve"> PAGE  </w:instrText>
    </w:r>
    <w:r w:rsidR="00062D99">
      <w:fldChar w:fldCharType="separate"/>
    </w:r>
    <w:r w:rsidR="000C58DB">
      <w:rPr>
        <w:noProof/>
      </w:rPr>
      <w:t>4</w:t>
    </w:r>
    <w:r w:rsidR="00062D9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B7" w:rsidRDefault="00A00BB7">
      <w:r>
        <w:separator/>
      </w:r>
    </w:p>
  </w:footnote>
  <w:footnote w:type="continuationSeparator" w:id="0">
    <w:p w:rsidR="00A00BB7" w:rsidRDefault="00A0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304" w:rsidRPr="00D17DC1" w:rsidRDefault="00BF2C88" w:rsidP="00D17DC1">
    <w:pPr>
      <w:jc w:val="center"/>
      <w:rPr>
        <w:b/>
        <w:noProof/>
        <w:sz w:val="28"/>
        <w:szCs w:val="28"/>
      </w:rPr>
    </w:pPr>
    <w:r w:rsidRPr="00D17DC1">
      <w:rPr>
        <w:b/>
        <w:noProof/>
        <w:sz w:val="28"/>
        <w:szCs w:val="28"/>
      </w:rPr>
      <w:t>Oregon Health Plan Prioritized List</w:t>
    </w:r>
  </w:p>
  <w:p w:rsidR="00D17DC1" w:rsidRPr="00876447" w:rsidRDefault="003C402A" w:rsidP="00D32460">
    <w:pPr>
      <w:jc w:val="center"/>
      <w:rPr>
        <w:rFonts w:asciiTheme="majorHAnsi" w:hAnsiTheme="majorHAnsi" w:cstheme="majorHAnsi"/>
        <w:b/>
      </w:rPr>
    </w:pPr>
    <w:r>
      <w:rPr>
        <w:b/>
        <w:noProof/>
        <w:sz w:val="28"/>
        <w:szCs w:val="28"/>
      </w:rPr>
      <w:t>Guideline Note 17</w:t>
    </w:r>
    <w:r w:rsidR="002A1397">
      <w:rPr>
        <w:b/>
        <w:noProof/>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367"/>
    <w:multiLevelType w:val="hybridMultilevel"/>
    <w:tmpl w:val="B8AAFF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FB7"/>
    <w:multiLevelType w:val="hybridMultilevel"/>
    <w:tmpl w:val="F8BA80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5FFD"/>
    <w:multiLevelType w:val="hybridMultilevel"/>
    <w:tmpl w:val="5D3C3E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6691E"/>
    <w:multiLevelType w:val="hybridMultilevel"/>
    <w:tmpl w:val="E5BA99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C1B5F"/>
    <w:multiLevelType w:val="hybridMultilevel"/>
    <w:tmpl w:val="6A522DB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83150"/>
    <w:multiLevelType w:val="hybridMultilevel"/>
    <w:tmpl w:val="09567BF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07180"/>
    <w:multiLevelType w:val="hybridMultilevel"/>
    <w:tmpl w:val="D9A297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75061"/>
    <w:multiLevelType w:val="hybridMultilevel"/>
    <w:tmpl w:val="AD0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655A0"/>
    <w:multiLevelType w:val="hybridMultilevel"/>
    <w:tmpl w:val="3EA0D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6F6EAE"/>
    <w:multiLevelType w:val="hybridMultilevel"/>
    <w:tmpl w:val="C90EAE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623FF"/>
    <w:multiLevelType w:val="hybridMultilevel"/>
    <w:tmpl w:val="9B8CE428"/>
    <w:lvl w:ilvl="0" w:tplc="0409001B">
      <w:start w:val="1"/>
      <w:numFmt w:val="lowerRoman"/>
      <w:lvlText w:val="%1."/>
      <w:lvlJc w:val="righ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1105EF3"/>
    <w:multiLevelType w:val="hybridMultilevel"/>
    <w:tmpl w:val="A3D4751C"/>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BD6E36"/>
    <w:multiLevelType w:val="hybridMultilevel"/>
    <w:tmpl w:val="99C46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906481"/>
    <w:multiLevelType w:val="hybridMultilevel"/>
    <w:tmpl w:val="035C359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76619"/>
    <w:multiLevelType w:val="hybridMultilevel"/>
    <w:tmpl w:val="9DDEC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D143F"/>
    <w:multiLevelType w:val="hybridMultilevel"/>
    <w:tmpl w:val="4D9AA0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CF879AD"/>
    <w:multiLevelType w:val="hybridMultilevel"/>
    <w:tmpl w:val="F976ED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90B1B"/>
    <w:multiLevelType w:val="hybridMultilevel"/>
    <w:tmpl w:val="019635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3508DD"/>
    <w:multiLevelType w:val="hybridMultilevel"/>
    <w:tmpl w:val="742E9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482A83"/>
    <w:multiLevelType w:val="hybridMultilevel"/>
    <w:tmpl w:val="84C29E94"/>
    <w:lvl w:ilvl="0" w:tplc="04090011">
      <w:start w:val="1"/>
      <w:numFmt w:val="decimal"/>
      <w:lvlText w:val="%1)"/>
      <w:lvlJc w:val="left"/>
      <w:pPr>
        <w:ind w:left="720" w:hanging="360"/>
      </w:pPr>
      <w:rPr>
        <w:rFonts w:hint="default"/>
      </w:rPr>
    </w:lvl>
    <w:lvl w:ilvl="1" w:tplc="09986C0E">
      <w:start w:val="1"/>
      <w:numFmt w:val="lowerLetter"/>
      <w:lvlText w:val="%2."/>
      <w:lvlJc w:val="left"/>
      <w:pPr>
        <w:ind w:left="1440" w:hanging="360"/>
      </w:pPr>
      <w:rPr>
        <w:i w:val="0"/>
      </w:rPr>
    </w:lvl>
    <w:lvl w:ilvl="2" w:tplc="ABFC57FC">
      <w:start w:val="1"/>
      <w:numFmt w:val="lowerRoman"/>
      <w:lvlText w:val="%3."/>
      <w:lvlJc w:val="right"/>
      <w:pPr>
        <w:ind w:left="189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51291"/>
    <w:multiLevelType w:val="hybridMultilevel"/>
    <w:tmpl w:val="37FC39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CE17CF"/>
    <w:multiLevelType w:val="hybridMultilevel"/>
    <w:tmpl w:val="9EFCAC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767D6E"/>
    <w:multiLevelType w:val="hybridMultilevel"/>
    <w:tmpl w:val="76169C5C"/>
    <w:lvl w:ilvl="0" w:tplc="3AC878F4">
      <w:start w:val="1"/>
      <w:numFmt w:val="decimal"/>
      <w:lvlText w:val="%1)"/>
      <w:lvlJc w:val="left"/>
      <w:pPr>
        <w:ind w:left="720" w:hanging="360"/>
      </w:pPr>
      <w:rPr>
        <w:rFonts w:asciiTheme="minorHAnsi" w:hAnsiTheme="minorHAnsi" w:cs="AdvPSA337"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86A6607"/>
    <w:multiLevelType w:val="hybridMultilevel"/>
    <w:tmpl w:val="9D9028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6D4562"/>
    <w:multiLevelType w:val="hybridMultilevel"/>
    <w:tmpl w:val="C83647C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03A3AB8"/>
    <w:multiLevelType w:val="hybridMultilevel"/>
    <w:tmpl w:val="F580F034"/>
    <w:lvl w:ilvl="0" w:tplc="507CF53E">
      <w:start w:val="1"/>
      <w:numFmt w:val="decimal"/>
      <w:lvlText w:val="%1)"/>
      <w:lvlJc w:val="left"/>
      <w:pPr>
        <w:tabs>
          <w:tab w:val="num" w:pos="720"/>
        </w:tabs>
        <w:ind w:left="720" w:hanging="360"/>
      </w:pPr>
      <w:rPr>
        <w:rFonts w:ascii="Arial" w:hAnsi="Arial" w:cs="Arial" w:hint="default"/>
        <w:color w:val="00008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08576CA"/>
    <w:multiLevelType w:val="hybridMultilevel"/>
    <w:tmpl w:val="AB100F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05897"/>
    <w:multiLevelType w:val="hybridMultilevel"/>
    <w:tmpl w:val="02E671A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33F66"/>
    <w:multiLevelType w:val="hybridMultilevel"/>
    <w:tmpl w:val="E7C2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D08EA"/>
    <w:multiLevelType w:val="hybridMultilevel"/>
    <w:tmpl w:val="E32CD1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893767E"/>
    <w:multiLevelType w:val="hybridMultilevel"/>
    <w:tmpl w:val="46407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DB3760"/>
    <w:multiLevelType w:val="hybridMultilevel"/>
    <w:tmpl w:val="EB06F538"/>
    <w:lvl w:ilvl="0" w:tplc="54C46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5B4D15"/>
    <w:multiLevelType w:val="hybridMultilevel"/>
    <w:tmpl w:val="87D0E0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7"/>
  </w:num>
  <w:num w:numId="3">
    <w:abstractNumId w:val="2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5"/>
  </w:num>
  <w:num w:numId="21">
    <w:abstractNumId w:val="28"/>
  </w:num>
  <w:num w:numId="22">
    <w:abstractNumId w:val="4"/>
  </w:num>
  <w:num w:numId="23">
    <w:abstractNumId w:val="13"/>
  </w:num>
  <w:num w:numId="24">
    <w:abstractNumId w:val="3"/>
  </w:num>
  <w:num w:numId="25">
    <w:abstractNumId w:val="9"/>
  </w:num>
  <w:num w:numId="26">
    <w:abstractNumId w:val="0"/>
  </w:num>
  <w:num w:numId="27">
    <w:abstractNumId w:val="16"/>
  </w:num>
  <w:num w:numId="28">
    <w:abstractNumId w:val="2"/>
  </w:num>
  <w:num w:numId="29">
    <w:abstractNumId w:val="6"/>
  </w:num>
  <w:num w:numId="30">
    <w:abstractNumId w:val="1"/>
  </w:num>
  <w:num w:numId="31">
    <w:abstractNumId w:val="19"/>
  </w:num>
  <w:num w:numId="32">
    <w:abstractNumId w:val="21"/>
  </w:num>
  <w:num w:numId="33">
    <w:abstractNumId w:val="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2A"/>
    <w:rsid w:val="00006375"/>
    <w:rsid w:val="000114D4"/>
    <w:rsid w:val="00034DA2"/>
    <w:rsid w:val="00036EFB"/>
    <w:rsid w:val="00062D99"/>
    <w:rsid w:val="0006578B"/>
    <w:rsid w:val="000938C4"/>
    <w:rsid w:val="000A5877"/>
    <w:rsid w:val="000B2637"/>
    <w:rsid w:val="000C58DB"/>
    <w:rsid w:val="000E3E50"/>
    <w:rsid w:val="000E4EE6"/>
    <w:rsid w:val="00112E35"/>
    <w:rsid w:val="001135E2"/>
    <w:rsid w:val="00125B69"/>
    <w:rsid w:val="00146B0B"/>
    <w:rsid w:val="00161173"/>
    <w:rsid w:val="00174B84"/>
    <w:rsid w:val="00183961"/>
    <w:rsid w:val="001C1AC2"/>
    <w:rsid w:val="001E58F1"/>
    <w:rsid w:val="001E6492"/>
    <w:rsid w:val="001F2924"/>
    <w:rsid w:val="00211F7E"/>
    <w:rsid w:val="00241DFF"/>
    <w:rsid w:val="002567C3"/>
    <w:rsid w:val="002757D6"/>
    <w:rsid w:val="00286D7A"/>
    <w:rsid w:val="002A1397"/>
    <w:rsid w:val="002B6B69"/>
    <w:rsid w:val="002C7FB2"/>
    <w:rsid w:val="002D4047"/>
    <w:rsid w:val="002E7B3E"/>
    <w:rsid w:val="002F4236"/>
    <w:rsid w:val="00313C24"/>
    <w:rsid w:val="00331577"/>
    <w:rsid w:val="00354F39"/>
    <w:rsid w:val="00362566"/>
    <w:rsid w:val="00381686"/>
    <w:rsid w:val="003A7E4E"/>
    <w:rsid w:val="003B3891"/>
    <w:rsid w:val="003B473D"/>
    <w:rsid w:val="003C3084"/>
    <w:rsid w:val="003C402A"/>
    <w:rsid w:val="003E2BE9"/>
    <w:rsid w:val="00424A46"/>
    <w:rsid w:val="00436596"/>
    <w:rsid w:val="00441A01"/>
    <w:rsid w:val="004571AF"/>
    <w:rsid w:val="004A2AF8"/>
    <w:rsid w:val="004C739A"/>
    <w:rsid w:val="004D5309"/>
    <w:rsid w:val="004F3B62"/>
    <w:rsid w:val="004F5E4A"/>
    <w:rsid w:val="004F6524"/>
    <w:rsid w:val="00522960"/>
    <w:rsid w:val="0053244B"/>
    <w:rsid w:val="005359C7"/>
    <w:rsid w:val="0056337E"/>
    <w:rsid w:val="005847DD"/>
    <w:rsid w:val="005A1767"/>
    <w:rsid w:val="005A1EEE"/>
    <w:rsid w:val="005B71A4"/>
    <w:rsid w:val="005D7BF0"/>
    <w:rsid w:val="005F2AED"/>
    <w:rsid w:val="00605342"/>
    <w:rsid w:val="00660992"/>
    <w:rsid w:val="006943D6"/>
    <w:rsid w:val="006A5420"/>
    <w:rsid w:val="006C453D"/>
    <w:rsid w:val="006E21CB"/>
    <w:rsid w:val="006F186B"/>
    <w:rsid w:val="00702FA3"/>
    <w:rsid w:val="00704160"/>
    <w:rsid w:val="00714D9B"/>
    <w:rsid w:val="00722829"/>
    <w:rsid w:val="0074542B"/>
    <w:rsid w:val="00752E2C"/>
    <w:rsid w:val="007574E8"/>
    <w:rsid w:val="00795889"/>
    <w:rsid w:val="00796202"/>
    <w:rsid w:val="007A65AA"/>
    <w:rsid w:val="007C1729"/>
    <w:rsid w:val="007C2859"/>
    <w:rsid w:val="007E68A1"/>
    <w:rsid w:val="00803C6B"/>
    <w:rsid w:val="0084178D"/>
    <w:rsid w:val="00844609"/>
    <w:rsid w:val="00845277"/>
    <w:rsid w:val="00866B12"/>
    <w:rsid w:val="008746C3"/>
    <w:rsid w:val="00876447"/>
    <w:rsid w:val="0089584D"/>
    <w:rsid w:val="008A0C70"/>
    <w:rsid w:val="008C4AA4"/>
    <w:rsid w:val="008D4987"/>
    <w:rsid w:val="00941AE1"/>
    <w:rsid w:val="009532AE"/>
    <w:rsid w:val="009604F0"/>
    <w:rsid w:val="009671B1"/>
    <w:rsid w:val="00976107"/>
    <w:rsid w:val="00985891"/>
    <w:rsid w:val="00994D5A"/>
    <w:rsid w:val="009D1C62"/>
    <w:rsid w:val="009E3767"/>
    <w:rsid w:val="009F2B34"/>
    <w:rsid w:val="00A00BB7"/>
    <w:rsid w:val="00A06407"/>
    <w:rsid w:val="00A0644D"/>
    <w:rsid w:val="00A45839"/>
    <w:rsid w:val="00A65A2A"/>
    <w:rsid w:val="00A700F8"/>
    <w:rsid w:val="00AB0019"/>
    <w:rsid w:val="00AF1D55"/>
    <w:rsid w:val="00B26A1F"/>
    <w:rsid w:val="00B3781D"/>
    <w:rsid w:val="00B82B0C"/>
    <w:rsid w:val="00BB14B5"/>
    <w:rsid w:val="00BB5801"/>
    <w:rsid w:val="00BC5864"/>
    <w:rsid w:val="00BF2C88"/>
    <w:rsid w:val="00C16DF6"/>
    <w:rsid w:val="00C218BD"/>
    <w:rsid w:val="00C2263B"/>
    <w:rsid w:val="00C241EE"/>
    <w:rsid w:val="00C4079A"/>
    <w:rsid w:val="00C51C06"/>
    <w:rsid w:val="00C81805"/>
    <w:rsid w:val="00C92D56"/>
    <w:rsid w:val="00CC1C99"/>
    <w:rsid w:val="00CD746B"/>
    <w:rsid w:val="00CF4DA2"/>
    <w:rsid w:val="00CF7E7E"/>
    <w:rsid w:val="00D17DC1"/>
    <w:rsid w:val="00D32460"/>
    <w:rsid w:val="00D34794"/>
    <w:rsid w:val="00D66FCA"/>
    <w:rsid w:val="00D941C7"/>
    <w:rsid w:val="00DC1ECE"/>
    <w:rsid w:val="00E25865"/>
    <w:rsid w:val="00E25B1C"/>
    <w:rsid w:val="00E564BE"/>
    <w:rsid w:val="00EC3B5C"/>
    <w:rsid w:val="00F11304"/>
    <w:rsid w:val="00F24C6A"/>
    <w:rsid w:val="00F67650"/>
    <w:rsid w:val="00F95C19"/>
    <w:rsid w:val="00FA3367"/>
    <w:rsid w:val="00FB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0D5915"/>
  <w15:docId w15:val="{E9A22385-CC61-4EA1-ADF8-1B2C0076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367"/>
    <w:pPr>
      <w:spacing w:after="200" w:line="276" w:lineRule="auto"/>
    </w:pPr>
    <w:rPr>
      <w:rFonts w:asciiTheme="minorHAnsi" w:eastAsiaTheme="minorHAnsi" w:hAnsiTheme="minorHAnsi" w:cstheme="minorBidi"/>
    </w:rPr>
  </w:style>
  <w:style w:type="paragraph" w:styleId="Heading1">
    <w:name w:val="heading 1"/>
    <w:basedOn w:val="Normal"/>
    <w:next w:val="Normal"/>
    <w:link w:val="Heading1Char"/>
    <w:uiPriority w:val="9"/>
    <w:qFormat/>
    <w:locked/>
    <w:rsid w:val="001E58F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25B1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B5801"/>
    <w:pPr>
      <w:tabs>
        <w:tab w:val="center" w:pos="4320"/>
        <w:tab w:val="right" w:pos="8640"/>
      </w:tabs>
      <w:spacing w:after="0" w:line="240" w:lineRule="auto"/>
    </w:pPr>
    <w:rPr>
      <w:rFonts w:eastAsia="Times New Roman" w:cs="Times New Roman"/>
    </w:rPr>
  </w:style>
  <w:style w:type="character" w:customStyle="1" w:styleId="HeaderChar">
    <w:name w:val="Header Char"/>
    <w:basedOn w:val="DefaultParagraphFont"/>
    <w:link w:val="Header"/>
    <w:uiPriority w:val="99"/>
    <w:semiHidden/>
    <w:locked/>
    <w:rsid w:val="00062D99"/>
    <w:rPr>
      <w:rFonts w:ascii="Calibri" w:hAnsi="Calibri"/>
    </w:rPr>
  </w:style>
  <w:style w:type="paragraph" w:styleId="Footer">
    <w:name w:val="footer"/>
    <w:basedOn w:val="Normal"/>
    <w:link w:val="FooterChar"/>
    <w:uiPriority w:val="99"/>
    <w:rsid w:val="00BB5801"/>
    <w:pPr>
      <w:tabs>
        <w:tab w:val="center" w:pos="4320"/>
        <w:tab w:val="right" w:pos="8640"/>
      </w:tabs>
      <w:spacing w:after="0" w:line="240" w:lineRule="auto"/>
    </w:pPr>
    <w:rPr>
      <w:rFonts w:eastAsia="Times New Roman" w:cs="Times New Roman"/>
    </w:rPr>
  </w:style>
  <w:style w:type="character" w:customStyle="1" w:styleId="FooterChar">
    <w:name w:val="Footer Char"/>
    <w:basedOn w:val="DefaultParagraphFont"/>
    <w:link w:val="Footer"/>
    <w:uiPriority w:val="99"/>
    <w:locked/>
    <w:rsid w:val="006C453D"/>
    <w:rPr>
      <w:rFonts w:ascii="Calibri" w:hAnsi="Calibri"/>
      <w:sz w:val="22"/>
    </w:rPr>
  </w:style>
  <w:style w:type="character" w:styleId="PageNumber">
    <w:name w:val="page number"/>
    <w:basedOn w:val="DefaultParagraphFont"/>
    <w:rsid w:val="00BB5801"/>
    <w:rPr>
      <w:rFonts w:cs="Times New Roman"/>
    </w:rPr>
  </w:style>
  <w:style w:type="paragraph" w:styleId="ListParagraph">
    <w:name w:val="List Paragraph"/>
    <w:basedOn w:val="Normal"/>
    <w:uiPriority w:val="34"/>
    <w:qFormat/>
    <w:rsid w:val="001E6492"/>
    <w:pPr>
      <w:ind w:left="720"/>
      <w:contextualSpacing/>
    </w:pPr>
    <w:rPr>
      <w:rFonts w:eastAsia="Times New Roman" w:cs="Times New Roman"/>
    </w:rPr>
  </w:style>
  <w:style w:type="paragraph" w:styleId="BalloonText">
    <w:name w:val="Balloon Text"/>
    <w:basedOn w:val="Normal"/>
    <w:link w:val="BalloonTextChar"/>
    <w:uiPriority w:val="99"/>
    <w:rsid w:val="006C453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6C453D"/>
    <w:rPr>
      <w:rFonts w:ascii="Tahoma" w:hAnsi="Tahoma"/>
      <w:sz w:val="16"/>
    </w:rPr>
  </w:style>
  <w:style w:type="paragraph" w:styleId="NormalWeb">
    <w:name w:val="Normal (Web)"/>
    <w:basedOn w:val="Normal"/>
    <w:uiPriority w:val="99"/>
    <w:semiHidden/>
    <w:unhideWhenUsed/>
    <w:rsid w:val="00C16DF6"/>
    <w:pPr>
      <w:spacing w:before="100" w:beforeAutospacing="1" w:after="100" w:afterAutospacing="1" w:line="240" w:lineRule="auto"/>
    </w:pPr>
    <w:rPr>
      <w:rFonts w:ascii="Times New Roman" w:hAnsi="Times New Roman" w:cs="Times New Roman"/>
      <w:sz w:val="24"/>
      <w:szCs w:val="24"/>
    </w:rPr>
  </w:style>
  <w:style w:type="character" w:customStyle="1" w:styleId="CGBoxTextChar">
    <w:name w:val="CG Box Text Char"/>
    <w:basedOn w:val="DefaultParagraphFont"/>
    <w:link w:val="CGBoxText"/>
    <w:locked/>
    <w:rsid w:val="00C16DF6"/>
    <w:rPr>
      <w:rFonts w:ascii="Arial" w:hAnsi="Arial" w:cs="Arial"/>
      <w:color w:val="002060"/>
      <w:szCs w:val="24"/>
    </w:rPr>
  </w:style>
  <w:style w:type="paragraph" w:customStyle="1" w:styleId="CGBoxText">
    <w:name w:val="CG Box Text"/>
    <w:link w:val="CGBoxTextChar"/>
    <w:qFormat/>
    <w:rsid w:val="00C16DF6"/>
    <w:pPr>
      <w:spacing w:after="200"/>
    </w:pPr>
    <w:rPr>
      <w:rFonts w:ascii="Arial" w:hAnsi="Arial" w:cs="Arial"/>
      <w:color w:val="002060"/>
      <w:szCs w:val="24"/>
    </w:rPr>
  </w:style>
  <w:style w:type="character" w:styleId="Hyperlink">
    <w:name w:val="Hyperlink"/>
    <w:basedOn w:val="DefaultParagraphFont"/>
    <w:uiPriority w:val="99"/>
    <w:semiHidden/>
    <w:unhideWhenUsed/>
    <w:rsid w:val="00DC1ECE"/>
    <w:rPr>
      <w:strike w:val="0"/>
      <w:dstrike w:val="0"/>
      <w:color w:val="0000FF"/>
      <w:u w:val="none"/>
      <w:effect w:val="none"/>
    </w:rPr>
  </w:style>
  <w:style w:type="character" w:styleId="Strong">
    <w:name w:val="Strong"/>
    <w:basedOn w:val="DefaultParagraphFont"/>
    <w:uiPriority w:val="22"/>
    <w:qFormat/>
    <w:locked/>
    <w:rsid w:val="000938C4"/>
    <w:rPr>
      <w:b/>
      <w:bCs/>
    </w:rPr>
  </w:style>
  <w:style w:type="table" w:styleId="TableGrid">
    <w:name w:val="Table Grid"/>
    <w:basedOn w:val="TableNormal"/>
    <w:locked/>
    <w:rsid w:val="004F5E4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58F1"/>
    <w:rPr>
      <w:rFonts w:asciiTheme="majorHAnsi" w:eastAsiaTheme="majorEastAsia" w:hAnsiTheme="majorHAnsi" w:cstheme="majorBidi"/>
      <w:color w:val="365F91" w:themeColor="accent1" w:themeShade="BF"/>
      <w:sz w:val="32"/>
      <w:szCs w:val="32"/>
    </w:rPr>
  </w:style>
  <w:style w:type="paragraph" w:customStyle="1" w:styleId="HSCNormal">
    <w:name w:val="HSC Normal"/>
    <w:link w:val="HSCNormalChar"/>
    <w:qFormat/>
    <w:rsid w:val="00CF7E7E"/>
    <w:pPr>
      <w:suppressAutoHyphens/>
    </w:pPr>
    <w:rPr>
      <w:rFonts w:ascii="Arial" w:hAnsi="Arial" w:cs="Courier New"/>
      <w:sz w:val="16"/>
      <w:szCs w:val="24"/>
    </w:rPr>
  </w:style>
  <w:style w:type="character" w:customStyle="1" w:styleId="HSCNormalChar">
    <w:name w:val="HSC Normal Char"/>
    <w:basedOn w:val="DefaultParagraphFont"/>
    <w:link w:val="HSCNormal"/>
    <w:rsid w:val="00CF7E7E"/>
    <w:rPr>
      <w:rFonts w:ascii="Arial" w:hAnsi="Arial" w:cs="Courier New"/>
      <w:sz w:val="16"/>
      <w:szCs w:val="24"/>
    </w:rPr>
  </w:style>
  <w:style w:type="paragraph" w:customStyle="1" w:styleId="HSCGLLineList">
    <w:name w:val="HSC GL LineList"/>
    <w:basedOn w:val="Normal"/>
    <w:next w:val="HSCNormal"/>
    <w:qFormat/>
    <w:rsid w:val="00CF7E7E"/>
    <w:pPr>
      <w:keepNext/>
      <w:keepLines/>
      <w:suppressAutoHyphens/>
      <w:spacing w:after="100" w:line="240" w:lineRule="auto"/>
      <w:ind w:left="360"/>
    </w:pPr>
    <w:rPr>
      <w:rFonts w:ascii="Arial" w:eastAsia="Times New Roman" w:hAnsi="Arial" w:cs="Courier New"/>
      <w:bCs/>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7754">
      <w:bodyDiv w:val="1"/>
      <w:marLeft w:val="0"/>
      <w:marRight w:val="0"/>
      <w:marTop w:val="0"/>
      <w:marBottom w:val="0"/>
      <w:divBdr>
        <w:top w:val="none" w:sz="0" w:space="0" w:color="auto"/>
        <w:left w:val="none" w:sz="0" w:space="0" w:color="auto"/>
        <w:bottom w:val="none" w:sz="0" w:space="0" w:color="auto"/>
        <w:right w:val="none" w:sz="0" w:space="0" w:color="auto"/>
      </w:divBdr>
    </w:div>
    <w:div w:id="290478740">
      <w:bodyDiv w:val="1"/>
      <w:marLeft w:val="0"/>
      <w:marRight w:val="0"/>
      <w:marTop w:val="0"/>
      <w:marBottom w:val="0"/>
      <w:divBdr>
        <w:top w:val="none" w:sz="0" w:space="0" w:color="auto"/>
        <w:left w:val="none" w:sz="0" w:space="0" w:color="auto"/>
        <w:bottom w:val="none" w:sz="0" w:space="0" w:color="auto"/>
        <w:right w:val="none" w:sz="0" w:space="0" w:color="auto"/>
      </w:divBdr>
    </w:div>
    <w:div w:id="424694709">
      <w:bodyDiv w:val="1"/>
      <w:marLeft w:val="0"/>
      <w:marRight w:val="0"/>
      <w:marTop w:val="0"/>
      <w:marBottom w:val="0"/>
      <w:divBdr>
        <w:top w:val="none" w:sz="0" w:space="0" w:color="auto"/>
        <w:left w:val="none" w:sz="0" w:space="0" w:color="auto"/>
        <w:bottom w:val="none" w:sz="0" w:space="0" w:color="auto"/>
        <w:right w:val="none" w:sz="0" w:space="0" w:color="auto"/>
      </w:divBdr>
    </w:div>
    <w:div w:id="472601986">
      <w:bodyDiv w:val="1"/>
      <w:marLeft w:val="0"/>
      <w:marRight w:val="0"/>
      <w:marTop w:val="0"/>
      <w:marBottom w:val="0"/>
      <w:divBdr>
        <w:top w:val="none" w:sz="0" w:space="0" w:color="auto"/>
        <w:left w:val="none" w:sz="0" w:space="0" w:color="auto"/>
        <w:bottom w:val="none" w:sz="0" w:space="0" w:color="auto"/>
        <w:right w:val="none" w:sz="0" w:space="0" w:color="auto"/>
      </w:divBdr>
    </w:div>
    <w:div w:id="768354473">
      <w:bodyDiv w:val="1"/>
      <w:marLeft w:val="0"/>
      <w:marRight w:val="0"/>
      <w:marTop w:val="0"/>
      <w:marBottom w:val="0"/>
      <w:divBdr>
        <w:top w:val="none" w:sz="0" w:space="0" w:color="auto"/>
        <w:left w:val="none" w:sz="0" w:space="0" w:color="auto"/>
        <w:bottom w:val="none" w:sz="0" w:space="0" w:color="auto"/>
        <w:right w:val="none" w:sz="0" w:space="0" w:color="auto"/>
      </w:divBdr>
    </w:div>
    <w:div w:id="953903602">
      <w:bodyDiv w:val="1"/>
      <w:marLeft w:val="0"/>
      <w:marRight w:val="0"/>
      <w:marTop w:val="0"/>
      <w:marBottom w:val="0"/>
      <w:divBdr>
        <w:top w:val="none" w:sz="0" w:space="0" w:color="auto"/>
        <w:left w:val="none" w:sz="0" w:space="0" w:color="auto"/>
        <w:bottom w:val="none" w:sz="0" w:space="0" w:color="auto"/>
        <w:right w:val="none" w:sz="0" w:space="0" w:color="auto"/>
      </w:divBdr>
    </w:div>
    <w:div w:id="1656372615">
      <w:bodyDiv w:val="1"/>
      <w:marLeft w:val="0"/>
      <w:marRight w:val="0"/>
      <w:marTop w:val="0"/>
      <w:marBottom w:val="0"/>
      <w:divBdr>
        <w:top w:val="none" w:sz="0" w:space="0" w:color="auto"/>
        <w:left w:val="none" w:sz="0" w:space="0" w:color="auto"/>
        <w:bottom w:val="none" w:sz="0" w:space="0" w:color="auto"/>
        <w:right w:val="none" w:sz="0" w:space="0" w:color="auto"/>
      </w:divBdr>
    </w:div>
    <w:div w:id="2001037107">
      <w:bodyDiv w:val="1"/>
      <w:marLeft w:val="0"/>
      <w:marRight w:val="0"/>
      <w:marTop w:val="0"/>
      <w:marBottom w:val="0"/>
      <w:divBdr>
        <w:top w:val="none" w:sz="0" w:space="0" w:color="auto"/>
        <w:left w:val="none" w:sz="0" w:space="0" w:color="auto"/>
        <w:bottom w:val="none" w:sz="0" w:space="0" w:color="auto"/>
        <w:right w:val="none" w:sz="0" w:space="0" w:color="auto"/>
      </w:divBdr>
    </w:div>
    <w:div w:id="2064014905">
      <w:marLeft w:val="0"/>
      <w:marRight w:val="0"/>
      <w:marTop w:val="0"/>
      <w:marBottom w:val="0"/>
      <w:divBdr>
        <w:top w:val="none" w:sz="0" w:space="0" w:color="auto"/>
        <w:left w:val="none" w:sz="0" w:space="0" w:color="auto"/>
        <w:bottom w:val="none" w:sz="0" w:space="0" w:color="auto"/>
        <w:right w:val="none" w:sz="0" w:space="0" w:color="auto"/>
      </w:divBdr>
    </w:div>
    <w:div w:id="2064014906">
      <w:marLeft w:val="0"/>
      <w:marRight w:val="0"/>
      <w:marTop w:val="0"/>
      <w:marBottom w:val="0"/>
      <w:divBdr>
        <w:top w:val="none" w:sz="0" w:space="0" w:color="auto"/>
        <w:left w:val="none" w:sz="0" w:space="0" w:color="auto"/>
        <w:bottom w:val="none" w:sz="0" w:space="0" w:color="auto"/>
        <w:right w:val="none" w:sz="0" w:space="0" w:color="auto"/>
      </w:divBdr>
    </w:div>
    <w:div w:id="2064014907">
      <w:marLeft w:val="0"/>
      <w:marRight w:val="0"/>
      <w:marTop w:val="0"/>
      <w:marBottom w:val="0"/>
      <w:divBdr>
        <w:top w:val="none" w:sz="0" w:space="0" w:color="auto"/>
        <w:left w:val="none" w:sz="0" w:space="0" w:color="auto"/>
        <w:bottom w:val="none" w:sz="0" w:space="0" w:color="auto"/>
        <w:right w:val="none" w:sz="0" w:space="0" w:color="auto"/>
      </w:divBdr>
    </w:div>
    <w:div w:id="2064014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pmc/articles/PMC5593813/pdf/mai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4507097/pdf/WJG-21-827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0195137\AppData\Local\Microsoft\Windows\Temporary%20Internet%20Files\Content.MSO\150B0EB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https://www.oregon.gov/oha/HPA/DSI-HERC/SearchablePLdocuments/GL-173-Yttrium-79445.docx</Url>
      <Description>GL-173-Yttrium-79445.docx</Description>
    </URL>
    <IACategory xmlns="59da1016-2a1b-4f8a-9768-d7a4932f6f16" xsi:nil="true"/>
    <IASubtopic xmlns="59da1016-2a1b-4f8a-9768-d7a4932f6f16" xsi:nil="true"/>
    <DocumentExpirationDate xmlns="59da1016-2a1b-4f8a-9768-d7a4932f6f16" xsi:nil="true"/>
    <Meta_x0020_Keywords xmlns="02aa3302-3726-4429-bc74-2da0b757c478" xsi:nil="true"/>
    <IATopic xmlns="59da1016-2a1b-4f8a-9768-d7a4932f6f16" xsi:nil="true"/>
    <Meta_x0020_Description xmlns="02aa3302-3726-4429-bc74-2da0b757c478">GL173</Meta_x0020_Descrip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E8B8313507D54D8326F9AC36709E7F" ma:contentTypeVersion="18" ma:contentTypeDescription="Create a new document." ma:contentTypeScope="" ma:versionID="e3ff354594a46a5ab218b54240ee660b">
  <xsd:schema xmlns:xsd="http://www.w3.org/2001/XMLSchema" xmlns:xs="http://www.w3.org/2001/XMLSchema" xmlns:p="http://schemas.microsoft.com/office/2006/metadata/properties" xmlns:ns1="http://schemas.microsoft.com/sharepoint/v3" xmlns:ns2="59da1016-2a1b-4f8a-9768-d7a4932f6f16" xmlns:ns3="02aa3302-3726-4429-bc74-2da0b757c478" targetNamespace="http://schemas.microsoft.com/office/2006/metadata/properties" ma:root="true" ma:fieldsID="e0b65884941d366edd5a4e66bc6478bc" ns1:_="" ns2:_="" ns3:_="">
    <xsd:import namespace="http://schemas.microsoft.com/sharepoint/v3"/>
    <xsd:import namespace="59da1016-2a1b-4f8a-9768-d7a4932f6f16"/>
    <xsd:import namespace="02aa3302-3726-4429-bc74-2da0b757c478"/>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2:Document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5" nillable="true" ma:displayName="Documents"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aa3302-3726-4429-bc74-2da0b757c478" elementFormDefault="qualified">
    <xsd:import namespace="http://schemas.microsoft.com/office/2006/documentManagement/types"/>
    <xsd:import namespace="http://schemas.microsoft.com/office/infopath/2007/PartnerControls"/>
    <xsd:element name="Meta_x0020_Description" ma:index="5" nillable="true" ma:displayName="Meta Description" ma:internalName="Meta_x0020_Description" ma:readOnly="false">
      <xsd:simpleType>
        <xsd:restriction base="dms:Text"/>
      </xsd:simpleType>
    </xsd:element>
    <xsd:element name="Meta_x0020_Keywords" ma:index="6"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7CED2-948B-45EA-8BA7-FD19A81A5E1A}"/>
</file>

<file path=customXml/itemProps2.xml><?xml version="1.0" encoding="utf-8"?>
<ds:datastoreItem xmlns:ds="http://schemas.openxmlformats.org/officeDocument/2006/customXml" ds:itemID="{5640D509-DD36-4796-9DEF-F4F46699C468}"/>
</file>

<file path=customXml/itemProps3.xml><?xml version="1.0" encoding="utf-8"?>
<ds:datastoreItem xmlns:ds="http://schemas.openxmlformats.org/officeDocument/2006/customXml" ds:itemID="{9E0DCFC2-BA29-4EC1-B974-50A70DF54C1E}"/>
</file>

<file path=customXml/itemProps4.xml><?xml version="1.0" encoding="utf-8"?>
<ds:datastoreItem xmlns:ds="http://schemas.openxmlformats.org/officeDocument/2006/customXml" ds:itemID="{2AD99534-F75F-4111-9A94-2CECA05C7385}"/>
</file>

<file path=docProps/app.xml><?xml version="1.0" encoding="utf-8"?>
<Properties xmlns="http://schemas.openxmlformats.org/officeDocument/2006/extended-properties" xmlns:vt="http://schemas.openxmlformats.org/officeDocument/2006/docPropsVTypes">
  <Template>150B0EBB.dotx</Template>
  <TotalTime>0</TotalTime>
  <Pages>8</Pages>
  <Words>2187</Words>
  <Characters>13286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Gingerich</dc:creator>
  <cp:keywords/>
  <dc:description/>
  <cp:lastModifiedBy>Peck Daphne</cp:lastModifiedBy>
  <cp:revision>2</cp:revision>
  <dcterms:created xsi:type="dcterms:W3CDTF">2018-08-27T18:47:00Z</dcterms:created>
  <dcterms:modified xsi:type="dcterms:W3CDTF">2018-08-27T18:47:00Z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0x0101000CE8B8313507D54D8326F9AC36709E7F</vt:lpwstr>
  </property>
  <property fmtid="{D5CDD505-2E9C-101B-9397-08002B2CF9AE}" pid="3" name="WorkflowChangePath">
    <vt:lpwstr>e0fd33a0-6abf-4466-b8dc-af1bac9c3e31,3;</vt:lpwstr>
  </property>
</Properties>
</file>