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61560" w14:textId="77777777" w:rsidR="008B4075" w:rsidRDefault="008B4075" w:rsidP="00482AB3">
      <w:pPr>
        <w:autoSpaceDE w:val="0"/>
        <w:autoSpaceDN w:val="0"/>
        <w:adjustRightInd w:val="0"/>
        <w:spacing w:after="0" w:line="240" w:lineRule="auto"/>
        <w:rPr>
          <w:rFonts w:cstheme="minorHAnsi"/>
          <w:b/>
          <w:sz w:val="24"/>
          <w:szCs w:val="24"/>
        </w:rPr>
      </w:pPr>
      <w:r>
        <w:rPr>
          <w:rFonts w:cstheme="minorHAnsi"/>
          <w:b/>
          <w:sz w:val="24"/>
          <w:szCs w:val="24"/>
        </w:rPr>
        <w:t>Editor's note: On 1/1/2025, Guideline Notes 172 and 173 were replaced with Excluded Services Guidelines 1 and 2, which serve the same functions. References to Guidelines 172-173 can be treated interchangeably with Excluded Services Guidelines E1-E2 unless HERC has revised its decision since the original approval.</w:t>
      </w:r>
    </w:p>
    <w:p w14:paraId="1E74DA26" w14:textId="77777777" w:rsidR="008B4075" w:rsidRDefault="008B4075" w:rsidP="00482AB3">
      <w:pPr>
        <w:autoSpaceDE w:val="0"/>
        <w:autoSpaceDN w:val="0"/>
        <w:adjustRightInd w:val="0"/>
        <w:spacing w:after="0" w:line="240" w:lineRule="auto"/>
        <w:rPr>
          <w:rFonts w:cstheme="minorHAnsi"/>
          <w:b/>
          <w:sz w:val="24"/>
          <w:szCs w:val="24"/>
        </w:rPr>
      </w:pPr>
    </w:p>
    <w:p w14:paraId="74C7FE1D" w14:textId="26FEF7CA" w:rsidR="00482AB3" w:rsidRPr="00482AB3" w:rsidRDefault="00482AB3" w:rsidP="00482AB3">
      <w:pPr>
        <w:autoSpaceDE w:val="0"/>
        <w:autoSpaceDN w:val="0"/>
        <w:adjustRightInd w:val="0"/>
        <w:spacing w:after="0" w:line="240" w:lineRule="auto"/>
        <w:rPr>
          <w:rFonts w:cstheme="minorHAnsi"/>
          <w:b/>
          <w:sz w:val="24"/>
          <w:szCs w:val="24"/>
        </w:rPr>
      </w:pPr>
      <w:r w:rsidRPr="00482AB3">
        <w:rPr>
          <w:rFonts w:cstheme="minorHAnsi"/>
          <w:b/>
          <w:sz w:val="24"/>
          <w:szCs w:val="24"/>
        </w:rPr>
        <w:t>0275T Percutaneous laminotomy/laminectomy (interlaminar approach) for decompression of neural elements (with or without ligamentous resection, discectomy, facetectomy and/or foraminotomy), any method under indirect image guidance (eg, fluoroscopic, CT), single or multiple levels, unilateral or bilateral; lumbar</w:t>
      </w:r>
    </w:p>
    <w:p w14:paraId="376C9167" w14:textId="77777777" w:rsidR="00482AB3" w:rsidRPr="00482AB3" w:rsidRDefault="00482AB3" w:rsidP="00482AB3">
      <w:pPr>
        <w:autoSpaceDE w:val="0"/>
        <w:autoSpaceDN w:val="0"/>
        <w:adjustRightInd w:val="0"/>
        <w:spacing w:after="0" w:line="240" w:lineRule="auto"/>
        <w:rPr>
          <w:rFonts w:cstheme="minorHAnsi"/>
          <w:b/>
          <w:sz w:val="24"/>
          <w:szCs w:val="24"/>
        </w:rPr>
      </w:pPr>
    </w:p>
    <w:p w14:paraId="31504BBD" w14:textId="77777777" w:rsidR="007A314C" w:rsidRPr="003A7E4E" w:rsidRDefault="007A314C" w:rsidP="007A314C">
      <w:pPr>
        <w:autoSpaceDE w:val="0"/>
        <w:autoSpaceDN w:val="0"/>
        <w:adjustRightInd w:val="0"/>
        <w:spacing w:after="0" w:line="240" w:lineRule="auto"/>
        <w:rPr>
          <w:rFonts w:cstheme="minorHAnsi"/>
          <w:b/>
          <w:sz w:val="24"/>
          <w:szCs w:val="24"/>
        </w:rPr>
      </w:pPr>
      <w:r w:rsidRPr="003A7E4E">
        <w:rPr>
          <w:rFonts w:cstheme="minorHAnsi"/>
          <w:b/>
          <w:bCs/>
          <w:sz w:val="24"/>
          <w:szCs w:val="24"/>
        </w:rPr>
        <w:t xml:space="preserve">Last reviewed at VbBS in </w:t>
      </w:r>
      <w:r>
        <w:rPr>
          <w:rFonts w:cstheme="minorHAnsi"/>
          <w:b/>
          <w:bCs/>
          <w:sz w:val="24"/>
          <w:szCs w:val="24"/>
        </w:rPr>
        <w:t>September 2023</w:t>
      </w:r>
      <w:r w:rsidRPr="003A7E4E">
        <w:rPr>
          <w:rFonts w:cstheme="minorHAnsi"/>
          <w:b/>
          <w:bCs/>
          <w:sz w:val="24"/>
          <w:szCs w:val="24"/>
        </w:rPr>
        <w:t xml:space="preserve">. Minutes indicate </w:t>
      </w:r>
      <w:r>
        <w:rPr>
          <w:rFonts w:cstheme="minorHAnsi"/>
          <w:b/>
          <w:bCs/>
          <w:sz w:val="24"/>
          <w:szCs w:val="24"/>
        </w:rPr>
        <w:t xml:space="preserve">that the staff recommendation was accepted without significant discussion. HERC approved the recommendations without change. </w:t>
      </w:r>
    </w:p>
    <w:p w14:paraId="4C3EF4BD" w14:textId="263FDDC3" w:rsidR="007A314C" w:rsidRDefault="007A314C" w:rsidP="003A7E4E">
      <w:pPr>
        <w:autoSpaceDE w:val="0"/>
        <w:autoSpaceDN w:val="0"/>
        <w:adjustRightInd w:val="0"/>
        <w:spacing w:after="0" w:line="240" w:lineRule="auto"/>
        <w:rPr>
          <w:rFonts w:cstheme="minorHAnsi"/>
          <w:b/>
          <w:bCs/>
          <w:sz w:val="24"/>
          <w:szCs w:val="24"/>
        </w:rPr>
      </w:pPr>
    </w:p>
    <w:p w14:paraId="7EFAAEBF" w14:textId="77777777" w:rsidR="007A314C" w:rsidRPr="007A314C" w:rsidRDefault="007A314C" w:rsidP="007A314C">
      <w:pPr>
        <w:spacing w:after="0" w:line="240" w:lineRule="auto"/>
        <w:rPr>
          <w:rFonts w:ascii="Calibri" w:eastAsia="Calibri" w:hAnsi="Calibri" w:cs="Calibri"/>
          <w:sz w:val="24"/>
          <w:szCs w:val="24"/>
        </w:rPr>
      </w:pPr>
      <w:r w:rsidRPr="007A314C">
        <w:rPr>
          <w:rFonts w:ascii="Franklin Gothic Medium Cond" w:eastAsia="Times New Roman" w:hAnsi="Franklin Gothic Medium Cond" w:cs="Times New Roman"/>
          <w:color w:val="003F6F"/>
          <w:sz w:val="26"/>
          <w:szCs w:val="26"/>
        </w:rPr>
        <w:t>Submitted literature:</w:t>
      </w:r>
      <w:r w:rsidRPr="007A314C">
        <w:rPr>
          <w:rFonts w:ascii="Calibri" w:eastAsia="Calibri" w:hAnsi="Calibri" w:cs="Calibri"/>
        </w:rPr>
        <w:t xml:space="preserve"> </w:t>
      </w:r>
    </w:p>
    <w:p w14:paraId="720EDA02" w14:textId="77777777" w:rsidR="007A314C" w:rsidRPr="007A314C" w:rsidRDefault="007A314C" w:rsidP="007A314C">
      <w:pPr>
        <w:numPr>
          <w:ilvl w:val="0"/>
          <w:numId w:val="32"/>
        </w:numPr>
        <w:spacing w:after="0" w:line="240" w:lineRule="auto"/>
        <w:contextualSpacing/>
        <w:rPr>
          <w:rFonts w:ascii="Calibri" w:eastAsia="Calibri" w:hAnsi="Calibri" w:cs="Calibri"/>
        </w:rPr>
      </w:pPr>
      <w:r w:rsidRPr="007A314C">
        <w:rPr>
          <w:rFonts w:ascii="Calibri" w:eastAsia="Calibri" w:hAnsi="Calibri" w:cs="Calibri"/>
          <w:b/>
          <w:bCs/>
        </w:rPr>
        <w:t>Deer 2022</w:t>
      </w:r>
      <w:r w:rsidRPr="007A314C">
        <w:rPr>
          <w:rFonts w:ascii="Calibri" w:eastAsia="Calibri" w:hAnsi="Calibri" w:cs="Calibri"/>
        </w:rPr>
        <w:t xml:space="preserve">, the MOTION study </w:t>
      </w:r>
    </w:p>
    <w:p w14:paraId="3ECE6C0C" w14:textId="77777777" w:rsidR="007A314C" w:rsidRPr="007A314C" w:rsidRDefault="007A314C" w:rsidP="007A314C">
      <w:pPr>
        <w:numPr>
          <w:ilvl w:val="1"/>
          <w:numId w:val="32"/>
        </w:numPr>
        <w:spacing w:after="0" w:line="240" w:lineRule="auto"/>
        <w:contextualSpacing/>
        <w:rPr>
          <w:rFonts w:ascii="Calibri" w:eastAsia="Calibri" w:hAnsi="Calibri" w:cs="Calibri"/>
        </w:rPr>
      </w:pPr>
      <w:r w:rsidRPr="007A314C">
        <w:rPr>
          <w:rFonts w:ascii="Calibri" w:eastAsia="Calibri" w:hAnsi="Calibri" w:cs="Calibri"/>
        </w:rPr>
        <w:t>All authors received funding from Vertos</w:t>
      </w:r>
    </w:p>
    <w:p w14:paraId="1013E2CD" w14:textId="77777777" w:rsidR="007A314C" w:rsidRPr="007A314C" w:rsidRDefault="007A314C" w:rsidP="007A314C">
      <w:pPr>
        <w:numPr>
          <w:ilvl w:val="1"/>
          <w:numId w:val="32"/>
        </w:numPr>
        <w:spacing w:after="0" w:line="240" w:lineRule="auto"/>
        <w:contextualSpacing/>
        <w:rPr>
          <w:rFonts w:ascii="Calibri" w:eastAsia="Calibri" w:hAnsi="Calibri" w:cs="Calibri"/>
        </w:rPr>
      </w:pPr>
      <w:r w:rsidRPr="007A314C">
        <w:rPr>
          <w:rFonts w:ascii="Calibri" w:eastAsia="Calibri" w:hAnsi="Calibri" w:cs="Calibri"/>
        </w:rPr>
        <w:t>RCT of MILD + conventional medical management (CMM) vs CMM alone</w:t>
      </w:r>
    </w:p>
    <w:p w14:paraId="65F08F2A" w14:textId="77777777" w:rsidR="007A314C" w:rsidRPr="007A314C" w:rsidRDefault="007A314C" w:rsidP="007A314C">
      <w:pPr>
        <w:numPr>
          <w:ilvl w:val="1"/>
          <w:numId w:val="32"/>
        </w:numPr>
        <w:spacing w:after="0" w:line="240" w:lineRule="auto"/>
        <w:contextualSpacing/>
        <w:rPr>
          <w:rFonts w:ascii="Calibri" w:eastAsia="Calibri" w:hAnsi="Calibri" w:cs="Calibri"/>
        </w:rPr>
      </w:pPr>
      <w:r w:rsidRPr="007A314C">
        <w:rPr>
          <w:rFonts w:ascii="Calibri" w:eastAsia="Calibri" w:hAnsi="Calibri" w:cs="Calibri"/>
        </w:rPr>
        <w:t>N=69 patients with MILD + CMM, N=69 patients CMM alone</w:t>
      </w:r>
    </w:p>
    <w:p w14:paraId="58B11D0A" w14:textId="77777777" w:rsidR="007A314C" w:rsidRPr="007A314C" w:rsidRDefault="007A314C" w:rsidP="007A314C">
      <w:pPr>
        <w:numPr>
          <w:ilvl w:val="2"/>
          <w:numId w:val="32"/>
        </w:numPr>
        <w:spacing w:after="0" w:line="240" w:lineRule="auto"/>
        <w:contextualSpacing/>
        <w:rPr>
          <w:rFonts w:ascii="Calibri" w:eastAsia="Calibri" w:hAnsi="Calibri" w:cs="Calibri"/>
        </w:rPr>
      </w:pPr>
      <w:r w:rsidRPr="007A314C">
        <w:rPr>
          <w:rFonts w:ascii="Calibri" w:eastAsia="Calibri" w:hAnsi="Calibri" w:cs="Calibri"/>
        </w:rPr>
        <w:t>Reported that required sample size was 75 patients in each group to obtain adequate power</w:t>
      </w:r>
    </w:p>
    <w:p w14:paraId="1DB40039" w14:textId="77777777" w:rsidR="007A314C" w:rsidRPr="007A314C" w:rsidRDefault="007A314C" w:rsidP="007A314C">
      <w:pPr>
        <w:numPr>
          <w:ilvl w:val="1"/>
          <w:numId w:val="32"/>
        </w:numPr>
        <w:spacing w:after="0" w:line="240" w:lineRule="auto"/>
        <w:contextualSpacing/>
        <w:rPr>
          <w:rFonts w:ascii="Calibri" w:eastAsia="Calibri" w:hAnsi="Calibri" w:cs="Calibri"/>
        </w:rPr>
      </w:pPr>
      <w:r w:rsidRPr="007A314C">
        <w:rPr>
          <w:rFonts w:ascii="Calibri" w:eastAsia="Calibri" w:hAnsi="Calibri" w:cs="Calibri"/>
        </w:rPr>
        <w:t xml:space="preserve">The Walking Tolerance Test demonstrated that patients in the MILD + CMM group achieved a mean improvement of 258% in walking time to onset of severe symptoms, compared with a 64% mean improvement for patients in the CMM-Alone group. This difference between groups was statistically significant (P &lt;0.001) </w:t>
      </w:r>
    </w:p>
    <w:p w14:paraId="1D793A4A" w14:textId="77777777" w:rsidR="007A314C" w:rsidRPr="007A314C" w:rsidRDefault="007A314C" w:rsidP="007A314C">
      <w:pPr>
        <w:numPr>
          <w:ilvl w:val="1"/>
          <w:numId w:val="32"/>
        </w:numPr>
        <w:spacing w:after="0" w:line="240" w:lineRule="auto"/>
        <w:contextualSpacing/>
        <w:rPr>
          <w:rFonts w:ascii="Calibri" w:eastAsia="Calibri" w:hAnsi="Calibri" w:cs="Calibri"/>
        </w:rPr>
      </w:pPr>
      <w:r w:rsidRPr="007A314C">
        <w:rPr>
          <w:rFonts w:ascii="Calibri" w:eastAsia="Calibri" w:hAnsi="Calibri" w:cs="Calibri"/>
        </w:rPr>
        <w:t>At 1-year follow-up, 26.1% of CMM-Alone patients had undergone a subsequent lumbar spine intervention, compared with 5.8% of MILD + CMM patients (P &lt; 0.002)</w:t>
      </w:r>
    </w:p>
    <w:p w14:paraId="4EBDE978" w14:textId="77777777" w:rsidR="007A314C" w:rsidRPr="007A314C" w:rsidRDefault="007A314C" w:rsidP="007A314C">
      <w:pPr>
        <w:numPr>
          <w:ilvl w:val="1"/>
          <w:numId w:val="32"/>
        </w:numPr>
        <w:spacing w:after="0" w:line="240" w:lineRule="auto"/>
        <w:contextualSpacing/>
        <w:rPr>
          <w:rFonts w:ascii="Calibri" w:eastAsia="Calibri" w:hAnsi="Calibri" w:cs="Calibri"/>
        </w:rPr>
      </w:pPr>
      <w:r w:rsidRPr="007A314C">
        <w:rPr>
          <w:rFonts w:ascii="Calibri" w:eastAsia="Calibri" w:hAnsi="Calibri" w:cs="Calibri"/>
        </w:rPr>
        <w:t>There were no device- or procedure-related adverse events reported in either study group</w:t>
      </w:r>
    </w:p>
    <w:p w14:paraId="66B29076" w14:textId="77777777" w:rsidR="007A314C" w:rsidRPr="007A314C" w:rsidRDefault="007A314C" w:rsidP="007A314C">
      <w:pPr>
        <w:numPr>
          <w:ilvl w:val="1"/>
          <w:numId w:val="32"/>
        </w:numPr>
        <w:spacing w:after="0" w:line="240" w:lineRule="auto"/>
        <w:contextualSpacing/>
        <w:rPr>
          <w:rFonts w:ascii="Calibri" w:eastAsia="Calibri" w:hAnsi="Calibri" w:cs="Calibri"/>
        </w:rPr>
      </w:pPr>
      <w:r w:rsidRPr="007A314C">
        <w:rPr>
          <w:rFonts w:ascii="Calibri" w:eastAsia="Calibri" w:hAnsi="Calibri" w:cs="Calibri"/>
        </w:rPr>
        <w:t>At 1-year follow-up, patients in the MILD + CMM group experienced a 16.1-point composite ODI mean improvement, compared with a 2.0-point mean improvement for patients in the CMM-Alone arm. This difference was statistically significant and indicates superiority of MILD + CMM (P &lt; 0.001)</w:t>
      </w:r>
    </w:p>
    <w:p w14:paraId="6B5CDFF9" w14:textId="77777777" w:rsidR="007A314C" w:rsidRPr="007A314C" w:rsidRDefault="007A314C" w:rsidP="007A314C">
      <w:pPr>
        <w:spacing w:after="0" w:line="240" w:lineRule="auto"/>
        <w:rPr>
          <w:rFonts w:ascii="Calibri" w:eastAsia="Calibri" w:hAnsi="Calibri" w:cs="Calibri"/>
        </w:rPr>
      </w:pPr>
    </w:p>
    <w:p w14:paraId="65093CE1" w14:textId="77777777" w:rsidR="007A314C" w:rsidRPr="007A314C" w:rsidRDefault="007A314C" w:rsidP="007A314C">
      <w:pPr>
        <w:spacing w:after="0" w:line="240" w:lineRule="auto"/>
        <w:rPr>
          <w:rFonts w:ascii="Calibri" w:eastAsia="Calibri" w:hAnsi="Calibri" w:cs="Calibri"/>
        </w:rPr>
      </w:pPr>
    </w:p>
    <w:p w14:paraId="2E717375" w14:textId="77777777" w:rsidR="007A314C" w:rsidRPr="007A314C" w:rsidRDefault="007A314C" w:rsidP="007A314C">
      <w:pPr>
        <w:spacing w:after="0" w:line="240" w:lineRule="auto"/>
        <w:rPr>
          <w:rFonts w:ascii="Calibri" w:eastAsia="Calibri" w:hAnsi="Calibri" w:cs="Calibri"/>
        </w:rPr>
      </w:pPr>
    </w:p>
    <w:p w14:paraId="516722AC" w14:textId="77777777" w:rsidR="007A314C" w:rsidRPr="007A314C" w:rsidRDefault="007A314C" w:rsidP="007A314C">
      <w:pPr>
        <w:spacing w:after="0" w:line="240" w:lineRule="auto"/>
        <w:rPr>
          <w:rFonts w:ascii="Calibri" w:eastAsia="Calibri" w:hAnsi="Calibri" w:cs="Calibri"/>
          <w:sz w:val="24"/>
          <w:szCs w:val="24"/>
        </w:rPr>
      </w:pPr>
      <w:r w:rsidRPr="007A314C">
        <w:rPr>
          <w:rFonts w:ascii="Franklin Gothic Medium Cond" w:eastAsia="Times New Roman" w:hAnsi="Franklin Gothic Medium Cond" w:cs="Times New Roman"/>
          <w:color w:val="003F6F"/>
          <w:sz w:val="26"/>
          <w:szCs w:val="26"/>
        </w:rPr>
        <w:t>Expert guidelines:</w:t>
      </w:r>
      <w:r w:rsidRPr="007A314C">
        <w:rPr>
          <w:rFonts w:ascii="Calibri" w:eastAsia="Calibri" w:hAnsi="Calibri" w:cs="Calibri"/>
        </w:rPr>
        <w:t xml:space="preserve"> </w:t>
      </w:r>
    </w:p>
    <w:p w14:paraId="7CAA1226" w14:textId="77777777" w:rsidR="007A314C" w:rsidRPr="007A314C" w:rsidRDefault="007A314C" w:rsidP="007A314C">
      <w:pPr>
        <w:keepNext/>
        <w:keepLines/>
        <w:numPr>
          <w:ilvl w:val="0"/>
          <w:numId w:val="33"/>
        </w:numPr>
        <w:shd w:val="clear" w:color="auto" w:fill="FFFFFF"/>
        <w:spacing w:before="240" w:after="0" w:line="240" w:lineRule="auto"/>
        <w:outlineLvl w:val="0"/>
        <w:rPr>
          <w:rFonts w:ascii="Calibri" w:eastAsia="Times New Roman" w:hAnsi="Calibri" w:cs="Calibri"/>
        </w:rPr>
      </w:pPr>
      <w:r w:rsidRPr="007A314C">
        <w:rPr>
          <w:rFonts w:ascii="Calibri" w:eastAsia="Times New Roman" w:hAnsi="Calibri" w:cs="Calibri"/>
          <w:b/>
          <w:bCs/>
        </w:rPr>
        <w:t>Sayed 2022</w:t>
      </w:r>
      <w:r w:rsidRPr="007A314C">
        <w:rPr>
          <w:rFonts w:ascii="Calibri" w:eastAsia="Times New Roman" w:hAnsi="Calibri" w:cs="Calibri"/>
        </w:rPr>
        <w:t>, The American Society of Pain and Neuroscience (ASPN) Evidence-Based Clinical Guideline of Interventional Treatments for Low Back Pain</w:t>
      </w:r>
    </w:p>
    <w:p w14:paraId="23872AB3" w14:textId="77777777" w:rsidR="007A314C" w:rsidRPr="007A314C" w:rsidRDefault="007A314C" w:rsidP="007A314C">
      <w:pPr>
        <w:numPr>
          <w:ilvl w:val="1"/>
          <w:numId w:val="33"/>
        </w:numPr>
        <w:spacing w:after="0" w:line="240" w:lineRule="auto"/>
        <w:contextualSpacing/>
        <w:rPr>
          <w:rFonts w:ascii="Calibri" w:eastAsia="Calibri" w:hAnsi="Calibri" w:cs="Calibri"/>
        </w:rPr>
      </w:pPr>
      <w:r w:rsidRPr="007A314C">
        <w:rPr>
          <w:rFonts w:ascii="Calibri" w:eastAsia="Calibri" w:hAnsi="Calibri" w:cs="Calibri"/>
        </w:rPr>
        <w:t>Note: Dr. Sayed has received research funding from and holds minority equity in Vertos</w:t>
      </w:r>
    </w:p>
    <w:p w14:paraId="137DE847" w14:textId="77777777" w:rsidR="007A314C" w:rsidRPr="007A314C" w:rsidRDefault="007A314C" w:rsidP="007A314C">
      <w:pPr>
        <w:numPr>
          <w:ilvl w:val="1"/>
          <w:numId w:val="33"/>
        </w:numPr>
        <w:spacing w:after="0" w:line="240" w:lineRule="auto"/>
        <w:contextualSpacing/>
        <w:rPr>
          <w:rFonts w:ascii="Calibri" w:eastAsia="Calibri" w:hAnsi="Calibri" w:cs="Calibri"/>
        </w:rPr>
      </w:pPr>
      <w:r w:rsidRPr="007A314C">
        <w:rPr>
          <w:rFonts w:ascii="Calibri" w:eastAsia="Calibri" w:hAnsi="Calibri" w:cs="Calibri"/>
        </w:rPr>
        <w:t>Evidence review included the MIDAS I, MIDAS ENCORE, and MOTION RCTs</w:t>
      </w:r>
    </w:p>
    <w:p w14:paraId="604497B3" w14:textId="77777777" w:rsidR="007A314C" w:rsidRPr="007A314C" w:rsidRDefault="007A314C" w:rsidP="007A314C">
      <w:pPr>
        <w:numPr>
          <w:ilvl w:val="1"/>
          <w:numId w:val="33"/>
        </w:numPr>
        <w:spacing w:after="0" w:line="240" w:lineRule="auto"/>
        <w:contextualSpacing/>
        <w:rPr>
          <w:rFonts w:ascii="Calibri" w:eastAsia="Calibri" w:hAnsi="Calibri" w:cs="Calibri"/>
        </w:rPr>
      </w:pPr>
      <w:r w:rsidRPr="007A314C">
        <w:rPr>
          <w:rFonts w:ascii="Calibri" w:eastAsia="Calibri" w:hAnsi="Calibri" w:cs="Calibri"/>
        </w:rPr>
        <w:t>Recommendation: Percutaneous lumbar decompression for ligamentum flavum hypertrophy with the diagnosis of lumbar spinal stenosis [Grade A, level 1-A, level of certainty strong]</w:t>
      </w:r>
    </w:p>
    <w:p w14:paraId="427C98CD" w14:textId="77777777" w:rsidR="007A314C" w:rsidRPr="007A314C" w:rsidRDefault="007A314C" w:rsidP="007A314C">
      <w:pPr>
        <w:numPr>
          <w:ilvl w:val="0"/>
          <w:numId w:val="33"/>
        </w:numPr>
        <w:spacing w:after="0" w:line="240" w:lineRule="auto"/>
        <w:contextualSpacing/>
        <w:rPr>
          <w:rFonts w:ascii="Calibri" w:eastAsia="Calibri" w:hAnsi="Calibri" w:cs="Calibri"/>
        </w:rPr>
      </w:pPr>
      <w:r w:rsidRPr="007A314C">
        <w:rPr>
          <w:rFonts w:ascii="Calibri" w:eastAsia="Calibri" w:hAnsi="Calibri" w:cs="Calibri"/>
          <w:b/>
          <w:bCs/>
        </w:rPr>
        <w:lastRenderedPageBreak/>
        <w:t>Deer 2022</w:t>
      </w:r>
      <w:r w:rsidRPr="007A314C">
        <w:rPr>
          <w:rFonts w:ascii="Calibri" w:eastAsia="Calibri" w:hAnsi="Calibri" w:cs="Calibri"/>
        </w:rPr>
        <w:t>, Best Practices for Minimally Invasive Lumbar Spinal Stenosis Treatment 2.0 (MIST): Consensus Guidance from the American Society of Pain and Neuroscience (ASPN)</w:t>
      </w:r>
    </w:p>
    <w:p w14:paraId="40FEC418" w14:textId="77777777" w:rsidR="007A314C" w:rsidRPr="007A314C" w:rsidRDefault="007A314C" w:rsidP="007A314C">
      <w:pPr>
        <w:numPr>
          <w:ilvl w:val="1"/>
          <w:numId w:val="33"/>
        </w:numPr>
        <w:spacing w:after="0" w:line="240" w:lineRule="auto"/>
        <w:contextualSpacing/>
        <w:rPr>
          <w:rFonts w:ascii="Calibri" w:eastAsia="Calibri" w:hAnsi="Calibri" w:cs="Calibri"/>
        </w:rPr>
      </w:pPr>
      <w:r w:rsidRPr="007A314C">
        <w:rPr>
          <w:rFonts w:ascii="Calibri" w:eastAsia="Calibri" w:hAnsi="Calibri" w:cs="Calibri"/>
        </w:rPr>
        <w:t>Consensus Point 6: PILD should be considered for the treatment of mild-to-moderate lumbar spinal stenosis in the presence of NC, with less than or equal to a grade 2 spondylolisthesis, and with a contribution of spinal narrowing with at least 2.5 mm of lumbar facet hypertrophy. Grade A; Level of certainty high; Level of evidence 1-A</w:t>
      </w:r>
    </w:p>
    <w:p w14:paraId="08B59B79" w14:textId="77777777" w:rsidR="007A314C" w:rsidRPr="007A314C" w:rsidRDefault="007A314C" w:rsidP="007A314C">
      <w:pPr>
        <w:spacing w:after="0" w:line="240" w:lineRule="auto"/>
        <w:rPr>
          <w:rFonts w:ascii="Calibri" w:eastAsia="Calibri" w:hAnsi="Calibri" w:cs="Calibri"/>
        </w:rPr>
      </w:pPr>
    </w:p>
    <w:p w14:paraId="3A1A20C3" w14:textId="77777777" w:rsidR="007A314C" w:rsidRPr="007A314C" w:rsidRDefault="007A314C" w:rsidP="007A314C">
      <w:pPr>
        <w:spacing w:after="0" w:line="240" w:lineRule="auto"/>
        <w:rPr>
          <w:rFonts w:ascii="Calibri" w:eastAsia="Calibri" w:hAnsi="Calibri" w:cs="Calibri"/>
        </w:rPr>
      </w:pPr>
    </w:p>
    <w:p w14:paraId="1767AE56" w14:textId="77777777" w:rsidR="007A314C" w:rsidRPr="007A314C" w:rsidRDefault="007A314C" w:rsidP="007A314C">
      <w:pPr>
        <w:spacing w:after="0" w:line="240" w:lineRule="auto"/>
        <w:rPr>
          <w:rFonts w:ascii="Calibri" w:eastAsia="Calibri" w:hAnsi="Calibri" w:cs="Calibri"/>
        </w:rPr>
      </w:pPr>
    </w:p>
    <w:p w14:paraId="7F97D661" w14:textId="77777777" w:rsidR="007A314C" w:rsidRPr="007A314C" w:rsidRDefault="007A314C" w:rsidP="007A314C">
      <w:pPr>
        <w:spacing w:after="0" w:line="240" w:lineRule="auto"/>
        <w:rPr>
          <w:rFonts w:ascii="Calibri" w:eastAsia="Calibri" w:hAnsi="Calibri" w:cs="Calibri"/>
          <w:sz w:val="24"/>
          <w:szCs w:val="24"/>
        </w:rPr>
      </w:pPr>
      <w:r w:rsidRPr="007A314C">
        <w:rPr>
          <w:rFonts w:ascii="Franklin Gothic Medium Cond" w:eastAsia="Times New Roman" w:hAnsi="Franklin Gothic Medium Cond" w:cs="Times New Roman"/>
          <w:color w:val="003F6F"/>
          <w:sz w:val="26"/>
          <w:szCs w:val="26"/>
        </w:rPr>
        <w:t>Other payer policies:</w:t>
      </w:r>
      <w:r w:rsidRPr="007A314C">
        <w:rPr>
          <w:rFonts w:ascii="Calibri" w:eastAsia="Calibri" w:hAnsi="Calibri" w:cs="Calibri"/>
        </w:rPr>
        <w:t xml:space="preserve"> </w:t>
      </w:r>
    </w:p>
    <w:p w14:paraId="7F084FD4" w14:textId="77777777" w:rsidR="007A314C" w:rsidRPr="007A314C" w:rsidRDefault="007A314C" w:rsidP="007A314C">
      <w:pPr>
        <w:numPr>
          <w:ilvl w:val="0"/>
          <w:numId w:val="28"/>
        </w:numPr>
        <w:spacing w:after="0" w:line="240" w:lineRule="auto"/>
        <w:outlineLvl w:val="0"/>
        <w:rPr>
          <w:rFonts w:ascii="Calibri" w:eastAsia="Calibri" w:hAnsi="Calibri" w:cs="Calibri"/>
          <w:b/>
          <w:bCs/>
        </w:rPr>
      </w:pPr>
      <w:r w:rsidRPr="007A314C">
        <w:rPr>
          <w:rFonts w:ascii="Calibri" w:eastAsia="Calibri" w:hAnsi="Calibri" w:cs="Calibri"/>
          <w:b/>
          <w:bCs/>
        </w:rPr>
        <w:t xml:space="preserve">CMS 2016: </w:t>
      </w:r>
      <w:r w:rsidRPr="007A314C">
        <w:rPr>
          <w:rFonts w:ascii="Calibri" w:eastAsia="Calibri" w:hAnsi="Calibri" w:cs="Calibri"/>
        </w:rPr>
        <w:t>covers only with evidence development</w:t>
      </w:r>
    </w:p>
    <w:p w14:paraId="7CEB7D4F" w14:textId="77777777" w:rsidR="007A314C" w:rsidRPr="007A314C" w:rsidRDefault="007A314C" w:rsidP="007A314C">
      <w:pPr>
        <w:numPr>
          <w:ilvl w:val="0"/>
          <w:numId w:val="28"/>
        </w:numPr>
        <w:spacing w:after="0" w:line="240" w:lineRule="auto"/>
        <w:outlineLvl w:val="0"/>
        <w:rPr>
          <w:rFonts w:ascii="Calibri" w:eastAsia="Calibri" w:hAnsi="Calibri" w:cs="Calibri"/>
          <w:b/>
          <w:bCs/>
        </w:rPr>
      </w:pPr>
      <w:r w:rsidRPr="007A314C">
        <w:rPr>
          <w:rFonts w:ascii="Calibri" w:eastAsia="Calibri" w:hAnsi="Calibri" w:cs="Calibri"/>
          <w:b/>
          <w:bCs/>
        </w:rPr>
        <w:t>Aetna 2023:</w:t>
      </w:r>
      <w:r w:rsidRPr="007A314C">
        <w:rPr>
          <w:rFonts w:ascii="Calibri" w:eastAsia="Calibri" w:hAnsi="Calibri" w:cs="Calibri"/>
        </w:rPr>
        <w:t xml:space="preserve"> considers MILD to be experimental</w:t>
      </w:r>
    </w:p>
    <w:p w14:paraId="7133454B" w14:textId="77777777" w:rsidR="007A314C" w:rsidRPr="007A314C" w:rsidRDefault="007A314C" w:rsidP="007A314C">
      <w:pPr>
        <w:numPr>
          <w:ilvl w:val="0"/>
          <w:numId w:val="28"/>
        </w:numPr>
        <w:spacing w:after="0" w:line="240" w:lineRule="auto"/>
        <w:outlineLvl w:val="0"/>
        <w:rPr>
          <w:rFonts w:ascii="Calibri" w:eastAsia="Calibri" w:hAnsi="Calibri" w:cs="Calibri"/>
          <w:b/>
          <w:bCs/>
        </w:rPr>
      </w:pPr>
      <w:r w:rsidRPr="007A314C">
        <w:rPr>
          <w:rFonts w:ascii="Calibri" w:eastAsia="Calibri" w:hAnsi="Calibri" w:cs="Calibri"/>
          <w:b/>
          <w:bCs/>
        </w:rPr>
        <w:t>Cigna 2023:</w:t>
      </w:r>
      <w:r w:rsidRPr="007A314C">
        <w:rPr>
          <w:rFonts w:ascii="Calibri" w:eastAsia="Calibri" w:hAnsi="Calibri" w:cs="Calibri"/>
        </w:rPr>
        <w:t xml:space="preserve"> considers MILD to be experimental</w:t>
      </w:r>
    </w:p>
    <w:p w14:paraId="56F6495A" w14:textId="77777777" w:rsidR="007A314C" w:rsidRPr="007A314C" w:rsidRDefault="007A314C" w:rsidP="007A314C">
      <w:pPr>
        <w:spacing w:after="0" w:line="240" w:lineRule="auto"/>
        <w:rPr>
          <w:rFonts w:ascii="Calibri" w:eastAsia="Calibri" w:hAnsi="Calibri" w:cs="Calibri"/>
        </w:rPr>
      </w:pPr>
    </w:p>
    <w:p w14:paraId="496DBAC5" w14:textId="77777777" w:rsidR="007A314C" w:rsidRPr="007A314C" w:rsidRDefault="007A314C" w:rsidP="007A314C">
      <w:pPr>
        <w:spacing w:after="0" w:line="240" w:lineRule="auto"/>
        <w:rPr>
          <w:rFonts w:ascii="Calibri" w:eastAsia="Calibri" w:hAnsi="Calibri" w:cs="Calibri"/>
          <w:sz w:val="24"/>
          <w:szCs w:val="24"/>
        </w:rPr>
      </w:pPr>
      <w:r w:rsidRPr="007A314C">
        <w:rPr>
          <w:rFonts w:ascii="Franklin Gothic Medium Cond" w:eastAsia="Times New Roman" w:hAnsi="Franklin Gothic Medium Cond" w:cs="Times New Roman"/>
          <w:color w:val="003F6F"/>
          <w:sz w:val="26"/>
          <w:szCs w:val="26"/>
        </w:rPr>
        <w:t>HERC staff summary:</w:t>
      </w:r>
      <w:r w:rsidRPr="007A314C">
        <w:rPr>
          <w:rFonts w:ascii="Calibri" w:eastAsia="Calibri" w:hAnsi="Calibri" w:cs="Calibri"/>
        </w:rPr>
        <w:t xml:space="preserve"> </w:t>
      </w:r>
    </w:p>
    <w:p w14:paraId="11A2FB13" w14:textId="77777777" w:rsidR="007A314C" w:rsidRPr="007A314C" w:rsidRDefault="007A314C" w:rsidP="007A314C">
      <w:pPr>
        <w:spacing w:after="0" w:line="240" w:lineRule="auto"/>
        <w:rPr>
          <w:rFonts w:ascii="Calibri" w:eastAsia="Calibri" w:hAnsi="Calibri" w:cs="Calibri"/>
        </w:rPr>
      </w:pPr>
      <w:r w:rsidRPr="007A314C">
        <w:rPr>
          <w:rFonts w:ascii="Calibri" w:eastAsia="Calibri" w:hAnsi="Calibri" w:cs="Calibri"/>
        </w:rPr>
        <w:t>The additional study provided by Vertos was a small study that was underpowered and had risk of bias due to conflicts of interest. Adequately powered independent confirmatory studies are needed. Private insurers continue to consider this procedure experimental. There remains insufficient evidence in the medical literature to demonstrate the safety and efficacy of percutaneous laminotomy/laminectomy approaches, including the MILD procedure.</w:t>
      </w:r>
    </w:p>
    <w:p w14:paraId="3486C3C5" w14:textId="77777777" w:rsidR="007A314C" w:rsidRPr="007A314C" w:rsidRDefault="007A314C" w:rsidP="007A314C">
      <w:pPr>
        <w:spacing w:after="0" w:line="240" w:lineRule="auto"/>
        <w:rPr>
          <w:rFonts w:ascii="Calibri" w:eastAsia="Calibri" w:hAnsi="Calibri" w:cs="Calibri"/>
        </w:rPr>
      </w:pPr>
    </w:p>
    <w:p w14:paraId="31113B6D" w14:textId="77777777" w:rsidR="007A314C" w:rsidRPr="007A314C" w:rsidRDefault="007A314C" w:rsidP="007A314C">
      <w:pPr>
        <w:spacing w:after="0" w:line="240" w:lineRule="auto"/>
        <w:rPr>
          <w:rFonts w:ascii="Calibri" w:eastAsia="Calibri" w:hAnsi="Calibri" w:cs="Calibri"/>
        </w:rPr>
      </w:pPr>
    </w:p>
    <w:p w14:paraId="7D219CC9" w14:textId="77777777" w:rsidR="007A314C" w:rsidRPr="007A314C" w:rsidRDefault="007A314C" w:rsidP="007A314C">
      <w:pPr>
        <w:spacing w:after="0" w:line="240" w:lineRule="auto"/>
        <w:rPr>
          <w:rFonts w:ascii="Calibri" w:eastAsia="Calibri" w:hAnsi="Calibri" w:cs="Calibri"/>
        </w:rPr>
      </w:pPr>
      <w:r w:rsidRPr="007A314C">
        <w:rPr>
          <w:rFonts w:ascii="Franklin Gothic Medium Cond" w:eastAsia="Times New Roman" w:hAnsi="Franklin Gothic Medium Cond" w:cs="Times New Roman"/>
          <w:color w:val="003F6F"/>
          <w:sz w:val="26"/>
          <w:szCs w:val="26"/>
        </w:rPr>
        <w:t>HERC staff recommendation:</w:t>
      </w:r>
      <w:r w:rsidRPr="007A314C">
        <w:rPr>
          <w:rFonts w:ascii="Calibri" w:eastAsia="Calibri" w:hAnsi="Calibri" w:cs="Calibri"/>
        </w:rPr>
        <w:t xml:space="preserve"> </w:t>
      </w:r>
    </w:p>
    <w:p w14:paraId="0D88C335" w14:textId="77777777" w:rsidR="007A314C" w:rsidRPr="007A314C" w:rsidRDefault="007A314C" w:rsidP="007A314C">
      <w:pPr>
        <w:numPr>
          <w:ilvl w:val="0"/>
          <w:numId w:val="30"/>
        </w:numPr>
        <w:spacing w:after="0" w:line="240" w:lineRule="auto"/>
        <w:outlineLvl w:val="0"/>
        <w:rPr>
          <w:rFonts w:ascii="Calibri" w:eastAsia="Calibri" w:hAnsi="Calibri" w:cs="Calibri"/>
        </w:rPr>
      </w:pPr>
      <w:r w:rsidRPr="007A314C">
        <w:rPr>
          <w:rFonts w:ascii="Calibri" w:eastAsia="Calibri" w:hAnsi="Calibri" w:cs="Calibri"/>
        </w:rPr>
        <w:t>Update the date of last review for minimally invasive lumbar decompression to line 662/GN173 as shown below</w:t>
      </w:r>
    </w:p>
    <w:p w14:paraId="52B58937" w14:textId="13843051" w:rsidR="007A314C" w:rsidRPr="007A314C" w:rsidRDefault="008B4075" w:rsidP="007A314C">
      <w:pPr>
        <w:keepNext/>
        <w:keepLines/>
        <w:spacing w:before="240" w:after="0" w:line="240" w:lineRule="auto"/>
        <w:outlineLvl w:val="0"/>
        <w:rPr>
          <w:rFonts w:ascii="Calibri" w:eastAsia="Times New Roman" w:hAnsi="Calibri" w:cs="Calibri"/>
          <w:color w:val="003F6F"/>
        </w:rPr>
      </w:pPr>
      <w:bookmarkStart w:id="0" w:name="_Hlk144305543"/>
      <w:r>
        <w:rPr>
          <w:rFonts w:ascii="Calibri" w:eastAsia="Times New Roman" w:hAnsi="Calibri" w:cs="Calibri"/>
          <w:color w:val="003F6F"/>
        </w:rPr>
        <w:t>EXCLUDED SERVICES GUIDELINE 2</w:t>
      </w:r>
      <w:r w:rsidR="007A314C" w:rsidRPr="007A314C">
        <w:rPr>
          <w:rFonts w:ascii="Calibri" w:eastAsia="Times New Roman" w:hAnsi="Calibri" w:cs="Calibri"/>
          <w:color w:val="003F6F"/>
        </w:rPr>
        <w:t>, INTERVENTIONS THAT ARE UNPROVEN, HAVE NO CLINICALLY IMPORTANT BENEFIT OR HAVE HARMS THAT OUTWEIGH BENEFITS FOR CERTAIN CONDITIONS</w:t>
      </w:r>
    </w:p>
    <w:p w14:paraId="195DEF54" w14:textId="77777777" w:rsidR="007A314C" w:rsidRPr="007A314C" w:rsidRDefault="007A314C" w:rsidP="007A314C">
      <w:pPr>
        <w:keepNext/>
        <w:keepLines/>
        <w:suppressAutoHyphens/>
        <w:spacing w:after="0" w:line="240" w:lineRule="auto"/>
        <w:ind w:left="360"/>
        <w:rPr>
          <w:rFonts w:ascii="Calibri" w:eastAsia="Times New Roman" w:hAnsi="Calibri" w:cs="Calibri"/>
          <w:bCs/>
          <w:i/>
        </w:rPr>
      </w:pPr>
      <w:r w:rsidRPr="007A314C">
        <w:rPr>
          <w:rFonts w:ascii="Calibri" w:eastAsia="Times New Roman" w:hAnsi="Calibri" w:cs="Calibri"/>
          <w:bCs/>
          <w:i/>
        </w:rPr>
        <w:t>Line 662</w:t>
      </w:r>
    </w:p>
    <w:p w14:paraId="43B33604" w14:textId="77777777" w:rsidR="007A314C" w:rsidRPr="007A314C" w:rsidRDefault="007A314C" w:rsidP="007A314C">
      <w:pPr>
        <w:suppressAutoHyphens/>
        <w:spacing w:after="0" w:line="240" w:lineRule="auto"/>
        <w:rPr>
          <w:rFonts w:ascii="Calibri" w:eastAsia="Times New Roman" w:hAnsi="Calibri" w:cs="Calibri"/>
        </w:rPr>
      </w:pPr>
      <w:r w:rsidRPr="007A314C">
        <w:rPr>
          <w:rFonts w:ascii="Calibri" w:eastAsia="Times New Roman" w:hAnsi="Calibri" w:cs="Calibri"/>
        </w:rPr>
        <w:t>The following Interventions are prioritized on Line 662 CONDITIONS FOR WHICH CERTAIN INTERVENTIONS ARE UNPROVEN, HAVE NO CLINICALLY IMPORTANT BENEFIT OR HAVE HARMS THAT OUTWEIGH BENEFITS:</w:t>
      </w:r>
    </w:p>
    <w:p w14:paraId="4D2C22C0" w14:textId="77777777" w:rsidR="007A314C" w:rsidRPr="007A314C" w:rsidRDefault="007A314C" w:rsidP="007A314C">
      <w:pPr>
        <w:spacing w:after="0" w:line="240" w:lineRule="auto"/>
        <w:rPr>
          <w:rFonts w:ascii="Calibri" w:eastAsia="Times New Roman" w:hAnsi="Calibri" w:cs="Calibri"/>
        </w:rPr>
      </w:pPr>
    </w:p>
    <w:tbl>
      <w:tblPr>
        <w:tblStyle w:val="TableGrid"/>
        <w:tblW w:w="9445" w:type="dxa"/>
        <w:tblLook w:val="04A0" w:firstRow="1" w:lastRow="0" w:firstColumn="1" w:lastColumn="0" w:noHBand="0" w:noVBand="1"/>
      </w:tblPr>
      <w:tblGrid>
        <w:gridCol w:w="1551"/>
        <w:gridCol w:w="3323"/>
        <w:gridCol w:w="2956"/>
        <w:gridCol w:w="1615"/>
      </w:tblGrid>
      <w:tr w:rsidR="007A314C" w:rsidRPr="007A314C" w14:paraId="5CE7F0A3" w14:textId="77777777" w:rsidTr="007A314C">
        <w:trPr>
          <w:cantSplit/>
          <w:trHeight w:val="197"/>
          <w:tblHeader/>
        </w:trPr>
        <w:tc>
          <w:tcPr>
            <w:tcW w:w="1551" w:type="dxa"/>
            <w:shd w:val="clear" w:color="auto" w:fill="D9D9D9"/>
            <w:hideMark/>
          </w:tcPr>
          <w:p w14:paraId="313DFDC9" w14:textId="77777777" w:rsidR="007A314C" w:rsidRPr="007A314C" w:rsidRDefault="007A314C" w:rsidP="007A314C">
            <w:pPr>
              <w:spacing w:after="0" w:line="240" w:lineRule="auto"/>
              <w:rPr>
                <w:rFonts w:ascii="Calibri" w:eastAsia="Calibri" w:hAnsi="Calibri" w:cs="Calibri"/>
                <w:b/>
              </w:rPr>
            </w:pPr>
            <w:r w:rsidRPr="007A314C">
              <w:rPr>
                <w:rFonts w:ascii="Calibri" w:eastAsia="Calibri" w:hAnsi="Calibri" w:cs="Calibri"/>
                <w:b/>
              </w:rPr>
              <w:lastRenderedPageBreak/>
              <w:t>Procedure Code</w:t>
            </w:r>
          </w:p>
        </w:tc>
        <w:tc>
          <w:tcPr>
            <w:tcW w:w="3323" w:type="dxa"/>
            <w:shd w:val="clear" w:color="auto" w:fill="D9D9D9"/>
            <w:hideMark/>
          </w:tcPr>
          <w:p w14:paraId="323DE049" w14:textId="77777777" w:rsidR="007A314C" w:rsidRPr="007A314C" w:rsidRDefault="007A314C" w:rsidP="007A314C">
            <w:pPr>
              <w:spacing w:after="0" w:line="240" w:lineRule="auto"/>
              <w:rPr>
                <w:rFonts w:ascii="Calibri" w:eastAsia="Calibri" w:hAnsi="Calibri" w:cs="Calibri"/>
                <w:b/>
              </w:rPr>
            </w:pPr>
            <w:r w:rsidRPr="007A314C">
              <w:rPr>
                <w:rFonts w:ascii="Calibri" w:eastAsia="Calibri" w:hAnsi="Calibri" w:cs="Calibri"/>
                <w:b/>
              </w:rPr>
              <w:t>Intervention Description</w:t>
            </w:r>
          </w:p>
        </w:tc>
        <w:tc>
          <w:tcPr>
            <w:tcW w:w="2956" w:type="dxa"/>
            <w:shd w:val="clear" w:color="auto" w:fill="D9D9D9"/>
            <w:hideMark/>
          </w:tcPr>
          <w:p w14:paraId="0AD22950" w14:textId="77777777" w:rsidR="007A314C" w:rsidRPr="007A314C" w:rsidRDefault="007A314C" w:rsidP="007A314C">
            <w:pPr>
              <w:spacing w:after="0" w:line="240" w:lineRule="auto"/>
              <w:rPr>
                <w:rFonts w:ascii="Calibri" w:eastAsia="Calibri" w:hAnsi="Calibri" w:cs="Calibri"/>
                <w:b/>
              </w:rPr>
            </w:pPr>
            <w:r w:rsidRPr="007A314C">
              <w:rPr>
                <w:rFonts w:ascii="Calibri" w:eastAsia="Calibri" w:hAnsi="Calibri" w:cs="Calibri"/>
                <w:b/>
              </w:rPr>
              <w:t>Rationale</w:t>
            </w:r>
          </w:p>
        </w:tc>
        <w:tc>
          <w:tcPr>
            <w:tcW w:w="1615" w:type="dxa"/>
            <w:shd w:val="clear" w:color="auto" w:fill="D9D9D9"/>
            <w:hideMark/>
          </w:tcPr>
          <w:p w14:paraId="3B879EE8" w14:textId="77777777" w:rsidR="007A314C" w:rsidRPr="007A314C" w:rsidRDefault="007A314C" w:rsidP="007A314C">
            <w:pPr>
              <w:spacing w:after="0" w:line="240" w:lineRule="auto"/>
              <w:rPr>
                <w:rFonts w:ascii="Calibri" w:eastAsia="Calibri" w:hAnsi="Calibri" w:cs="Calibri"/>
                <w:b/>
              </w:rPr>
            </w:pPr>
            <w:r w:rsidRPr="007A314C">
              <w:rPr>
                <w:rFonts w:ascii="Calibri" w:eastAsia="Calibri" w:hAnsi="Calibri" w:cs="Calibri"/>
                <w:b/>
              </w:rPr>
              <w:t>Last Review</w:t>
            </w:r>
          </w:p>
        </w:tc>
      </w:tr>
      <w:tr w:rsidR="007A314C" w:rsidRPr="007A314C" w14:paraId="3676F0B0" w14:textId="77777777" w:rsidTr="00B67D97">
        <w:trPr>
          <w:cantSplit/>
        </w:trPr>
        <w:tc>
          <w:tcPr>
            <w:tcW w:w="1551" w:type="dxa"/>
            <w:hideMark/>
          </w:tcPr>
          <w:p w14:paraId="49078C8F" w14:textId="77777777" w:rsidR="007A314C" w:rsidRPr="007A314C" w:rsidRDefault="007A314C" w:rsidP="007A314C">
            <w:pPr>
              <w:spacing w:after="0" w:line="240" w:lineRule="auto"/>
              <w:rPr>
                <w:rFonts w:ascii="Calibri" w:eastAsia="Calibri" w:hAnsi="Calibri" w:cs="Calibri"/>
              </w:rPr>
            </w:pPr>
            <w:r w:rsidRPr="007A314C">
              <w:rPr>
                <w:rFonts w:ascii="Calibri" w:eastAsia="Calibri" w:hAnsi="Calibri" w:cs="Calibri"/>
              </w:rPr>
              <w:t>0275T</w:t>
            </w:r>
          </w:p>
          <w:p w14:paraId="41A820A4" w14:textId="77777777" w:rsidR="007A314C" w:rsidRPr="007A314C" w:rsidRDefault="007A314C" w:rsidP="007A314C">
            <w:pPr>
              <w:spacing w:after="0" w:line="240" w:lineRule="auto"/>
              <w:rPr>
                <w:rFonts w:ascii="Calibri" w:eastAsia="Calibri" w:hAnsi="Calibri" w:cs="Calibri"/>
              </w:rPr>
            </w:pPr>
          </w:p>
          <w:p w14:paraId="69F9137C" w14:textId="77777777" w:rsidR="007A314C" w:rsidRPr="007A314C" w:rsidRDefault="007A314C" w:rsidP="007A314C">
            <w:pPr>
              <w:spacing w:after="0" w:line="240" w:lineRule="auto"/>
              <w:rPr>
                <w:rFonts w:ascii="Calibri" w:eastAsia="Calibri" w:hAnsi="Calibri" w:cs="Calibri"/>
              </w:rPr>
            </w:pPr>
          </w:p>
          <w:p w14:paraId="136D6912" w14:textId="77777777" w:rsidR="007A314C" w:rsidRPr="007A314C" w:rsidRDefault="007A314C" w:rsidP="007A314C">
            <w:pPr>
              <w:spacing w:after="0" w:line="240" w:lineRule="auto"/>
              <w:rPr>
                <w:rFonts w:ascii="Calibri" w:eastAsia="Calibri" w:hAnsi="Calibri" w:cs="Calibri"/>
              </w:rPr>
            </w:pPr>
          </w:p>
          <w:p w14:paraId="67649607" w14:textId="77777777" w:rsidR="007A314C" w:rsidRPr="007A314C" w:rsidRDefault="007A314C" w:rsidP="007A314C">
            <w:pPr>
              <w:spacing w:after="0" w:line="240" w:lineRule="auto"/>
              <w:rPr>
                <w:rFonts w:ascii="Calibri" w:eastAsia="Calibri" w:hAnsi="Calibri" w:cs="Calibri"/>
              </w:rPr>
            </w:pPr>
          </w:p>
          <w:p w14:paraId="18DC771E" w14:textId="77777777" w:rsidR="007A314C" w:rsidRPr="007A314C" w:rsidRDefault="007A314C" w:rsidP="007A314C">
            <w:pPr>
              <w:spacing w:after="0" w:line="240" w:lineRule="auto"/>
              <w:rPr>
                <w:rFonts w:ascii="Calibri" w:eastAsia="Calibri" w:hAnsi="Calibri" w:cs="Calibri"/>
              </w:rPr>
            </w:pPr>
          </w:p>
          <w:p w14:paraId="5CD274F1" w14:textId="77777777" w:rsidR="007A314C" w:rsidRPr="007A314C" w:rsidRDefault="007A314C" w:rsidP="007A314C">
            <w:pPr>
              <w:spacing w:after="0" w:line="240" w:lineRule="auto"/>
              <w:rPr>
                <w:rFonts w:ascii="Calibri" w:eastAsia="Calibri" w:hAnsi="Calibri" w:cs="Calibri"/>
              </w:rPr>
            </w:pPr>
          </w:p>
          <w:p w14:paraId="10DD207D" w14:textId="77777777" w:rsidR="007A314C" w:rsidRPr="007A314C" w:rsidRDefault="007A314C" w:rsidP="007A314C">
            <w:pPr>
              <w:spacing w:after="0" w:line="240" w:lineRule="auto"/>
              <w:rPr>
                <w:rFonts w:ascii="Calibri" w:eastAsia="Calibri" w:hAnsi="Calibri" w:cs="Calibri"/>
              </w:rPr>
            </w:pPr>
          </w:p>
          <w:p w14:paraId="0E341436" w14:textId="77777777" w:rsidR="007A314C" w:rsidRPr="007A314C" w:rsidRDefault="007A314C" w:rsidP="007A314C">
            <w:pPr>
              <w:spacing w:after="0" w:line="240" w:lineRule="auto"/>
              <w:rPr>
                <w:rFonts w:ascii="Calibri" w:eastAsia="Calibri" w:hAnsi="Calibri" w:cs="Calibri"/>
              </w:rPr>
            </w:pPr>
          </w:p>
          <w:p w14:paraId="7EF802F3" w14:textId="77777777" w:rsidR="007A314C" w:rsidRPr="007A314C" w:rsidRDefault="007A314C" w:rsidP="007A314C">
            <w:pPr>
              <w:spacing w:after="0" w:line="240" w:lineRule="auto"/>
              <w:rPr>
                <w:rFonts w:ascii="Calibri" w:eastAsia="Calibri" w:hAnsi="Calibri" w:cs="Calibri"/>
              </w:rPr>
            </w:pPr>
          </w:p>
          <w:p w14:paraId="0B963258" w14:textId="77777777" w:rsidR="007A314C" w:rsidRPr="007A314C" w:rsidRDefault="007A314C" w:rsidP="007A314C">
            <w:pPr>
              <w:spacing w:after="0" w:line="240" w:lineRule="auto"/>
              <w:rPr>
                <w:rFonts w:ascii="Calibri" w:eastAsia="Calibri" w:hAnsi="Calibri" w:cs="Calibri"/>
              </w:rPr>
            </w:pPr>
          </w:p>
          <w:p w14:paraId="1C161C6F" w14:textId="77777777" w:rsidR="007A314C" w:rsidRPr="007A314C" w:rsidRDefault="007A314C" w:rsidP="007A314C">
            <w:pPr>
              <w:spacing w:after="0" w:line="240" w:lineRule="auto"/>
              <w:rPr>
                <w:rFonts w:ascii="Calibri" w:eastAsia="Calibri" w:hAnsi="Calibri" w:cs="Calibri"/>
              </w:rPr>
            </w:pPr>
          </w:p>
          <w:p w14:paraId="174D8639" w14:textId="77777777" w:rsidR="007A314C" w:rsidRPr="007A314C" w:rsidRDefault="007A314C" w:rsidP="007A314C">
            <w:pPr>
              <w:spacing w:after="0" w:line="240" w:lineRule="auto"/>
              <w:rPr>
                <w:rFonts w:ascii="Calibri" w:eastAsia="Calibri" w:hAnsi="Calibri" w:cs="Calibri"/>
              </w:rPr>
            </w:pPr>
            <w:r w:rsidRPr="007A314C">
              <w:rPr>
                <w:rFonts w:ascii="Calibri" w:eastAsia="Calibri" w:hAnsi="Calibri" w:cs="Calibri"/>
              </w:rPr>
              <w:t>G0276</w:t>
            </w:r>
          </w:p>
        </w:tc>
        <w:tc>
          <w:tcPr>
            <w:tcW w:w="3323" w:type="dxa"/>
            <w:hideMark/>
          </w:tcPr>
          <w:p w14:paraId="1422FF84" w14:textId="77777777" w:rsidR="007A314C" w:rsidRPr="007A314C" w:rsidRDefault="007A314C" w:rsidP="007A314C">
            <w:pPr>
              <w:spacing w:after="0" w:line="240" w:lineRule="auto"/>
              <w:rPr>
                <w:rFonts w:ascii="Calibri" w:eastAsia="Calibri" w:hAnsi="Calibri" w:cs="Calibri"/>
              </w:rPr>
            </w:pPr>
            <w:r w:rsidRPr="007A314C">
              <w:rPr>
                <w:rFonts w:ascii="Calibri" w:eastAsia="Calibri" w:hAnsi="Calibri" w:cs="Calibri"/>
              </w:rPr>
              <w:t>Percutaneous laminotomy/laminectomy (interlaminar approach) for decompression of neural elements (with or without ligamentous resection, discectomy, facetectomy and/or foraminotomy), any method under indirect image guidance (eg, fluoroscopic, CT), single or multiple levels, unilateral or bilateral; lumbar</w:t>
            </w:r>
          </w:p>
          <w:p w14:paraId="1DB13762" w14:textId="77777777" w:rsidR="007A314C" w:rsidRPr="007A314C" w:rsidRDefault="007A314C" w:rsidP="007A314C">
            <w:pPr>
              <w:spacing w:after="0" w:line="240" w:lineRule="auto"/>
              <w:rPr>
                <w:rFonts w:ascii="Calibri" w:eastAsia="Calibri" w:hAnsi="Calibri" w:cs="Calibri"/>
              </w:rPr>
            </w:pPr>
            <w:r w:rsidRPr="007A314C">
              <w:rPr>
                <w:rFonts w:ascii="Calibri" w:eastAsia="Calibri" w:hAnsi="Calibri" w:cs="Calibri"/>
              </w:rPr>
              <w:t>Blinded procedure for lumbar stenosis, PILD, or placebo control, performed in an approved coverage with evidence development (CED) clinical trial</w:t>
            </w:r>
          </w:p>
        </w:tc>
        <w:tc>
          <w:tcPr>
            <w:tcW w:w="2956" w:type="dxa"/>
            <w:hideMark/>
          </w:tcPr>
          <w:p w14:paraId="32A66892" w14:textId="77777777" w:rsidR="007A314C" w:rsidRPr="007A314C" w:rsidRDefault="007A314C" w:rsidP="007A314C">
            <w:pPr>
              <w:spacing w:after="0" w:line="240" w:lineRule="auto"/>
              <w:rPr>
                <w:rFonts w:ascii="Calibri" w:eastAsia="Calibri" w:hAnsi="Calibri" w:cs="Calibri"/>
              </w:rPr>
            </w:pPr>
            <w:r w:rsidRPr="007A314C">
              <w:rPr>
                <w:rFonts w:ascii="Calibri" w:eastAsia="Calibri" w:hAnsi="Calibri" w:cs="Calibri"/>
              </w:rPr>
              <w:t>Insufficient evidence of effectiveness</w:t>
            </w:r>
          </w:p>
        </w:tc>
        <w:tc>
          <w:tcPr>
            <w:tcW w:w="1615" w:type="dxa"/>
            <w:hideMark/>
          </w:tcPr>
          <w:p w14:paraId="350664D5" w14:textId="77777777" w:rsidR="007A314C" w:rsidRPr="007A314C" w:rsidRDefault="008B4075" w:rsidP="007A314C">
            <w:pPr>
              <w:spacing w:after="0" w:line="240" w:lineRule="auto"/>
              <w:rPr>
                <w:rFonts w:ascii="Calibri" w:eastAsia="Calibri" w:hAnsi="Calibri" w:cs="Calibri"/>
                <w:strike/>
                <w:color w:val="FF0000"/>
                <w:u w:val="single"/>
              </w:rPr>
            </w:pPr>
            <w:hyperlink r:id="rId10" w:history="1">
              <w:r w:rsidR="007A314C" w:rsidRPr="007A314C">
                <w:rPr>
                  <w:rFonts w:ascii="Calibri" w:eastAsia="Calibri" w:hAnsi="Calibri" w:cs="Calibri"/>
                  <w:strike/>
                  <w:color w:val="FF0000"/>
                  <w:u w:val="single"/>
                </w:rPr>
                <w:t>October</w:t>
              </w:r>
            </w:hyperlink>
            <w:r w:rsidR="007A314C" w:rsidRPr="007A314C">
              <w:rPr>
                <w:rFonts w:ascii="Calibri" w:eastAsia="Calibri" w:hAnsi="Calibri" w:cs="Calibri"/>
                <w:strike/>
                <w:color w:val="FF0000"/>
                <w:u w:val="single"/>
              </w:rPr>
              <w:t xml:space="preserve"> 2021</w:t>
            </w:r>
          </w:p>
          <w:p w14:paraId="51571745" w14:textId="77777777" w:rsidR="007A314C" w:rsidRPr="007A314C" w:rsidRDefault="007A314C" w:rsidP="007A314C">
            <w:pPr>
              <w:spacing w:after="0" w:line="240" w:lineRule="auto"/>
              <w:rPr>
                <w:rFonts w:ascii="Calibri" w:eastAsia="Calibri" w:hAnsi="Calibri" w:cs="Calibri"/>
                <w:color w:val="0563C1"/>
                <w:u w:val="single"/>
              </w:rPr>
            </w:pPr>
          </w:p>
          <w:p w14:paraId="15248E62" w14:textId="77777777" w:rsidR="007A314C" w:rsidRPr="007A314C" w:rsidRDefault="007A314C" w:rsidP="007A314C">
            <w:pPr>
              <w:spacing w:after="0" w:line="240" w:lineRule="auto"/>
              <w:rPr>
                <w:rFonts w:ascii="Calibri" w:eastAsia="Calibri" w:hAnsi="Calibri" w:cs="Calibri"/>
              </w:rPr>
            </w:pPr>
            <w:r w:rsidRPr="007A314C">
              <w:rPr>
                <w:rFonts w:ascii="Calibri" w:eastAsia="Calibri" w:hAnsi="Calibri" w:cs="Calibri"/>
                <w:color w:val="0563C1"/>
                <w:u w:val="single"/>
              </w:rPr>
              <w:t>November 2023</w:t>
            </w:r>
          </w:p>
        </w:tc>
      </w:tr>
      <w:bookmarkEnd w:id="0"/>
    </w:tbl>
    <w:p w14:paraId="0BFC546D" w14:textId="77777777" w:rsidR="007A314C" w:rsidRPr="007A314C" w:rsidRDefault="007A314C" w:rsidP="007A314C">
      <w:pPr>
        <w:spacing w:after="0" w:line="240" w:lineRule="auto"/>
        <w:ind w:left="720"/>
        <w:contextualSpacing/>
        <w:rPr>
          <w:rFonts w:ascii="Calibri" w:eastAsia="Calibri" w:hAnsi="Calibri" w:cs="Calibri"/>
        </w:rPr>
      </w:pPr>
    </w:p>
    <w:p w14:paraId="6A3F8DD2" w14:textId="77777777" w:rsidR="007A314C" w:rsidRPr="007A314C" w:rsidRDefault="007A314C" w:rsidP="007A314C">
      <w:pPr>
        <w:spacing w:after="0" w:line="240" w:lineRule="auto"/>
        <w:rPr>
          <w:rFonts w:ascii="Calibri" w:eastAsia="Calibri" w:hAnsi="Calibri" w:cs="Calibri"/>
        </w:rPr>
      </w:pPr>
    </w:p>
    <w:p w14:paraId="7B2B5947" w14:textId="646467A9" w:rsidR="007A314C" w:rsidRDefault="007A314C" w:rsidP="003A7E4E">
      <w:pPr>
        <w:autoSpaceDE w:val="0"/>
        <w:autoSpaceDN w:val="0"/>
        <w:adjustRightInd w:val="0"/>
        <w:spacing w:after="0" w:line="240" w:lineRule="auto"/>
        <w:rPr>
          <w:rFonts w:cstheme="minorHAnsi"/>
          <w:b/>
          <w:bCs/>
          <w:sz w:val="24"/>
          <w:szCs w:val="24"/>
        </w:rPr>
      </w:pPr>
    </w:p>
    <w:p w14:paraId="7AE9B514" w14:textId="72D4B5AD" w:rsidR="007A314C" w:rsidRDefault="007A314C" w:rsidP="003A7E4E">
      <w:pPr>
        <w:autoSpaceDE w:val="0"/>
        <w:autoSpaceDN w:val="0"/>
        <w:adjustRightInd w:val="0"/>
        <w:spacing w:after="0" w:line="240" w:lineRule="auto"/>
        <w:rPr>
          <w:rFonts w:cstheme="minorHAnsi"/>
          <w:b/>
          <w:bCs/>
          <w:sz w:val="24"/>
          <w:szCs w:val="24"/>
        </w:rPr>
      </w:pPr>
    </w:p>
    <w:p w14:paraId="654A9FF6" w14:textId="7AE792C8" w:rsidR="007A314C" w:rsidRDefault="007A314C" w:rsidP="003A7E4E">
      <w:pPr>
        <w:autoSpaceDE w:val="0"/>
        <w:autoSpaceDN w:val="0"/>
        <w:adjustRightInd w:val="0"/>
        <w:spacing w:after="0" w:line="240" w:lineRule="auto"/>
        <w:rPr>
          <w:rFonts w:cstheme="minorHAnsi"/>
          <w:b/>
          <w:bCs/>
          <w:sz w:val="24"/>
          <w:szCs w:val="24"/>
        </w:rPr>
      </w:pPr>
    </w:p>
    <w:p w14:paraId="20F6EA82" w14:textId="3B8F4DC6" w:rsidR="007A314C" w:rsidRDefault="007A314C" w:rsidP="003A7E4E">
      <w:pPr>
        <w:autoSpaceDE w:val="0"/>
        <w:autoSpaceDN w:val="0"/>
        <w:adjustRightInd w:val="0"/>
        <w:spacing w:after="0" w:line="240" w:lineRule="auto"/>
        <w:rPr>
          <w:rFonts w:cstheme="minorHAnsi"/>
          <w:b/>
          <w:bCs/>
          <w:sz w:val="24"/>
          <w:szCs w:val="24"/>
        </w:rPr>
      </w:pPr>
    </w:p>
    <w:p w14:paraId="03A788E3" w14:textId="77777777" w:rsidR="007A314C" w:rsidRDefault="007A314C" w:rsidP="003A7E4E">
      <w:pPr>
        <w:autoSpaceDE w:val="0"/>
        <w:autoSpaceDN w:val="0"/>
        <w:adjustRightInd w:val="0"/>
        <w:spacing w:after="0" w:line="240" w:lineRule="auto"/>
        <w:rPr>
          <w:rFonts w:cstheme="minorHAnsi"/>
          <w:b/>
          <w:bCs/>
          <w:sz w:val="24"/>
          <w:szCs w:val="24"/>
        </w:rPr>
      </w:pPr>
    </w:p>
    <w:p w14:paraId="1193C225" w14:textId="6C8BAF40" w:rsidR="007A314C" w:rsidRDefault="007A314C" w:rsidP="003A7E4E">
      <w:pPr>
        <w:autoSpaceDE w:val="0"/>
        <w:autoSpaceDN w:val="0"/>
        <w:adjustRightInd w:val="0"/>
        <w:spacing w:after="0" w:line="240" w:lineRule="auto"/>
        <w:rPr>
          <w:rFonts w:cstheme="minorHAnsi"/>
          <w:b/>
          <w:bCs/>
          <w:sz w:val="24"/>
          <w:szCs w:val="24"/>
        </w:rPr>
      </w:pPr>
    </w:p>
    <w:p w14:paraId="45CF11BA" w14:textId="33E7E091" w:rsidR="007A314C" w:rsidRDefault="007A314C" w:rsidP="003A7E4E">
      <w:pPr>
        <w:pBdr>
          <w:bottom w:val="single" w:sz="6" w:space="1" w:color="auto"/>
        </w:pBdr>
        <w:autoSpaceDE w:val="0"/>
        <w:autoSpaceDN w:val="0"/>
        <w:adjustRightInd w:val="0"/>
        <w:spacing w:after="0" w:line="240" w:lineRule="auto"/>
        <w:rPr>
          <w:rFonts w:cstheme="minorHAnsi"/>
          <w:b/>
          <w:bCs/>
          <w:sz w:val="24"/>
          <w:szCs w:val="24"/>
        </w:rPr>
      </w:pPr>
    </w:p>
    <w:p w14:paraId="6D76FD82" w14:textId="08E84C75" w:rsidR="007A314C" w:rsidRDefault="007A314C" w:rsidP="003A7E4E">
      <w:pPr>
        <w:autoSpaceDE w:val="0"/>
        <w:autoSpaceDN w:val="0"/>
        <w:adjustRightInd w:val="0"/>
        <w:spacing w:after="0" w:line="240" w:lineRule="auto"/>
        <w:rPr>
          <w:rFonts w:cstheme="minorHAnsi"/>
          <w:b/>
          <w:bCs/>
          <w:sz w:val="24"/>
          <w:szCs w:val="24"/>
        </w:rPr>
      </w:pPr>
    </w:p>
    <w:p w14:paraId="625C37C5" w14:textId="77777777" w:rsidR="007A314C" w:rsidRPr="00482AB3" w:rsidRDefault="007A314C" w:rsidP="007A314C">
      <w:pPr>
        <w:autoSpaceDE w:val="0"/>
        <w:autoSpaceDN w:val="0"/>
        <w:adjustRightInd w:val="0"/>
        <w:spacing w:after="0" w:line="240" w:lineRule="auto"/>
        <w:rPr>
          <w:rFonts w:cstheme="minorHAnsi"/>
          <w:b/>
          <w:sz w:val="24"/>
          <w:szCs w:val="24"/>
        </w:rPr>
      </w:pPr>
      <w:r w:rsidRPr="00482AB3">
        <w:rPr>
          <w:rFonts w:cstheme="minorHAnsi"/>
          <w:b/>
          <w:sz w:val="24"/>
          <w:szCs w:val="24"/>
        </w:rPr>
        <w:t>0275T Percutaneous laminotomy/laminectomy (interlaminar approach) for decompression of neural elements (with or without ligamentous resection, discectomy, facetectomy and/or foraminotomy), any method under indirect image guidance (eg, fluoroscopic, CT), single or multiple levels, unilateral or bilateral; lumbar</w:t>
      </w:r>
    </w:p>
    <w:p w14:paraId="7DD2EC25" w14:textId="1FBA4878" w:rsidR="007A314C" w:rsidRDefault="007A314C" w:rsidP="003A7E4E">
      <w:pPr>
        <w:autoSpaceDE w:val="0"/>
        <w:autoSpaceDN w:val="0"/>
        <w:adjustRightInd w:val="0"/>
        <w:spacing w:after="0" w:line="240" w:lineRule="auto"/>
        <w:rPr>
          <w:rFonts w:cstheme="minorHAnsi"/>
          <w:b/>
          <w:bCs/>
          <w:sz w:val="24"/>
          <w:szCs w:val="24"/>
        </w:rPr>
      </w:pPr>
    </w:p>
    <w:p w14:paraId="55159E70" w14:textId="77777777" w:rsidR="007A314C" w:rsidRPr="003A7E4E" w:rsidRDefault="007A314C" w:rsidP="007A314C">
      <w:pPr>
        <w:autoSpaceDE w:val="0"/>
        <w:autoSpaceDN w:val="0"/>
        <w:adjustRightInd w:val="0"/>
        <w:spacing w:after="0" w:line="240" w:lineRule="auto"/>
        <w:rPr>
          <w:rFonts w:cstheme="minorHAnsi"/>
          <w:b/>
          <w:sz w:val="24"/>
          <w:szCs w:val="24"/>
        </w:rPr>
      </w:pPr>
      <w:r w:rsidRPr="00482AB3">
        <w:rPr>
          <w:rFonts w:cstheme="minorHAnsi"/>
          <w:b/>
          <w:sz w:val="24"/>
          <w:szCs w:val="24"/>
        </w:rPr>
        <w:t>G0276 Blinded procedure for lumbar stenosis, PILD, or placebo control, performed in an approved coverage with evidence development (CED) clinical trial</w:t>
      </w:r>
    </w:p>
    <w:p w14:paraId="396C1BC9" w14:textId="77777777" w:rsidR="007A314C" w:rsidRDefault="007A314C" w:rsidP="007A314C">
      <w:pPr>
        <w:autoSpaceDE w:val="0"/>
        <w:autoSpaceDN w:val="0"/>
        <w:adjustRightInd w:val="0"/>
        <w:spacing w:after="0" w:line="240" w:lineRule="auto"/>
        <w:rPr>
          <w:rFonts w:cstheme="minorHAnsi"/>
          <w:b/>
          <w:bCs/>
          <w:sz w:val="24"/>
          <w:szCs w:val="24"/>
        </w:rPr>
      </w:pPr>
      <w:r w:rsidRPr="003A7E4E">
        <w:rPr>
          <w:rFonts w:cstheme="minorHAnsi"/>
          <w:b/>
          <w:bCs/>
          <w:sz w:val="24"/>
          <w:szCs w:val="24"/>
        </w:rPr>
        <w:t xml:space="preserve">Last reviewed at VbBS in </w:t>
      </w:r>
      <w:r>
        <w:rPr>
          <w:rFonts w:cstheme="minorHAnsi"/>
          <w:b/>
          <w:bCs/>
          <w:sz w:val="24"/>
          <w:szCs w:val="24"/>
        </w:rPr>
        <w:t>October 2021</w:t>
      </w:r>
      <w:r w:rsidRPr="003A7E4E">
        <w:rPr>
          <w:rFonts w:cstheme="minorHAnsi"/>
          <w:b/>
          <w:bCs/>
          <w:sz w:val="24"/>
          <w:szCs w:val="24"/>
        </w:rPr>
        <w:t xml:space="preserve">. Minutes indicate </w:t>
      </w:r>
      <w:r>
        <w:rPr>
          <w:rFonts w:cstheme="minorHAnsi"/>
          <w:b/>
          <w:bCs/>
          <w:sz w:val="24"/>
          <w:szCs w:val="24"/>
        </w:rPr>
        <w:t xml:space="preserve">that the staff recommendation was accepted without significant discussion. HERC approved the recommendations without change. </w:t>
      </w:r>
    </w:p>
    <w:p w14:paraId="487AF557" w14:textId="3022EAF7" w:rsidR="007A314C" w:rsidRDefault="007A314C" w:rsidP="003A7E4E">
      <w:pPr>
        <w:autoSpaceDE w:val="0"/>
        <w:autoSpaceDN w:val="0"/>
        <w:adjustRightInd w:val="0"/>
        <w:spacing w:after="0" w:line="240" w:lineRule="auto"/>
        <w:rPr>
          <w:rFonts w:cstheme="minorHAnsi"/>
          <w:b/>
          <w:bCs/>
          <w:sz w:val="24"/>
          <w:szCs w:val="24"/>
        </w:rPr>
      </w:pPr>
    </w:p>
    <w:p w14:paraId="7FA5B7FD" w14:textId="77777777" w:rsidR="00482AB3" w:rsidRPr="003A7E4E" w:rsidRDefault="00482AB3" w:rsidP="00482AB3">
      <w:pPr>
        <w:autoSpaceDE w:val="0"/>
        <w:autoSpaceDN w:val="0"/>
        <w:adjustRightInd w:val="0"/>
        <w:spacing w:after="0" w:line="240" w:lineRule="auto"/>
        <w:rPr>
          <w:rFonts w:cstheme="minorHAnsi"/>
          <w:b/>
          <w:sz w:val="24"/>
          <w:szCs w:val="24"/>
        </w:rPr>
      </w:pPr>
      <w:r w:rsidRPr="003A7E4E">
        <w:rPr>
          <w:rFonts w:cstheme="minorHAnsi"/>
          <w:b/>
          <w:bCs/>
          <w:sz w:val="24"/>
          <w:szCs w:val="24"/>
        </w:rPr>
        <w:t xml:space="preserve">Last reviewed at VbBS in </w:t>
      </w:r>
      <w:r>
        <w:rPr>
          <w:rFonts w:cstheme="minorHAnsi"/>
          <w:b/>
          <w:bCs/>
          <w:sz w:val="24"/>
          <w:szCs w:val="24"/>
        </w:rPr>
        <w:t>October 2021</w:t>
      </w:r>
      <w:r w:rsidRPr="003A7E4E">
        <w:rPr>
          <w:rFonts w:cstheme="minorHAnsi"/>
          <w:b/>
          <w:bCs/>
          <w:sz w:val="24"/>
          <w:szCs w:val="24"/>
        </w:rPr>
        <w:t xml:space="preserve">. Minutes indicate </w:t>
      </w:r>
      <w:r>
        <w:rPr>
          <w:rFonts w:cstheme="minorHAnsi"/>
          <w:b/>
          <w:bCs/>
          <w:sz w:val="24"/>
          <w:szCs w:val="24"/>
        </w:rPr>
        <w:t xml:space="preserve">that the staff recommendation was accepted without significant discussion. HERC approved the recommendations without change. </w:t>
      </w:r>
    </w:p>
    <w:p w14:paraId="4152C067" w14:textId="1EAC164C" w:rsidR="00482AB3" w:rsidRDefault="00482AB3" w:rsidP="003A7E4E">
      <w:pPr>
        <w:autoSpaceDE w:val="0"/>
        <w:autoSpaceDN w:val="0"/>
        <w:adjustRightInd w:val="0"/>
        <w:spacing w:after="0" w:line="240" w:lineRule="auto"/>
        <w:rPr>
          <w:rFonts w:cstheme="minorHAnsi"/>
          <w:b/>
          <w:bCs/>
          <w:sz w:val="24"/>
          <w:szCs w:val="24"/>
        </w:rPr>
      </w:pPr>
    </w:p>
    <w:p w14:paraId="4AE02425" w14:textId="13D784AC" w:rsidR="00482AB3" w:rsidRDefault="00482AB3" w:rsidP="003A7E4E">
      <w:pPr>
        <w:autoSpaceDE w:val="0"/>
        <w:autoSpaceDN w:val="0"/>
        <w:adjustRightInd w:val="0"/>
        <w:spacing w:after="0" w:line="240" w:lineRule="auto"/>
        <w:rPr>
          <w:rFonts w:cstheme="minorHAnsi"/>
          <w:b/>
          <w:bCs/>
          <w:sz w:val="24"/>
          <w:szCs w:val="24"/>
        </w:rPr>
      </w:pPr>
    </w:p>
    <w:p w14:paraId="5D13CDC9" w14:textId="77777777" w:rsidR="00482AB3" w:rsidRPr="00220C7C" w:rsidRDefault="00482AB3" w:rsidP="00482AB3">
      <w:pPr>
        <w:rPr>
          <w:rFonts w:cstheme="minorHAnsi"/>
          <w:u w:val="single"/>
        </w:rPr>
      </w:pPr>
      <w:r w:rsidRPr="004F1C7C">
        <w:rPr>
          <w:rFonts w:cstheme="minorHAnsi"/>
          <w:u w:val="single"/>
        </w:rPr>
        <w:t xml:space="preserve">Evidence </w:t>
      </w:r>
    </w:p>
    <w:p w14:paraId="5BCA78D3" w14:textId="77777777" w:rsidR="00482AB3" w:rsidRPr="004F1C7C" w:rsidRDefault="00482AB3" w:rsidP="00482AB3">
      <w:pPr>
        <w:pStyle w:val="ListParagraph"/>
        <w:numPr>
          <w:ilvl w:val="0"/>
          <w:numId w:val="27"/>
        </w:numPr>
        <w:spacing w:after="0" w:line="240" w:lineRule="auto"/>
        <w:contextualSpacing w:val="0"/>
        <w:rPr>
          <w:rFonts w:cstheme="minorHAnsi"/>
        </w:rPr>
      </w:pPr>
      <w:r w:rsidRPr="004F1C7C">
        <w:rPr>
          <w:rFonts w:cstheme="minorHAnsi"/>
        </w:rPr>
        <w:t>MiDAS 1 study (Chopko 2010, Mekhail 2012 and Chopko</w:t>
      </w:r>
      <w:r>
        <w:rPr>
          <w:rFonts w:cstheme="minorHAnsi"/>
        </w:rPr>
        <w:t xml:space="preserve"> </w:t>
      </w:r>
      <w:r w:rsidRPr="004F1C7C">
        <w:rPr>
          <w:rFonts w:cstheme="minorHAnsi"/>
        </w:rPr>
        <w:t>2013)</w:t>
      </w:r>
    </w:p>
    <w:p w14:paraId="018A2A92" w14:textId="77777777" w:rsidR="00482AB3" w:rsidRPr="004F1C7C" w:rsidRDefault="00482AB3" w:rsidP="00482AB3">
      <w:pPr>
        <w:pStyle w:val="ListParagraph"/>
        <w:numPr>
          <w:ilvl w:val="1"/>
          <w:numId w:val="27"/>
        </w:numPr>
        <w:spacing w:after="0" w:line="240" w:lineRule="auto"/>
        <w:contextualSpacing w:val="0"/>
        <w:rPr>
          <w:rFonts w:cstheme="minorHAnsi"/>
        </w:rPr>
      </w:pPr>
      <w:r w:rsidRPr="004F1C7C">
        <w:rPr>
          <w:rFonts w:cstheme="minorHAnsi"/>
          <w:b/>
          <w:bCs/>
        </w:rPr>
        <w:t>Chopko 2013:</w:t>
      </w:r>
      <w:r w:rsidRPr="004F1C7C">
        <w:rPr>
          <w:rFonts w:cstheme="minorHAnsi"/>
        </w:rPr>
        <w:t xml:space="preserve"> non-comparative cohort study--2 year follow up</w:t>
      </w:r>
    </w:p>
    <w:p w14:paraId="2C8FD671" w14:textId="77777777" w:rsidR="00482AB3" w:rsidRPr="004F1C7C" w:rsidRDefault="00482AB3" w:rsidP="00482AB3">
      <w:pPr>
        <w:pStyle w:val="ListParagraph"/>
        <w:numPr>
          <w:ilvl w:val="2"/>
          <w:numId w:val="27"/>
        </w:numPr>
        <w:spacing w:after="0" w:line="240" w:lineRule="auto"/>
        <w:contextualSpacing w:val="0"/>
        <w:rPr>
          <w:rFonts w:cstheme="minorHAnsi"/>
        </w:rPr>
      </w:pPr>
      <w:r w:rsidRPr="004F1C7C">
        <w:rPr>
          <w:rFonts w:cstheme="minorHAnsi"/>
        </w:rPr>
        <w:t>N=45 patients (58 patients reported at 1 year in initial paper)</w:t>
      </w:r>
    </w:p>
    <w:p w14:paraId="252277C2" w14:textId="77777777" w:rsidR="00482AB3" w:rsidRPr="004F1C7C" w:rsidRDefault="00482AB3" w:rsidP="00482AB3">
      <w:pPr>
        <w:pStyle w:val="ListParagraph"/>
        <w:numPr>
          <w:ilvl w:val="2"/>
          <w:numId w:val="27"/>
        </w:numPr>
        <w:spacing w:after="0" w:line="240" w:lineRule="auto"/>
        <w:contextualSpacing w:val="0"/>
        <w:rPr>
          <w:rFonts w:cstheme="minorHAnsi"/>
        </w:rPr>
      </w:pPr>
      <w:r w:rsidRPr="004F1C7C">
        <w:rPr>
          <w:rFonts w:cstheme="minorHAnsi"/>
        </w:rPr>
        <w:t>At 2 years, patients demonstrated a statistically significant reduction of pain as measured by VAS, and improvement in physical function and mobility was significant as measured by Zurich Claudication Questionnaire and Oswestry Disability Index.</w:t>
      </w:r>
    </w:p>
    <w:p w14:paraId="36591020" w14:textId="77777777" w:rsidR="00482AB3" w:rsidRPr="004F1C7C" w:rsidRDefault="00482AB3" w:rsidP="00482AB3">
      <w:pPr>
        <w:pStyle w:val="ListParagraph"/>
        <w:numPr>
          <w:ilvl w:val="2"/>
          <w:numId w:val="27"/>
        </w:numPr>
        <w:spacing w:after="0" w:line="240" w:lineRule="auto"/>
        <w:contextualSpacing w:val="0"/>
        <w:rPr>
          <w:rFonts w:cstheme="minorHAnsi"/>
        </w:rPr>
      </w:pPr>
      <w:r w:rsidRPr="004F1C7C">
        <w:rPr>
          <w:rFonts w:cstheme="minorHAnsi"/>
        </w:rPr>
        <w:t>Chopko is a consultant for Vertos Medical</w:t>
      </w:r>
    </w:p>
    <w:p w14:paraId="11CC7821" w14:textId="77777777" w:rsidR="00482AB3" w:rsidRPr="004F1C7C" w:rsidRDefault="00482AB3" w:rsidP="00482AB3">
      <w:pPr>
        <w:rPr>
          <w:rFonts w:cstheme="minorHAnsi"/>
        </w:rPr>
      </w:pPr>
    </w:p>
    <w:p w14:paraId="6C293359" w14:textId="77777777" w:rsidR="00482AB3" w:rsidRPr="004F1C7C" w:rsidRDefault="00482AB3" w:rsidP="00482AB3">
      <w:pPr>
        <w:pStyle w:val="ListParagraph"/>
        <w:numPr>
          <w:ilvl w:val="0"/>
          <w:numId w:val="27"/>
        </w:numPr>
        <w:spacing w:after="0" w:line="240" w:lineRule="auto"/>
        <w:contextualSpacing w:val="0"/>
        <w:rPr>
          <w:rFonts w:cstheme="minorHAnsi"/>
        </w:rPr>
      </w:pPr>
      <w:r w:rsidRPr="004F1C7C">
        <w:rPr>
          <w:rFonts w:cstheme="minorHAnsi"/>
        </w:rPr>
        <w:t>MiDAS ENCORE study (Benyamin 2015, Benyamin 2016, Staats 2016, Staats 2018).  Study sponsored by Vertos Medical</w:t>
      </w:r>
    </w:p>
    <w:p w14:paraId="03A3C15E" w14:textId="77777777" w:rsidR="00482AB3" w:rsidRPr="004F1C7C" w:rsidRDefault="00482AB3" w:rsidP="00482AB3">
      <w:pPr>
        <w:pStyle w:val="ListParagraph"/>
        <w:numPr>
          <w:ilvl w:val="1"/>
          <w:numId w:val="27"/>
        </w:numPr>
        <w:spacing w:after="0" w:line="240" w:lineRule="auto"/>
        <w:contextualSpacing w:val="0"/>
        <w:rPr>
          <w:rFonts w:cstheme="minorHAnsi"/>
        </w:rPr>
      </w:pPr>
      <w:r w:rsidRPr="004F1C7C">
        <w:rPr>
          <w:rFonts w:cstheme="minorHAnsi"/>
          <w:b/>
          <w:bCs/>
        </w:rPr>
        <w:t>Benyamin 2016</w:t>
      </w:r>
      <w:r w:rsidRPr="004F1C7C">
        <w:rPr>
          <w:rFonts w:cstheme="minorHAnsi"/>
        </w:rPr>
        <w:t>, RCT of MILD vs epidural steroid injections</w:t>
      </w:r>
    </w:p>
    <w:p w14:paraId="3C3DD325" w14:textId="77777777" w:rsidR="00482AB3" w:rsidRPr="004F1C7C" w:rsidRDefault="00482AB3" w:rsidP="00482AB3">
      <w:pPr>
        <w:pStyle w:val="ListParagraph"/>
        <w:numPr>
          <w:ilvl w:val="2"/>
          <w:numId w:val="27"/>
        </w:numPr>
        <w:spacing w:after="0" w:line="240" w:lineRule="auto"/>
        <w:contextualSpacing w:val="0"/>
        <w:rPr>
          <w:rFonts w:cstheme="minorHAnsi"/>
        </w:rPr>
      </w:pPr>
      <w:r w:rsidRPr="004F1C7C">
        <w:rPr>
          <w:rFonts w:cstheme="minorHAnsi"/>
        </w:rPr>
        <w:t>N=302 patients (149 MILD, 153 epidural steroid injections)</w:t>
      </w:r>
    </w:p>
    <w:p w14:paraId="2AD9FB6C" w14:textId="77777777" w:rsidR="00482AB3" w:rsidRPr="004F1C7C" w:rsidRDefault="00482AB3" w:rsidP="00482AB3">
      <w:pPr>
        <w:pStyle w:val="ListParagraph"/>
        <w:numPr>
          <w:ilvl w:val="3"/>
          <w:numId w:val="27"/>
        </w:numPr>
        <w:spacing w:after="0" w:line="240" w:lineRule="auto"/>
        <w:contextualSpacing w:val="0"/>
        <w:rPr>
          <w:rFonts w:cstheme="minorHAnsi"/>
        </w:rPr>
      </w:pPr>
      <w:r w:rsidRPr="004F1C7C">
        <w:rPr>
          <w:rFonts w:cstheme="minorHAnsi"/>
        </w:rPr>
        <w:t>Study limited by lack of blinding</w:t>
      </w:r>
    </w:p>
    <w:p w14:paraId="078F34EE" w14:textId="77777777" w:rsidR="00482AB3" w:rsidRPr="004F1C7C" w:rsidRDefault="00482AB3" w:rsidP="00482AB3">
      <w:pPr>
        <w:pStyle w:val="ListParagraph"/>
        <w:numPr>
          <w:ilvl w:val="2"/>
          <w:numId w:val="27"/>
        </w:numPr>
        <w:spacing w:after="0" w:line="240" w:lineRule="auto"/>
        <w:contextualSpacing w:val="0"/>
        <w:rPr>
          <w:rFonts w:eastAsia="FrutigerLTStd-Light" w:cstheme="minorHAnsi"/>
        </w:rPr>
      </w:pPr>
      <w:r w:rsidRPr="004F1C7C">
        <w:rPr>
          <w:rFonts w:eastAsia="FrutigerLTStd-Light" w:cstheme="minorHAnsi"/>
        </w:rPr>
        <w:t xml:space="preserve">At 1-year follow-up, ODI, NPRS, and all 3 ZCQ domains (Symptom Severity, Physical Function and Patient Satisfaction) demonstrated statistically significant superiority of MILD versus the active control. </w:t>
      </w:r>
    </w:p>
    <w:p w14:paraId="1BEE4802" w14:textId="77777777" w:rsidR="00482AB3" w:rsidRPr="004F1C7C" w:rsidRDefault="00482AB3" w:rsidP="00482AB3">
      <w:pPr>
        <w:pStyle w:val="ListParagraph"/>
        <w:numPr>
          <w:ilvl w:val="2"/>
          <w:numId w:val="27"/>
        </w:numPr>
        <w:spacing w:after="0" w:line="240" w:lineRule="auto"/>
        <w:contextualSpacing w:val="0"/>
        <w:rPr>
          <w:rFonts w:eastAsia="FrutigerLTStd-Light" w:cstheme="minorHAnsi"/>
        </w:rPr>
      </w:pPr>
      <w:r w:rsidRPr="004F1C7C">
        <w:rPr>
          <w:rFonts w:cstheme="minorHAnsi"/>
        </w:rPr>
        <w:t>The Oswestry Disability Index (ODI) responder rate was 58.0% in the MILD group versus 27.1% for the ESI group (</w:t>
      </w:r>
      <w:r w:rsidRPr="004F1C7C">
        <w:rPr>
          <w:rFonts w:cstheme="minorHAnsi"/>
          <w:i/>
          <w:iCs/>
        </w:rPr>
        <w:t xml:space="preserve">P </w:t>
      </w:r>
      <w:r w:rsidRPr="004F1C7C">
        <w:rPr>
          <w:rFonts w:cstheme="minorHAnsi"/>
        </w:rPr>
        <w:t>&lt; 0.001), demonstrating clinically meaningful improvement in function for patients in the MILD group</w:t>
      </w:r>
    </w:p>
    <w:p w14:paraId="1F4D3B63" w14:textId="77777777" w:rsidR="00482AB3" w:rsidRPr="004F1C7C" w:rsidRDefault="00482AB3" w:rsidP="00482AB3">
      <w:pPr>
        <w:pStyle w:val="ListParagraph"/>
        <w:numPr>
          <w:ilvl w:val="0"/>
          <w:numId w:val="29"/>
        </w:numPr>
        <w:spacing w:after="0" w:line="240" w:lineRule="auto"/>
        <w:contextualSpacing w:val="0"/>
        <w:rPr>
          <w:rFonts w:eastAsia="FrutigerLTStd-Light" w:cstheme="minorHAnsi"/>
        </w:rPr>
      </w:pPr>
      <w:r w:rsidRPr="004F1C7C">
        <w:rPr>
          <w:rFonts w:eastAsia="FrutigerLTStd-Light" w:cstheme="minorHAnsi"/>
        </w:rPr>
        <w:t>No change was seen in medication usage for either group, including opioids</w:t>
      </w:r>
    </w:p>
    <w:p w14:paraId="70EC0374" w14:textId="77777777" w:rsidR="00482AB3" w:rsidRPr="004F1C7C" w:rsidRDefault="00482AB3" w:rsidP="00482AB3">
      <w:pPr>
        <w:pStyle w:val="ListParagraph"/>
        <w:numPr>
          <w:ilvl w:val="0"/>
          <w:numId w:val="29"/>
        </w:numPr>
        <w:spacing w:after="0" w:line="240" w:lineRule="auto"/>
        <w:contextualSpacing w:val="0"/>
        <w:rPr>
          <w:rFonts w:eastAsia="FrutigerLTStd-Light" w:cstheme="minorHAnsi"/>
        </w:rPr>
      </w:pPr>
      <w:r w:rsidRPr="004F1C7C">
        <w:rPr>
          <w:rFonts w:cstheme="minorHAnsi"/>
        </w:rPr>
        <w:t xml:space="preserve">Two patients who received MILD (2 events) and 2 patients who received ESIs (3 events) experienced device or procedure-related adverse events (1.3%, </w:t>
      </w:r>
      <w:r w:rsidRPr="004F1C7C">
        <w:rPr>
          <w:rFonts w:cstheme="minorHAnsi"/>
          <w:i/>
          <w:iCs/>
        </w:rPr>
        <w:t xml:space="preserve">P </w:t>
      </w:r>
      <w:r w:rsidRPr="004F1C7C">
        <w:rPr>
          <w:rFonts w:cstheme="minorHAnsi"/>
        </w:rPr>
        <w:t>= 1.00)</w:t>
      </w:r>
    </w:p>
    <w:p w14:paraId="294D65B7" w14:textId="77777777" w:rsidR="00482AB3" w:rsidRPr="004F1C7C" w:rsidRDefault="00482AB3" w:rsidP="00482AB3">
      <w:pPr>
        <w:pStyle w:val="ListParagraph"/>
        <w:numPr>
          <w:ilvl w:val="1"/>
          <w:numId w:val="27"/>
        </w:numPr>
        <w:spacing w:after="0" w:line="240" w:lineRule="auto"/>
        <w:contextualSpacing w:val="0"/>
        <w:rPr>
          <w:rFonts w:cstheme="minorHAnsi"/>
        </w:rPr>
      </w:pPr>
      <w:r w:rsidRPr="004F1C7C">
        <w:rPr>
          <w:rFonts w:cstheme="minorHAnsi"/>
          <w:b/>
          <w:bCs/>
        </w:rPr>
        <w:t>Staats 2018</w:t>
      </w:r>
      <w:r w:rsidRPr="004F1C7C">
        <w:rPr>
          <w:rFonts w:cstheme="minorHAnsi"/>
        </w:rPr>
        <w:t xml:space="preserve">, 2 year follow up of RCT of MILD vs epidural steroid injections [only first 6 months was an RCT, 2 year follow up is just the MILD cohort] </w:t>
      </w:r>
    </w:p>
    <w:p w14:paraId="1943D89A" w14:textId="77777777" w:rsidR="00482AB3" w:rsidRPr="004F1C7C" w:rsidRDefault="00482AB3" w:rsidP="00482AB3">
      <w:pPr>
        <w:pStyle w:val="ListParagraph"/>
        <w:numPr>
          <w:ilvl w:val="2"/>
          <w:numId w:val="27"/>
        </w:numPr>
        <w:spacing w:after="0" w:line="240" w:lineRule="auto"/>
        <w:contextualSpacing w:val="0"/>
        <w:rPr>
          <w:rFonts w:cstheme="minorHAnsi"/>
        </w:rPr>
      </w:pPr>
      <w:r w:rsidRPr="004F1C7C">
        <w:rPr>
          <w:rFonts w:cstheme="minorHAnsi"/>
        </w:rPr>
        <w:t>N=119 patients treated with MILD at 1 year; N=99 patients treated with MILD at 2 yrs</w:t>
      </w:r>
    </w:p>
    <w:p w14:paraId="5AD94B7C" w14:textId="77777777" w:rsidR="00482AB3" w:rsidRPr="004F1C7C" w:rsidRDefault="00482AB3" w:rsidP="00482AB3">
      <w:pPr>
        <w:pStyle w:val="ListParagraph"/>
        <w:numPr>
          <w:ilvl w:val="2"/>
          <w:numId w:val="27"/>
        </w:numPr>
        <w:spacing w:after="0" w:line="240" w:lineRule="auto"/>
        <w:contextualSpacing w:val="0"/>
        <w:rPr>
          <w:rFonts w:cstheme="minorHAnsi"/>
        </w:rPr>
      </w:pPr>
      <w:r w:rsidRPr="004F1C7C">
        <w:rPr>
          <w:rFonts w:cstheme="minorHAnsi"/>
        </w:rPr>
        <w:t xml:space="preserve">At 2 years, Oswestry Disability Index improved by 22.7 points, Numeric Pain Rating Scale improved by 3.6 points, and Zurich Claudication Questionnaire symptom severity and physical function domains improved by 1.0 and 0.8 points, respectively. </w:t>
      </w:r>
    </w:p>
    <w:p w14:paraId="5D31AF15" w14:textId="77777777" w:rsidR="00482AB3" w:rsidRPr="004F1C7C" w:rsidRDefault="00482AB3" w:rsidP="00482AB3">
      <w:pPr>
        <w:pStyle w:val="ListParagraph"/>
        <w:numPr>
          <w:ilvl w:val="0"/>
          <w:numId w:val="27"/>
        </w:numPr>
        <w:spacing w:after="0" w:line="240" w:lineRule="auto"/>
        <w:contextualSpacing w:val="0"/>
        <w:rPr>
          <w:rFonts w:cstheme="minorHAnsi"/>
        </w:rPr>
      </w:pPr>
      <w:r w:rsidRPr="004F1C7C">
        <w:rPr>
          <w:rFonts w:cstheme="minorHAnsi"/>
          <w:b/>
          <w:bCs/>
        </w:rPr>
        <w:t>Mekhail 2021</w:t>
      </w:r>
      <w:r w:rsidRPr="004F1C7C">
        <w:rPr>
          <w:rFonts w:cstheme="minorHAnsi"/>
        </w:rPr>
        <w:t xml:space="preserve">: long term follow up of a retrospective cohort </w:t>
      </w:r>
    </w:p>
    <w:p w14:paraId="5616AD11" w14:textId="77777777" w:rsidR="00482AB3" w:rsidRPr="004F1C7C" w:rsidRDefault="00482AB3" w:rsidP="00482AB3">
      <w:pPr>
        <w:pStyle w:val="ListParagraph"/>
        <w:numPr>
          <w:ilvl w:val="1"/>
          <w:numId w:val="27"/>
        </w:numPr>
        <w:spacing w:after="0" w:line="240" w:lineRule="auto"/>
        <w:contextualSpacing w:val="0"/>
        <w:rPr>
          <w:rFonts w:cstheme="minorHAnsi"/>
        </w:rPr>
      </w:pPr>
      <w:r w:rsidRPr="004F1C7C">
        <w:rPr>
          <w:rFonts w:cstheme="minorHAnsi"/>
        </w:rPr>
        <w:t>N=75 patients, single center study</w:t>
      </w:r>
    </w:p>
    <w:p w14:paraId="3EFA495B" w14:textId="77777777" w:rsidR="00482AB3" w:rsidRPr="004F1C7C" w:rsidRDefault="00482AB3" w:rsidP="00482AB3">
      <w:pPr>
        <w:pStyle w:val="ListParagraph"/>
        <w:numPr>
          <w:ilvl w:val="2"/>
          <w:numId w:val="27"/>
        </w:numPr>
        <w:spacing w:after="0" w:line="240" w:lineRule="auto"/>
        <w:contextualSpacing w:val="0"/>
        <w:rPr>
          <w:rFonts w:cstheme="minorHAnsi"/>
        </w:rPr>
      </w:pPr>
      <w:r w:rsidRPr="004F1C7C">
        <w:rPr>
          <w:rFonts w:cstheme="minorHAnsi"/>
        </w:rPr>
        <w:t xml:space="preserve">7 patients lost to follow up </w:t>
      </w:r>
    </w:p>
    <w:p w14:paraId="22DCFC48" w14:textId="77777777" w:rsidR="00482AB3" w:rsidRPr="004F1C7C" w:rsidRDefault="00482AB3" w:rsidP="00482AB3">
      <w:pPr>
        <w:pStyle w:val="ListParagraph"/>
        <w:numPr>
          <w:ilvl w:val="2"/>
          <w:numId w:val="27"/>
        </w:numPr>
        <w:spacing w:after="0" w:line="240" w:lineRule="auto"/>
        <w:contextualSpacing w:val="0"/>
        <w:rPr>
          <w:rFonts w:cstheme="minorHAnsi"/>
        </w:rPr>
      </w:pPr>
      <w:r w:rsidRPr="004F1C7C">
        <w:rPr>
          <w:rFonts w:cstheme="minorHAnsi"/>
        </w:rPr>
        <w:t>Study funded by the Cleveland Clinic</w:t>
      </w:r>
    </w:p>
    <w:p w14:paraId="12C70FEE" w14:textId="77777777" w:rsidR="00482AB3" w:rsidRPr="004F1C7C" w:rsidRDefault="00482AB3" w:rsidP="00482AB3">
      <w:pPr>
        <w:pStyle w:val="ListParagraph"/>
        <w:numPr>
          <w:ilvl w:val="1"/>
          <w:numId w:val="27"/>
        </w:numPr>
        <w:spacing w:after="0" w:line="240" w:lineRule="auto"/>
        <w:contextualSpacing w:val="0"/>
        <w:rPr>
          <w:rFonts w:cstheme="minorHAnsi"/>
        </w:rPr>
      </w:pPr>
      <w:r w:rsidRPr="004F1C7C">
        <w:rPr>
          <w:rFonts w:cstheme="minorHAnsi"/>
        </w:rPr>
        <w:t>Only 9 out of 75 patients required lumbar surgical decompression at 5 yr follow up (2.4% per year incidence)</w:t>
      </w:r>
    </w:p>
    <w:p w14:paraId="79BAD2A8" w14:textId="77777777" w:rsidR="00482AB3" w:rsidRPr="004F1C7C" w:rsidRDefault="00482AB3" w:rsidP="00482AB3">
      <w:pPr>
        <w:pStyle w:val="ListParagraph"/>
        <w:numPr>
          <w:ilvl w:val="1"/>
          <w:numId w:val="27"/>
        </w:numPr>
        <w:spacing w:after="0" w:line="240" w:lineRule="auto"/>
        <w:contextualSpacing w:val="0"/>
        <w:rPr>
          <w:rFonts w:cstheme="minorHAnsi"/>
        </w:rPr>
      </w:pPr>
      <w:r w:rsidRPr="004F1C7C">
        <w:rPr>
          <w:rFonts w:cstheme="minorHAnsi"/>
        </w:rPr>
        <w:t>Subjects experienced statistically significant pain relief 3, 6, and 12 months compared to baseline.</w:t>
      </w:r>
    </w:p>
    <w:p w14:paraId="0F3075E3" w14:textId="77777777" w:rsidR="00482AB3" w:rsidRPr="004F1C7C" w:rsidRDefault="00482AB3" w:rsidP="00482AB3">
      <w:pPr>
        <w:pStyle w:val="ListParagraph"/>
        <w:numPr>
          <w:ilvl w:val="2"/>
          <w:numId w:val="27"/>
        </w:numPr>
        <w:spacing w:after="0" w:line="240" w:lineRule="auto"/>
        <w:contextualSpacing w:val="0"/>
        <w:rPr>
          <w:rFonts w:cstheme="minorHAnsi"/>
        </w:rPr>
      </w:pPr>
      <w:r w:rsidRPr="004F1C7C">
        <w:rPr>
          <w:rFonts w:cstheme="minorHAnsi"/>
        </w:rPr>
        <w:t>Numeric rating scale score change of 3.0-3.2, which is clinically significant</w:t>
      </w:r>
    </w:p>
    <w:p w14:paraId="51274CDF" w14:textId="77777777" w:rsidR="00482AB3" w:rsidRPr="004F1C7C" w:rsidRDefault="00482AB3" w:rsidP="00482AB3">
      <w:pPr>
        <w:pStyle w:val="ListParagraph"/>
        <w:numPr>
          <w:ilvl w:val="1"/>
          <w:numId w:val="27"/>
        </w:numPr>
        <w:spacing w:after="0" w:line="240" w:lineRule="auto"/>
        <w:contextualSpacing w:val="0"/>
        <w:rPr>
          <w:rFonts w:cstheme="minorHAnsi"/>
        </w:rPr>
      </w:pPr>
      <w:r w:rsidRPr="004F1C7C">
        <w:rPr>
          <w:rFonts w:cstheme="minorHAnsi"/>
        </w:rPr>
        <w:t xml:space="preserve">Although only 24% of subjects (18/75) were treated with opioid medications before the </w:t>
      </w:r>
      <w:r w:rsidRPr="004F1C7C">
        <w:rPr>
          <w:rFonts w:cstheme="minorHAnsi"/>
          <w:i/>
          <w:iCs/>
        </w:rPr>
        <w:t xml:space="preserve">mild </w:t>
      </w:r>
      <w:r w:rsidRPr="004F1C7C">
        <w:rPr>
          <w:rFonts w:cstheme="minorHAnsi"/>
        </w:rPr>
        <w:t xml:space="preserve">intervention, there is a statistically significant change in opioid medications utilization between baseline and 3, 6, and 12-months after </w:t>
      </w:r>
      <w:r w:rsidRPr="004F1C7C">
        <w:rPr>
          <w:rFonts w:cstheme="minorHAnsi"/>
          <w:i/>
          <w:iCs/>
        </w:rPr>
        <w:t xml:space="preserve">mild </w:t>
      </w:r>
      <w:r w:rsidRPr="004F1C7C">
        <w:rPr>
          <w:rFonts w:cstheme="minorHAnsi"/>
        </w:rPr>
        <w:t>treatment (</w:t>
      </w:r>
      <w:r w:rsidRPr="004F1C7C">
        <w:rPr>
          <w:rFonts w:cstheme="minorHAnsi"/>
          <w:i/>
          <w:iCs/>
        </w:rPr>
        <w:t xml:space="preserve">p </w:t>
      </w:r>
      <w:r w:rsidRPr="004F1C7C">
        <w:rPr>
          <w:rFonts w:cstheme="minorHAnsi"/>
        </w:rPr>
        <w:t xml:space="preserve">= 0.0048, </w:t>
      </w:r>
      <w:r w:rsidRPr="004F1C7C">
        <w:rPr>
          <w:rFonts w:cstheme="minorHAnsi"/>
          <w:i/>
          <w:iCs/>
        </w:rPr>
        <w:t xml:space="preserve">p </w:t>
      </w:r>
      <w:r w:rsidRPr="004F1C7C">
        <w:rPr>
          <w:rFonts w:cstheme="minorHAnsi"/>
        </w:rPr>
        <w:t xml:space="preserve">= 0.0015, and </w:t>
      </w:r>
      <w:r w:rsidRPr="004F1C7C">
        <w:rPr>
          <w:rFonts w:cstheme="minorHAnsi"/>
          <w:i/>
          <w:iCs/>
        </w:rPr>
        <w:t xml:space="preserve">p </w:t>
      </w:r>
      <w:r w:rsidRPr="004F1C7C">
        <w:rPr>
          <w:rFonts w:cstheme="minorHAnsi"/>
        </w:rPr>
        <w:t>= 0.0067, respectively)</w:t>
      </w:r>
    </w:p>
    <w:p w14:paraId="6BBCE4D2" w14:textId="77777777" w:rsidR="00482AB3" w:rsidRPr="004F1C7C" w:rsidRDefault="00482AB3" w:rsidP="00482AB3">
      <w:pPr>
        <w:pStyle w:val="ListParagraph"/>
        <w:numPr>
          <w:ilvl w:val="1"/>
          <w:numId w:val="27"/>
        </w:numPr>
        <w:spacing w:after="0" w:line="240" w:lineRule="auto"/>
        <w:contextualSpacing w:val="0"/>
        <w:rPr>
          <w:rFonts w:cstheme="minorHAnsi"/>
        </w:rPr>
      </w:pPr>
      <w:r w:rsidRPr="004F1C7C">
        <w:rPr>
          <w:rFonts w:cstheme="minorHAnsi"/>
        </w:rPr>
        <w:t>12 patients had minor complications (postoperative pain, ecchymosis, allergic dermatitis)</w:t>
      </w:r>
    </w:p>
    <w:p w14:paraId="48A33603" w14:textId="77777777" w:rsidR="00482AB3" w:rsidRPr="004F1C7C" w:rsidRDefault="00482AB3" w:rsidP="00482AB3">
      <w:pPr>
        <w:pStyle w:val="ListParagraph"/>
        <w:ind w:left="1440"/>
        <w:rPr>
          <w:rFonts w:cstheme="minorHAnsi"/>
        </w:rPr>
      </w:pPr>
    </w:p>
    <w:p w14:paraId="385BF652" w14:textId="77777777" w:rsidR="00482AB3" w:rsidRPr="004F1C7C" w:rsidRDefault="00482AB3" w:rsidP="00482AB3">
      <w:pPr>
        <w:pStyle w:val="ListParagraph"/>
        <w:numPr>
          <w:ilvl w:val="0"/>
          <w:numId w:val="27"/>
        </w:numPr>
        <w:spacing w:after="0" w:line="240" w:lineRule="auto"/>
        <w:contextualSpacing w:val="0"/>
        <w:rPr>
          <w:rFonts w:cstheme="minorHAnsi"/>
        </w:rPr>
      </w:pPr>
      <w:r w:rsidRPr="004F1C7C">
        <w:rPr>
          <w:rFonts w:cstheme="minorHAnsi"/>
          <w:b/>
          <w:bCs/>
        </w:rPr>
        <w:t>Brown 2012,</w:t>
      </w:r>
      <w:r w:rsidRPr="004F1C7C">
        <w:rPr>
          <w:rFonts w:cstheme="minorHAnsi"/>
        </w:rPr>
        <w:t xml:space="preserve"> RCT of mild vs epidural steroid injection</w:t>
      </w:r>
    </w:p>
    <w:p w14:paraId="3B056A7A" w14:textId="77777777" w:rsidR="00482AB3" w:rsidRPr="004F1C7C" w:rsidRDefault="00482AB3" w:rsidP="00482AB3">
      <w:pPr>
        <w:pStyle w:val="ListParagraph"/>
        <w:numPr>
          <w:ilvl w:val="1"/>
          <w:numId w:val="27"/>
        </w:numPr>
        <w:spacing w:after="0" w:line="240" w:lineRule="auto"/>
        <w:contextualSpacing w:val="0"/>
        <w:rPr>
          <w:rFonts w:cstheme="minorHAnsi"/>
        </w:rPr>
      </w:pPr>
      <w:r w:rsidRPr="004F1C7C">
        <w:rPr>
          <w:rFonts w:cstheme="minorHAnsi"/>
        </w:rPr>
        <w:t>N=38 patients (21 Mild, 17 ESI)</w:t>
      </w:r>
    </w:p>
    <w:p w14:paraId="59D2971F" w14:textId="77777777" w:rsidR="00482AB3" w:rsidRPr="004F1C7C" w:rsidRDefault="00482AB3" w:rsidP="00482AB3">
      <w:pPr>
        <w:pStyle w:val="ListParagraph"/>
        <w:numPr>
          <w:ilvl w:val="2"/>
          <w:numId w:val="27"/>
        </w:numPr>
        <w:spacing w:after="0" w:line="240" w:lineRule="auto"/>
        <w:contextualSpacing w:val="0"/>
        <w:rPr>
          <w:rFonts w:cstheme="minorHAnsi"/>
        </w:rPr>
      </w:pPr>
      <w:r w:rsidRPr="004F1C7C">
        <w:rPr>
          <w:rFonts w:cstheme="minorHAnsi"/>
        </w:rPr>
        <w:t>Funded by Vertos Medical</w:t>
      </w:r>
    </w:p>
    <w:p w14:paraId="7EFC6111" w14:textId="77777777" w:rsidR="00482AB3" w:rsidRPr="004F1C7C" w:rsidRDefault="00482AB3" w:rsidP="00482AB3">
      <w:pPr>
        <w:pStyle w:val="ListParagraph"/>
        <w:numPr>
          <w:ilvl w:val="1"/>
          <w:numId w:val="27"/>
        </w:numPr>
        <w:spacing w:after="0" w:line="240" w:lineRule="auto"/>
        <w:contextualSpacing w:val="0"/>
        <w:rPr>
          <w:rFonts w:cstheme="minorHAnsi"/>
        </w:rPr>
      </w:pPr>
      <w:r w:rsidRPr="004F1C7C">
        <w:rPr>
          <w:rFonts w:cstheme="minorHAnsi"/>
        </w:rPr>
        <w:t>At 6- and 12-week follow-up, patients treated with mild reported significantly greater pain decrease over time (P &lt; 0.0001), and significantly greater functional mobility improvement over time (P &lt; 0.0018) than ESI patients.  No major mild or ESI device or procedure-related complications were reported.</w:t>
      </w:r>
    </w:p>
    <w:p w14:paraId="3324BD17" w14:textId="77777777" w:rsidR="00482AB3" w:rsidRPr="004F1C7C" w:rsidRDefault="00482AB3" w:rsidP="00482AB3">
      <w:pPr>
        <w:pStyle w:val="ListParagraph"/>
        <w:rPr>
          <w:rFonts w:cstheme="minorHAnsi"/>
        </w:rPr>
      </w:pPr>
    </w:p>
    <w:p w14:paraId="2376F532" w14:textId="77777777" w:rsidR="00482AB3" w:rsidRPr="004F1C7C" w:rsidRDefault="00482AB3" w:rsidP="00482AB3">
      <w:pPr>
        <w:outlineLvl w:val="0"/>
        <w:rPr>
          <w:rFonts w:cstheme="minorHAnsi"/>
          <w:b/>
          <w:bCs/>
        </w:rPr>
      </w:pPr>
    </w:p>
    <w:p w14:paraId="25A950D6" w14:textId="77777777" w:rsidR="00482AB3" w:rsidRDefault="00482AB3" w:rsidP="00482AB3">
      <w:pPr>
        <w:outlineLvl w:val="0"/>
        <w:rPr>
          <w:rFonts w:cstheme="minorHAnsi"/>
          <w:u w:val="single"/>
        </w:rPr>
      </w:pPr>
      <w:r>
        <w:rPr>
          <w:rFonts w:cstheme="minorHAnsi"/>
          <w:u w:val="single"/>
        </w:rPr>
        <w:t>Expert recommendations</w:t>
      </w:r>
    </w:p>
    <w:p w14:paraId="6B8EFB21" w14:textId="77777777" w:rsidR="00482AB3" w:rsidRDefault="00482AB3" w:rsidP="00482AB3">
      <w:pPr>
        <w:pStyle w:val="ListParagraph"/>
        <w:numPr>
          <w:ilvl w:val="0"/>
          <w:numId w:val="31"/>
        </w:numPr>
        <w:spacing w:after="0" w:line="240" w:lineRule="auto"/>
        <w:contextualSpacing w:val="0"/>
        <w:outlineLvl w:val="0"/>
        <w:rPr>
          <w:rFonts w:cstheme="minorHAnsi"/>
        </w:rPr>
      </w:pPr>
      <w:r w:rsidRPr="00220C7C">
        <w:rPr>
          <w:rFonts w:cstheme="minorHAnsi"/>
          <w:b/>
          <w:bCs/>
        </w:rPr>
        <w:t>Deer 2018</w:t>
      </w:r>
      <w:r w:rsidRPr="00220C7C">
        <w:rPr>
          <w:rFonts w:cstheme="minorHAnsi"/>
        </w:rPr>
        <w:t>, MIST recommendations for minimally invasive spinal treatment for lumbar spinal stenosis</w:t>
      </w:r>
    </w:p>
    <w:p w14:paraId="67451593" w14:textId="77777777" w:rsidR="00482AB3" w:rsidRPr="00220C7C" w:rsidRDefault="00482AB3" w:rsidP="00482AB3">
      <w:pPr>
        <w:pStyle w:val="ListParagraph"/>
        <w:numPr>
          <w:ilvl w:val="1"/>
          <w:numId w:val="31"/>
        </w:numPr>
        <w:spacing w:after="0" w:line="240" w:lineRule="auto"/>
        <w:contextualSpacing w:val="0"/>
        <w:outlineLvl w:val="0"/>
        <w:rPr>
          <w:rFonts w:cstheme="minorHAnsi"/>
        </w:rPr>
      </w:pPr>
      <w:r w:rsidRPr="00220C7C">
        <w:rPr>
          <w:rFonts w:cstheme="minorHAnsi"/>
        </w:rPr>
        <w:t>West Virginia Society for Interventional Pain Physicians</w:t>
      </w:r>
    </w:p>
    <w:p w14:paraId="60599A84" w14:textId="77777777" w:rsidR="00482AB3" w:rsidRPr="00220C7C" w:rsidRDefault="00482AB3" w:rsidP="00482AB3">
      <w:pPr>
        <w:pStyle w:val="ListParagraph"/>
        <w:numPr>
          <w:ilvl w:val="1"/>
          <w:numId w:val="31"/>
        </w:numPr>
        <w:spacing w:after="0" w:line="240" w:lineRule="auto"/>
        <w:contextualSpacing w:val="0"/>
        <w:outlineLvl w:val="0"/>
        <w:rPr>
          <w:rFonts w:cstheme="minorHAnsi"/>
        </w:rPr>
      </w:pPr>
      <w:r w:rsidRPr="00220C7C">
        <w:rPr>
          <w:rFonts w:cstheme="minorHAnsi"/>
        </w:rPr>
        <w:t>Funded by a grant from Vertos Medical</w:t>
      </w:r>
    </w:p>
    <w:p w14:paraId="6889AC4B" w14:textId="77777777" w:rsidR="00482AB3" w:rsidRPr="00220C7C" w:rsidRDefault="00482AB3" w:rsidP="00482AB3">
      <w:pPr>
        <w:pStyle w:val="ListParagraph"/>
        <w:numPr>
          <w:ilvl w:val="1"/>
          <w:numId w:val="31"/>
        </w:numPr>
        <w:spacing w:after="0" w:line="240" w:lineRule="auto"/>
        <w:contextualSpacing w:val="0"/>
        <w:outlineLvl w:val="0"/>
        <w:rPr>
          <w:rFonts w:cstheme="minorHAnsi"/>
        </w:rPr>
      </w:pPr>
      <w:r w:rsidRPr="00220C7C">
        <w:rPr>
          <w:rFonts w:cstheme="minorHAnsi"/>
        </w:rPr>
        <w:t>Based on the systematic review of the available literature for PILD (Table 9), the consensus committee has determined that there is sufficient support to warrant Level I evidence using the USPSTF criteria. The 2 comparative prospective studies that led to reimbursement approval by the CMS are both Level I (USPSTF criteria). All RCT evidence compares PILD to lumbar ESI and not to open decompression (Grade A, Level I, Consensus strong).</w:t>
      </w:r>
    </w:p>
    <w:p w14:paraId="04A39A22" w14:textId="77777777" w:rsidR="00482AB3" w:rsidRDefault="00482AB3" w:rsidP="00482AB3">
      <w:pPr>
        <w:outlineLvl w:val="0"/>
        <w:rPr>
          <w:rFonts w:cstheme="minorHAnsi"/>
          <w:u w:val="single"/>
        </w:rPr>
      </w:pPr>
    </w:p>
    <w:p w14:paraId="135CB883" w14:textId="77777777" w:rsidR="00482AB3" w:rsidRPr="004F1C7C" w:rsidRDefault="00482AB3" w:rsidP="00482AB3">
      <w:pPr>
        <w:outlineLvl w:val="0"/>
        <w:rPr>
          <w:rFonts w:cstheme="minorHAnsi"/>
          <w:u w:val="single"/>
        </w:rPr>
      </w:pPr>
    </w:p>
    <w:p w14:paraId="671F28DE" w14:textId="77777777" w:rsidR="00482AB3" w:rsidRPr="004F1C7C" w:rsidRDefault="00482AB3" w:rsidP="00482AB3">
      <w:pPr>
        <w:outlineLvl w:val="0"/>
        <w:rPr>
          <w:rFonts w:cstheme="minorHAnsi"/>
          <w:u w:val="single"/>
        </w:rPr>
      </w:pPr>
      <w:r w:rsidRPr="004F1C7C">
        <w:rPr>
          <w:rFonts w:cstheme="minorHAnsi"/>
          <w:u w:val="single"/>
        </w:rPr>
        <w:t>Other payer coverage</w:t>
      </w:r>
    </w:p>
    <w:p w14:paraId="316FBE17" w14:textId="77777777" w:rsidR="00482AB3" w:rsidRPr="004F1C7C" w:rsidRDefault="00482AB3" w:rsidP="00482AB3">
      <w:pPr>
        <w:pStyle w:val="ListParagraph"/>
        <w:numPr>
          <w:ilvl w:val="0"/>
          <w:numId w:val="28"/>
        </w:numPr>
        <w:spacing w:after="0" w:line="240" w:lineRule="auto"/>
        <w:contextualSpacing w:val="0"/>
        <w:outlineLvl w:val="0"/>
        <w:rPr>
          <w:rFonts w:cstheme="minorHAnsi"/>
          <w:b/>
          <w:bCs/>
        </w:rPr>
      </w:pPr>
      <w:r w:rsidRPr="004F1C7C">
        <w:rPr>
          <w:rFonts w:cstheme="minorHAnsi"/>
          <w:b/>
          <w:bCs/>
        </w:rPr>
        <w:t xml:space="preserve">CMS 2016: </w:t>
      </w:r>
      <w:r w:rsidRPr="004F1C7C">
        <w:rPr>
          <w:rFonts w:cstheme="minorHAnsi"/>
        </w:rPr>
        <w:t>covers only with evidence development</w:t>
      </w:r>
    </w:p>
    <w:p w14:paraId="26DC5259" w14:textId="77777777" w:rsidR="00482AB3" w:rsidRPr="004F1C7C" w:rsidRDefault="00482AB3" w:rsidP="00482AB3">
      <w:pPr>
        <w:pStyle w:val="ListParagraph"/>
        <w:numPr>
          <w:ilvl w:val="0"/>
          <w:numId w:val="28"/>
        </w:numPr>
        <w:spacing w:after="0" w:line="240" w:lineRule="auto"/>
        <w:contextualSpacing w:val="0"/>
        <w:outlineLvl w:val="0"/>
        <w:rPr>
          <w:rFonts w:cstheme="minorHAnsi"/>
          <w:b/>
          <w:bCs/>
        </w:rPr>
      </w:pPr>
      <w:r w:rsidRPr="004F1C7C">
        <w:rPr>
          <w:rFonts w:cstheme="minorHAnsi"/>
          <w:b/>
          <w:bCs/>
        </w:rPr>
        <w:t>Aetna 2021:</w:t>
      </w:r>
      <w:r w:rsidRPr="004F1C7C">
        <w:rPr>
          <w:rFonts w:cstheme="minorHAnsi"/>
        </w:rPr>
        <w:t xml:space="preserve"> considers MILD to be experimental</w:t>
      </w:r>
    </w:p>
    <w:p w14:paraId="6D4FD993" w14:textId="77777777" w:rsidR="00482AB3" w:rsidRPr="004F1C7C" w:rsidRDefault="00482AB3" w:rsidP="00482AB3">
      <w:pPr>
        <w:pStyle w:val="ListParagraph"/>
        <w:numPr>
          <w:ilvl w:val="0"/>
          <w:numId w:val="28"/>
        </w:numPr>
        <w:spacing w:after="0" w:line="240" w:lineRule="auto"/>
        <w:contextualSpacing w:val="0"/>
        <w:outlineLvl w:val="0"/>
        <w:rPr>
          <w:rFonts w:cstheme="minorHAnsi"/>
          <w:b/>
          <w:bCs/>
        </w:rPr>
      </w:pPr>
      <w:r w:rsidRPr="004F1C7C">
        <w:rPr>
          <w:rFonts w:cstheme="minorHAnsi"/>
          <w:b/>
          <w:bCs/>
        </w:rPr>
        <w:t>Cigna 2021:</w:t>
      </w:r>
      <w:r w:rsidRPr="004F1C7C">
        <w:rPr>
          <w:rFonts w:cstheme="minorHAnsi"/>
        </w:rPr>
        <w:t xml:space="preserve"> considers MILD to be experimental</w:t>
      </w:r>
    </w:p>
    <w:p w14:paraId="2B5AD3EA" w14:textId="77777777" w:rsidR="00482AB3" w:rsidRPr="004F1C7C" w:rsidRDefault="00482AB3" w:rsidP="00482AB3">
      <w:pPr>
        <w:outlineLvl w:val="0"/>
        <w:rPr>
          <w:rFonts w:cstheme="minorHAnsi"/>
        </w:rPr>
      </w:pPr>
    </w:p>
    <w:p w14:paraId="7F8F7FA3" w14:textId="77777777" w:rsidR="00482AB3" w:rsidRPr="004F1C7C" w:rsidRDefault="00482AB3" w:rsidP="00482AB3">
      <w:pPr>
        <w:outlineLvl w:val="0"/>
        <w:rPr>
          <w:rFonts w:cstheme="minorHAnsi"/>
          <w:u w:val="single"/>
        </w:rPr>
      </w:pPr>
      <w:r w:rsidRPr="004F1C7C">
        <w:rPr>
          <w:rFonts w:cstheme="minorHAnsi"/>
          <w:u w:val="single"/>
        </w:rPr>
        <w:t>HERC staff summary</w:t>
      </w:r>
    </w:p>
    <w:p w14:paraId="3F208AB9" w14:textId="77777777" w:rsidR="00482AB3" w:rsidRPr="004F1C7C" w:rsidRDefault="00482AB3" w:rsidP="00482AB3">
      <w:pPr>
        <w:outlineLvl w:val="0"/>
        <w:rPr>
          <w:rFonts w:cstheme="minorHAnsi"/>
        </w:rPr>
      </w:pPr>
      <w:r w:rsidRPr="004F1C7C">
        <w:rPr>
          <w:rFonts w:cstheme="minorHAnsi"/>
        </w:rPr>
        <w:t>Minimally invasive lumbar decompression for lumbar spinal stenosis has only been studied in small cohort studies or in RCTs comparing MILD to epidural steroid injections.  No trials were found comparing MILD to standard medical care, other minimally invasive surgical procedures, lumbar fusion, or other treatments current</w:t>
      </w:r>
      <w:r>
        <w:rPr>
          <w:rFonts w:cstheme="minorHAnsi"/>
        </w:rPr>
        <w:t>ly</w:t>
      </w:r>
      <w:r w:rsidRPr="004F1C7C">
        <w:rPr>
          <w:rFonts w:cstheme="minorHAnsi"/>
        </w:rPr>
        <w:t xml:space="preserve"> paired with lumbar spinal stenosis.  The RCTs identified had major limitations including lack of ability to adequately blind investigators</w:t>
      </w:r>
      <w:r>
        <w:rPr>
          <w:rFonts w:cstheme="minorHAnsi"/>
        </w:rPr>
        <w:t xml:space="preserve"> and small sample sizes</w:t>
      </w:r>
      <w:r w:rsidRPr="004F1C7C">
        <w:rPr>
          <w:rFonts w:cstheme="minorHAnsi"/>
        </w:rPr>
        <w:t xml:space="preserve">.  The cohort studies were limited by lack of comparison groups and small sample sizes.  No private payer surveyed are covering this procedure and CMS only covers as part of clinical trials. </w:t>
      </w:r>
    </w:p>
    <w:p w14:paraId="5E76B472" w14:textId="77777777" w:rsidR="00482AB3" w:rsidRPr="004F1C7C" w:rsidRDefault="00482AB3" w:rsidP="00482AB3">
      <w:pPr>
        <w:outlineLvl w:val="0"/>
        <w:rPr>
          <w:rFonts w:cstheme="minorHAnsi"/>
        </w:rPr>
      </w:pPr>
    </w:p>
    <w:p w14:paraId="0AF56012" w14:textId="77777777" w:rsidR="00482AB3" w:rsidRPr="004F1C7C" w:rsidRDefault="00482AB3" w:rsidP="00482AB3">
      <w:pPr>
        <w:outlineLvl w:val="0"/>
        <w:rPr>
          <w:rFonts w:cstheme="minorHAnsi"/>
        </w:rPr>
      </w:pPr>
      <w:r w:rsidRPr="004F1C7C">
        <w:rPr>
          <w:rFonts w:cstheme="minorHAnsi"/>
        </w:rPr>
        <w:t>There is insufficient evidence in the medical literature to demonstrate the safety and efficacy of percutaneous laminotomy/laminectomy approaches, including th</w:t>
      </w:r>
      <w:r w:rsidRPr="007F3C6C">
        <w:rPr>
          <w:rFonts w:cstheme="minorHAnsi"/>
        </w:rPr>
        <w:t>e MILD</w:t>
      </w:r>
      <w:r w:rsidRPr="004F1C7C">
        <w:rPr>
          <w:rFonts w:cstheme="minorHAnsi"/>
        </w:rPr>
        <w:t xml:space="preserve"> procedure. Additional well</w:t>
      </w:r>
      <w:r>
        <w:rPr>
          <w:rFonts w:cstheme="minorHAnsi"/>
        </w:rPr>
        <w:t>-</w:t>
      </w:r>
      <w:r w:rsidRPr="004F1C7C">
        <w:rPr>
          <w:rFonts w:cstheme="minorHAnsi"/>
        </w:rPr>
        <w:t xml:space="preserve">designed trials comparing </w:t>
      </w:r>
      <w:r w:rsidRPr="007F3C6C">
        <w:rPr>
          <w:rFonts w:cstheme="minorHAnsi"/>
        </w:rPr>
        <w:t>MILD</w:t>
      </w:r>
      <w:r>
        <w:rPr>
          <w:rFonts w:cstheme="minorHAnsi"/>
          <w:i/>
          <w:iCs/>
        </w:rPr>
        <w:t xml:space="preserve"> </w:t>
      </w:r>
      <w:r w:rsidRPr="004F1C7C">
        <w:rPr>
          <w:rFonts w:cstheme="minorHAnsi"/>
        </w:rPr>
        <w:t>with other decompressive procedures (e.g., standard open laminectomy, minimally invasive decompression) with long-term outcome data are needed to determine how this procedure compares to available alternative treatments for lumbar stenosis</w:t>
      </w:r>
      <w:r>
        <w:rPr>
          <w:rFonts w:cstheme="minorHAnsi"/>
        </w:rPr>
        <w:t xml:space="preserve"> that are currently covered on the Prioritized List (e.g. not epidural steroid injections)</w:t>
      </w:r>
      <w:r w:rsidRPr="004F1C7C">
        <w:rPr>
          <w:rFonts w:cstheme="minorHAnsi"/>
        </w:rPr>
        <w:t>.</w:t>
      </w:r>
    </w:p>
    <w:p w14:paraId="0273402D" w14:textId="77777777" w:rsidR="00482AB3" w:rsidRPr="004F1C7C" w:rsidRDefault="00482AB3" w:rsidP="00482AB3">
      <w:pPr>
        <w:outlineLvl w:val="0"/>
        <w:rPr>
          <w:rFonts w:cstheme="minorHAnsi"/>
        </w:rPr>
      </w:pPr>
    </w:p>
    <w:p w14:paraId="1A71A337" w14:textId="77777777" w:rsidR="00482AB3" w:rsidRPr="004F1C7C" w:rsidRDefault="00482AB3" w:rsidP="00482AB3">
      <w:pPr>
        <w:outlineLvl w:val="0"/>
        <w:rPr>
          <w:rFonts w:cstheme="minorHAnsi"/>
        </w:rPr>
      </w:pPr>
    </w:p>
    <w:p w14:paraId="148F368C" w14:textId="77777777" w:rsidR="00482AB3" w:rsidRPr="004F1C7C" w:rsidRDefault="00482AB3" w:rsidP="00482AB3">
      <w:pPr>
        <w:outlineLvl w:val="0"/>
        <w:rPr>
          <w:rFonts w:cstheme="minorHAnsi"/>
        </w:rPr>
      </w:pPr>
    </w:p>
    <w:p w14:paraId="552C60DD" w14:textId="77777777" w:rsidR="00482AB3" w:rsidRPr="004F1C7C" w:rsidRDefault="00482AB3" w:rsidP="00482AB3">
      <w:pPr>
        <w:outlineLvl w:val="0"/>
        <w:rPr>
          <w:rFonts w:cstheme="minorHAnsi"/>
        </w:rPr>
      </w:pPr>
      <w:r w:rsidRPr="004F1C7C">
        <w:rPr>
          <w:rFonts w:cstheme="minorHAnsi"/>
          <w:u w:val="single"/>
        </w:rPr>
        <w:t>HERC staff recommendations</w:t>
      </w:r>
      <w:r w:rsidRPr="004F1C7C">
        <w:rPr>
          <w:rFonts w:cstheme="minorHAnsi"/>
        </w:rPr>
        <w:t>:</w:t>
      </w:r>
    </w:p>
    <w:p w14:paraId="228CED7B" w14:textId="77777777" w:rsidR="00482AB3" w:rsidRPr="004F1C7C" w:rsidRDefault="00482AB3" w:rsidP="00482AB3">
      <w:pPr>
        <w:pStyle w:val="ListParagraph"/>
        <w:numPr>
          <w:ilvl w:val="0"/>
          <w:numId w:val="30"/>
        </w:numPr>
        <w:spacing w:after="0" w:line="240" w:lineRule="auto"/>
        <w:contextualSpacing w:val="0"/>
        <w:outlineLvl w:val="0"/>
        <w:rPr>
          <w:rFonts w:cstheme="minorHAnsi"/>
        </w:rPr>
      </w:pPr>
      <w:r w:rsidRPr="004F1C7C">
        <w:rPr>
          <w:rFonts w:cstheme="minorHAnsi"/>
        </w:rPr>
        <w:t>Add minimally invasive lumbar decompression to line 662/GN173 as shown below</w:t>
      </w:r>
    </w:p>
    <w:p w14:paraId="137F5071" w14:textId="77777777" w:rsidR="00482AB3" w:rsidRPr="004F1C7C" w:rsidRDefault="00482AB3" w:rsidP="00482AB3">
      <w:pPr>
        <w:pStyle w:val="Heading1"/>
        <w:spacing w:after="0"/>
        <w:rPr>
          <w:rFonts w:asciiTheme="minorHAnsi" w:hAnsiTheme="minorHAnsi" w:cstheme="minorHAnsi"/>
          <w:sz w:val="22"/>
          <w:szCs w:val="22"/>
        </w:rPr>
      </w:pPr>
    </w:p>
    <w:p w14:paraId="163DC0D7" w14:textId="5E0EF57F" w:rsidR="00482AB3" w:rsidRPr="004F1C7C" w:rsidRDefault="008B4075" w:rsidP="00482AB3">
      <w:pPr>
        <w:pStyle w:val="Heading1"/>
        <w:spacing w:after="0"/>
        <w:rPr>
          <w:rFonts w:asciiTheme="minorHAnsi" w:hAnsiTheme="minorHAnsi" w:cstheme="minorHAnsi"/>
          <w:sz w:val="22"/>
          <w:szCs w:val="22"/>
        </w:rPr>
      </w:pPr>
      <w:r>
        <w:rPr>
          <w:rFonts w:asciiTheme="minorHAnsi" w:hAnsiTheme="minorHAnsi" w:cstheme="minorHAnsi"/>
          <w:sz w:val="22"/>
          <w:szCs w:val="22"/>
        </w:rPr>
        <w:t>EXCLUDED SERVICES GUIDELINE 2</w:t>
      </w:r>
      <w:r w:rsidR="00482AB3" w:rsidRPr="004F1C7C">
        <w:rPr>
          <w:rFonts w:asciiTheme="minorHAnsi" w:hAnsiTheme="minorHAnsi" w:cstheme="minorHAnsi"/>
          <w:sz w:val="22"/>
          <w:szCs w:val="22"/>
        </w:rPr>
        <w:t>, INTERVENTIONS THAT ARE UNPROVEN, HAVE NO CLINICALLY IMPORTANT BENEFIT OR HAVE HARMS THAT OUTWEIGH BENEFITS FOR CERTAIN CONDITIONS</w:t>
      </w:r>
    </w:p>
    <w:p w14:paraId="5A1BBE03" w14:textId="77777777" w:rsidR="00482AB3" w:rsidRPr="004F1C7C" w:rsidRDefault="00482AB3" w:rsidP="00482AB3">
      <w:pPr>
        <w:pStyle w:val="HSCGLLineList"/>
        <w:spacing w:after="0"/>
        <w:rPr>
          <w:rFonts w:asciiTheme="minorHAnsi" w:hAnsiTheme="minorHAnsi" w:cstheme="minorHAnsi"/>
          <w:sz w:val="22"/>
          <w:szCs w:val="22"/>
        </w:rPr>
      </w:pPr>
      <w:r w:rsidRPr="004F1C7C">
        <w:rPr>
          <w:rFonts w:asciiTheme="minorHAnsi" w:hAnsiTheme="minorHAnsi" w:cstheme="minorHAnsi"/>
          <w:sz w:val="22"/>
          <w:szCs w:val="22"/>
        </w:rPr>
        <w:t>Line 662</w:t>
      </w:r>
    </w:p>
    <w:p w14:paraId="755564FC" w14:textId="77777777" w:rsidR="00482AB3" w:rsidRPr="004F1C7C" w:rsidRDefault="00482AB3" w:rsidP="00482AB3">
      <w:pPr>
        <w:pStyle w:val="HSCNormal"/>
        <w:rPr>
          <w:rFonts w:asciiTheme="minorHAnsi" w:hAnsiTheme="minorHAnsi" w:cstheme="minorHAnsi"/>
          <w:sz w:val="22"/>
          <w:szCs w:val="22"/>
        </w:rPr>
      </w:pPr>
      <w:r w:rsidRPr="004F1C7C">
        <w:rPr>
          <w:rFonts w:asciiTheme="minorHAnsi" w:hAnsiTheme="minorHAnsi" w:cstheme="minorHAnsi"/>
          <w:sz w:val="22"/>
          <w:szCs w:val="22"/>
        </w:rPr>
        <w:t>The following Interventions are prioritized on Line 662 CONDITIONS FOR WHICH CERTAIN INTERVENTIONS ARE UNPROVEN, HAVE NO CLINICALLY IMPORTANT BENEFIT OR HAVE HARMS THAT OUTWEIGH BENEFITS:</w:t>
      </w:r>
    </w:p>
    <w:p w14:paraId="681006F7" w14:textId="77777777" w:rsidR="00482AB3" w:rsidRPr="004F1C7C" w:rsidRDefault="00482AB3" w:rsidP="00482AB3">
      <w:pPr>
        <w:rPr>
          <w:rFonts w:eastAsia="Times New Roman" w:cstheme="minorHAnsi"/>
        </w:rPr>
      </w:pPr>
    </w:p>
    <w:tbl>
      <w:tblPr>
        <w:tblStyle w:val="TableGrid"/>
        <w:tblW w:w="9445" w:type="dxa"/>
        <w:tblLook w:val="04A0" w:firstRow="1" w:lastRow="0" w:firstColumn="1" w:lastColumn="0" w:noHBand="0" w:noVBand="1"/>
      </w:tblPr>
      <w:tblGrid>
        <w:gridCol w:w="1551"/>
        <w:gridCol w:w="3323"/>
        <w:gridCol w:w="2956"/>
        <w:gridCol w:w="1615"/>
      </w:tblGrid>
      <w:tr w:rsidR="00482AB3" w:rsidRPr="004F1C7C" w14:paraId="17593E15" w14:textId="77777777" w:rsidTr="0065000E">
        <w:trPr>
          <w:cantSplit/>
          <w:trHeight w:val="197"/>
          <w:tblHeader/>
        </w:trPr>
        <w:tc>
          <w:tcPr>
            <w:tcW w:w="1551" w:type="dxa"/>
            <w:shd w:val="clear" w:color="auto" w:fill="D9D9D9" w:themeFill="background1" w:themeFillShade="D9"/>
            <w:hideMark/>
          </w:tcPr>
          <w:p w14:paraId="49E80F77" w14:textId="77777777" w:rsidR="00482AB3" w:rsidRPr="004F1C7C" w:rsidRDefault="00482AB3" w:rsidP="0065000E">
            <w:pPr>
              <w:rPr>
                <w:rStyle w:val="PageNumber"/>
                <w:rFonts w:cstheme="minorHAnsi"/>
                <w:b/>
              </w:rPr>
            </w:pPr>
            <w:r w:rsidRPr="004F1C7C">
              <w:rPr>
                <w:rStyle w:val="PageNumber"/>
                <w:rFonts w:cstheme="minorHAnsi"/>
                <w:b/>
              </w:rPr>
              <w:t>Procedure Code</w:t>
            </w:r>
          </w:p>
        </w:tc>
        <w:tc>
          <w:tcPr>
            <w:tcW w:w="3323" w:type="dxa"/>
            <w:shd w:val="clear" w:color="auto" w:fill="D9D9D9" w:themeFill="background1" w:themeFillShade="D9"/>
            <w:hideMark/>
          </w:tcPr>
          <w:p w14:paraId="66A62AFC" w14:textId="77777777" w:rsidR="00482AB3" w:rsidRPr="004F1C7C" w:rsidRDefault="00482AB3" w:rsidP="0065000E">
            <w:pPr>
              <w:rPr>
                <w:rStyle w:val="PageNumber"/>
                <w:rFonts w:cstheme="minorHAnsi"/>
                <w:b/>
              </w:rPr>
            </w:pPr>
            <w:r w:rsidRPr="004F1C7C">
              <w:rPr>
                <w:rStyle w:val="PageNumber"/>
                <w:rFonts w:cstheme="minorHAnsi"/>
                <w:b/>
              </w:rPr>
              <w:t>Intervention Description</w:t>
            </w:r>
          </w:p>
        </w:tc>
        <w:tc>
          <w:tcPr>
            <w:tcW w:w="2956" w:type="dxa"/>
            <w:shd w:val="clear" w:color="auto" w:fill="D9D9D9" w:themeFill="background1" w:themeFillShade="D9"/>
            <w:hideMark/>
          </w:tcPr>
          <w:p w14:paraId="0FCBEED3" w14:textId="77777777" w:rsidR="00482AB3" w:rsidRPr="004F1C7C" w:rsidRDefault="00482AB3" w:rsidP="0065000E">
            <w:pPr>
              <w:rPr>
                <w:rStyle w:val="PageNumber"/>
                <w:rFonts w:cstheme="minorHAnsi"/>
                <w:b/>
              </w:rPr>
            </w:pPr>
            <w:r w:rsidRPr="004F1C7C">
              <w:rPr>
                <w:rStyle w:val="PageNumber"/>
                <w:rFonts w:cstheme="minorHAnsi"/>
                <w:b/>
              </w:rPr>
              <w:t>Rationale</w:t>
            </w:r>
          </w:p>
        </w:tc>
        <w:tc>
          <w:tcPr>
            <w:tcW w:w="1615" w:type="dxa"/>
            <w:shd w:val="clear" w:color="auto" w:fill="D9D9D9" w:themeFill="background1" w:themeFillShade="D9"/>
            <w:hideMark/>
          </w:tcPr>
          <w:p w14:paraId="1D95CFFF" w14:textId="77777777" w:rsidR="00482AB3" w:rsidRPr="004F1C7C" w:rsidRDefault="00482AB3" w:rsidP="0065000E">
            <w:pPr>
              <w:rPr>
                <w:rStyle w:val="PageNumber"/>
                <w:rFonts w:cstheme="minorHAnsi"/>
                <w:b/>
              </w:rPr>
            </w:pPr>
            <w:r w:rsidRPr="004F1C7C">
              <w:rPr>
                <w:rStyle w:val="PageNumber"/>
                <w:rFonts w:cstheme="minorHAnsi"/>
                <w:b/>
              </w:rPr>
              <w:t>Last Review</w:t>
            </w:r>
          </w:p>
        </w:tc>
      </w:tr>
      <w:tr w:rsidR="00482AB3" w:rsidRPr="004F1C7C" w14:paraId="2AA666CC" w14:textId="77777777" w:rsidTr="0065000E">
        <w:trPr>
          <w:cantSplit/>
        </w:trPr>
        <w:tc>
          <w:tcPr>
            <w:tcW w:w="1551" w:type="dxa"/>
            <w:hideMark/>
          </w:tcPr>
          <w:p w14:paraId="55AF7A4D" w14:textId="77777777" w:rsidR="00482AB3" w:rsidRPr="004F1C7C" w:rsidRDefault="00482AB3" w:rsidP="0065000E">
            <w:pPr>
              <w:rPr>
                <w:rFonts w:cstheme="minorHAnsi"/>
                <w:color w:val="0070C0"/>
                <w:u w:val="single"/>
              </w:rPr>
            </w:pPr>
            <w:r w:rsidRPr="004F1C7C">
              <w:rPr>
                <w:rFonts w:cstheme="minorHAnsi"/>
                <w:color w:val="0070C0"/>
                <w:u w:val="single"/>
              </w:rPr>
              <w:t>0275T</w:t>
            </w:r>
          </w:p>
          <w:p w14:paraId="47F3D189" w14:textId="77777777" w:rsidR="00482AB3" w:rsidRPr="004F1C7C" w:rsidRDefault="00482AB3" w:rsidP="0065000E">
            <w:pPr>
              <w:rPr>
                <w:rFonts w:cstheme="minorHAnsi"/>
                <w:color w:val="0070C0"/>
                <w:u w:val="single"/>
              </w:rPr>
            </w:pPr>
          </w:p>
          <w:p w14:paraId="6FBA4E62" w14:textId="77777777" w:rsidR="00482AB3" w:rsidRPr="004F1C7C" w:rsidRDefault="00482AB3" w:rsidP="0065000E">
            <w:pPr>
              <w:rPr>
                <w:rFonts w:cstheme="minorHAnsi"/>
                <w:color w:val="0070C0"/>
                <w:u w:val="single"/>
              </w:rPr>
            </w:pPr>
          </w:p>
          <w:p w14:paraId="595DE8BB" w14:textId="77777777" w:rsidR="00482AB3" w:rsidRPr="004F1C7C" w:rsidRDefault="00482AB3" w:rsidP="0065000E">
            <w:pPr>
              <w:rPr>
                <w:rFonts w:cstheme="minorHAnsi"/>
                <w:color w:val="0070C0"/>
                <w:u w:val="single"/>
              </w:rPr>
            </w:pPr>
          </w:p>
          <w:p w14:paraId="02B633C4" w14:textId="77777777" w:rsidR="00482AB3" w:rsidRPr="004F1C7C" w:rsidRDefault="00482AB3" w:rsidP="0065000E">
            <w:pPr>
              <w:rPr>
                <w:rFonts w:cstheme="minorHAnsi"/>
                <w:color w:val="0070C0"/>
                <w:u w:val="single"/>
              </w:rPr>
            </w:pPr>
          </w:p>
          <w:p w14:paraId="22EC93E9" w14:textId="77777777" w:rsidR="00482AB3" w:rsidRPr="004F1C7C" w:rsidRDefault="00482AB3" w:rsidP="0065000E">
            <w:pPr>
              <w:rPr>
                <w:rFonts w:cstheme="minorHAnsi"/>
                <w:color w:val="0070C0"/>
                <w:u w:val="single"/>
              </w:rPr>
            </w:pPr>
          </w:p>
          <w:p w14:paraId="68F323D7" w14:textId="77777777" w:rsidR="00482AB3" w:rsidRPr="004F1C7C" w:rsidRDefault="00482AB3" w:rsidP="0065000E">
            <w:pPr>
              <w:rPr>
                <w:rFonts w:cstheme="minorHAnsi"/>
                <w:color w:val="0070C0"/>
                <w:u w:val="single"/>
              </w:rPr>
            </w:pPr>
          </w:p>
          <w:p w14:paraId="52B2E9EA" w14:textId="77777777" w:rsidR="00482AB3" w:rsidRPr="004F1C7C" w:rsidRDefault="00482AB3" w:rsidP="0065000E">
            <w:pPr>
              <w:rPr>
                <w:rFonts w:cstheme="minorHAnsi"/>
                <w:color w:val="0070C0"/>
                <w:u w:val="single"/>
              </w:rPr>
            </w:pPr>
          </w:p>
          <w:p w14:paraId="34C484AF" w14:textId="77777777" w:rsidR="00482AB3" w:rsidRPr="004F1C7C" w:rsidRDefault="00482AB3" w:rsidP="0065000E">
            <w:pPr>
              <w:rPr>
                <w:rFonts w:cstheme="minorHAnsi"/>
                <w:color w:val="0070C0"/>
                <w:u w:val="single"/>
              </w:rPr>
            </w:pPr>
          </w:p>
          <w:p w14:paraId="7222FCC5" w14:textId="77777777" w:rsidR="00482AB3" w:rsidRDefault="00482AB3" w:rsidP="0065000E">
            <w:pPr>
              <w:rPr>
                <w:rFonts w:cstheme="minorHAnsi"/>
                <w:color w:val="0070C0"/>
                <w:u w:val="single"/>
              </w:rPr>
            </w:pPr>
          </w:p>
          <w:p w14:paraId="4348118B" w14:textId="77777777" w:rsidR="00482AB3" w:rsidRDefault="00482AB3" w:rsidP="0065000E">
            <w:pPr>
              <w:rPr>
                <w:rFonts w:cstheme="minorHAnsi"/>
                <w:color w:val="0070C0"/>
                <w:u w:val="single"/>
              </w:rPr>
            </w:pPr>
          </w:p>
          <w:p w14:paraId="3ED5E4A0" w14:textId="77777777" w:rsidR="00482AB3" w:rsidRDefault="00482AB3" w:rsidP="0065000E">
            <w:pPr>
              <w:rPr>
                <w:rFonts w:cstheme="minorHAnsi"/>
                <w:color w:val="0070C0"/>
                <w:u w:val="single"/>
              </w:rPr>
            </w:pPr>
          </w:p>
          <w:p w14:paraId="2EB0B3E1" w14:textId="77777777" w:rsidR="00482AB3" w:rsidRPr="004F1C7C" w:rsidRDefault="00482AB3" w:rsidP="0065000E">
            <w:pPr>
              <w:rPr>
                <w:rFonts w:cstheme="minorHAnsi"/>
                <w:color w:val="0070C0"/>
                <w:u w:val="single"/>
              </w:rPr>
            </w:pPr>
            <w:r w:rsidRPr="004F1C7C">
              <w:rPr>
                <w:rFonts w:cstheme="minorHAnsi"/>
                <w:color w:val="0070C0"/>
                <w:u w:val="single"/>
              </w:rPr>
              <w:t>G0276</w:t>
            </w:r>
          </w:p>
        </w:tc>
        <w:tc>
          <w:tcPr>
            <w:tcW w:w="3323" w:type="dxa"/>
            <w:hideMark/>
          </w:tcPr>
          <w:p w14:paraId="4BF18BD7" w14:textId="77777777" w:rsidR="00482AB3" w:rsidRPr="004F1C7C" w:rsidRDefault="00482AB3" w:rsidP="0065000E">
            <w:pPr>
              <w:rPr>
                <w:rFonts w:cstheme="minorHAnsi"/>
                <w:color w:val="0070C0"/>
                <w:u w:val="single"/>
              </w:rPr>
            </w:pPr>
            <w:r w:rsidRPr="004F1C7C">
              <w:rPr>
                <w:rFonts w:cstheme="minorHAnsi"/>
                <w:color w:val="0070C0"/>
                <w:u w:val="single"/>
              </w:rPr>
              <w:t>Percutaneous laminotomy/laminectomy (interlaminar approach) for decompression of neural elements (with or without ligamentous resection, discectomy, facetectomy and/or foraminotomy), any method under indirect image guidance (eg, fluoroscopic, CT), single or multiple levels, unilateral or bilateral; lumbar</w:t>
            </w:r>
          </w:p>
          <w:p w14:paraId="0C8E8D6D" w14:textId="77777777" w:rsidR="00482AB3" w:rsidRPr="004F1C7C" w:rsidRDefault="00482AB3" w:rsidP="0065000E">
            <w:pPr>
              <w:rPr>
                <w:rFonts w:cstheme="minorHAnsi"/>
                <w:color w:val="0070C0"/>
                <w:u w:val="single"/>
              </w:rPr>
            </w:pPr>
            <w:r w:rsidRPr="00624E13">
              <w:rPr>
                <w:rFonts w:cstheme="minorHAnsi"/>
                <w:color w:val="0070C0"/>
                <w:u w:val="single"/>
              </w:rPr>
              <w:t>Blinded procedure for lumbar stenosis, PILD, or placebo control, performed in an approved coverage with evidence development (CED) clinical trial</w:t>
            </w:r>
          </w:p>
        </w:tc>
        <w:tc>
          <w:tcPr>
            <w:tcW w:w="2956" w:type="dxa"/>
            <w:hideMark/>
          </w:tcPr>
          <w:p w14:paraId="53D44BAA" w14:textId="77777777" w:rsidR="00482AB3" w:rsidRPr="004F1C7C" w:rsidRDefault="00482AB3" w:rsidP="0065000E">
            <w:pPr>
              <w:rPr>
                <w:rStyle w:val="PageNumber"/>
                <w:rFonts w:cstheme="minorHAnsi"/>
                <w:color w:val="0070C0"/>
                <w:u w:val="single"/>
              </w:rPr>
            </w:pPr>
            <w:r w:rsidRPr="004F1C7C">
              <w:rPr>
                <w:rStyle w:val="PageNumber"/>
                <w:rFonts w:cstheme="minorHAnsi"/>
                <w:color w:val="0070C0"/>
                <w:u w:val="single"/>
              </w:rPr>
              <w:t>Insufficient evidence of effectiveness</w:t>
            </w:r>
          </w:p>
        </w:tc>
        <w:tc>
          <w:tcPr>
            <w:tcW w:w="1615" w:type="dxa"/>
            <w:hideMark/>
          </w:tcPr>
          <w:p w14:paraId="12679406" w14:textId="2742BBFA" w:rsidR="00482AB3" w:rsidRPr="004F1C7C" w:rsidRDefault="00482AB3" w:rsidP="0065000E">
            <w:pPr>
              <w:rPr>
                <w:rFonts w:cstheme="minorHAnsi"/>
              </w:rPr>
            </w:pPr>
            <w:r w:rsidRPr="00482AB3">
              <w:rPr>
                <w:rFonts w:cstheme="minorHAnsi"/>
              </w:rPr>
              <w:t>October</w:t>
            </w:r>
            <w:r w:rsidRPr="00482AB3">
              <w:rPr>
                <w:rStyle w:val="Hyperlink"/>
                <w:rFonts w:cstheme="minorHAnsi"/>
                <w:color w:val="auto"/>
              </w:rPr>
              <w:t xml:space="preserve"> 2021</w:t>
            </w:r>
          </w:p>
        </w:tc>
      </w:tr>
    </w:tbl>
    <w:p w14:paraId="4CC277ED" w14:textId="77777777" w:rsidR="00482AB3" w:rsidRPr="004F1C7C" w:rsidRDefault="00482AB3" w:rsidP="00482AB3">
      <w:pPr>
        <w:outlineLvl w:val="0"/>
        <w:rPr>
          <w:rFonts w:cstheme="minorHAnsi"/>
        </w:rPr>
      </w:pPr>
    </w:p>
    <w:p w14:paraId="4E097D2C" w14:textId="77777777" w:rsidR="00482AB3" w:rsidRPr="003A7E4E" w:rsidRDefault="00482AB3" w:rsidP="003A7E4E">
      <w:pPr>
        <w:autoSpaceDE w:val="0"/>
        <w:autoSpaceDN w:val="0"/>
        <w:adjustRightInd w:val="0"/>
        <w:spacing w:after="0" w:line="240" w:lineRule="auto"/>
        <w:rPr>
          <w:rFonts w:cstheme="minorHAnsi"/>
          <w:b/>
          <w:sz w:val="24"/>
          <w:szCs w:val="24"/>
        </w:rPr>
      </w:pPr>
    </w:p>
    <w:sectPr w:rsidR="00482AB3" w:rsidRPr="003A7E4E" w:rsidSect="00A0640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AB8E7" w14:textId="77777777" w:rsidR="0025100D" w:rsidRDefault="0025100D">
      <w:r>
        <w:separator/>
      </w:r>
    </w:p>
  </w:endnote>
  <w:endnote w:type="continuationSeparator" w:id="0">
    <w:p w14:paraId="7E19CE48" w14:textId="77777777" w:rsidR="0025100D" w:rsidRDefault="0025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PSA337">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FrutigerLTStd-Ligh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63D7" w14:textId="77777777" w:rsidR="008B4075" w:rsidRDefault="008B4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BA86" w14:textId="77777777" w:rsidR="003E2BE9" w:rsidRPr="00146B0B" w:rsidRDefault="003E2BE9" w:rsidP="009D1C62">
    <w:pPr>
      <w:pStyle w:val="Footer"/>
    </w:pPr>
    <w:r>
      <w:tab/>
    </w:r>
    <w:r w:rsidR="00D941C7">
      <w:rPr>
        <w:noProof/>
      </w:rPr>
      <w:drawing>
        <wp:inline distT="0" distB="0" distL="0" distR="0" wp14:anchorId="04793D2D" wp14:editId="3A2C9E92">
          <wp:extent cx="904875" cy="3619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1950"/>
                  </a:xfrm>
                  <a:prstGeom prst="rect">
                    <a:avLst/>
                  </a:prstGeom>
                  <a:noFill/>
                  <a:ln w="9525">
                    <a:noFill/>
                    <a:miter lim="800000"/>
                    <a:headEnd/>
                    <a:tailEnd/>
                  </a:ln>
                </pic:spPr>
              </pic:pic>
            </a:graphicData>
          </a:graphic>
        </wp:inline>
      </w:drawing>
    </w:r>
    <w:r>
      <w:tab/>
    </w:r>
    <w:r w:rsidR="00062D99">
      <w:fldChar w:fldCharType="begin"/>
    </w:r>
    <w:r>
      <w:instrText xml:space="preserve"> PAGE  </w:instrText>
    </w:r>
    <w:r w:rsidR="00062D99">
      <w:fldChar w:fldCharType="separate"/>
    </w:r>
    <w:r w:rsidR="001135E2">
      <w:rPr>
        <w:noProof/>
      </w:rPr>
      <w:t>1</w:t>
    </w:r>
    <w:r w:rsidR="00062D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4E15" w14:textId="77777777" w:rsidR="008B4075" w:rsidRDefault="008B4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C2239" w14:textId="77777777" w:rsidR="0025100D" w:rsidRDefault="0025100D">
      <w:r>
        <w:separator/>
      </w:r>
    </w:p>
  </w:footnote>
  <w:footnote w:type="continuationSeparator" w:id="0">
    <w:p w14:paraId="28F19263" w14:textId="77777777" w:rsidR="0025100D" w:rsidRDefault="00251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6752" w14:textId="77777777" w:rsidR="008B4075" w:rsidRDefault="008B4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C84D" w14:textId="77777777" w:rsidR="00F11304" w:rsidRPr="00D17DC1" w:rsidRDefault="00BF2C88" w:rsidP="00D17DC1">
    <w:pPr>
      <w:jc w:val="center"/>
      <w:rPr>
        <w:b/>
        <w:noProof/>
        <w:sz w:val="28"/>
        <w:szCs w:val="28"/>
      </w:rPr>
    </w:pPr>
    <w:r w:rsidRPr="00D17DC1">
      <w:rPr>
        <w:b/>
        <w:noProof/>
        <w:sz w:val="28"/>
        <w:szCs w:val="28"/>
      </w:rPr>
      <w:t>Oregon Health Plan Prioritized List</w:t>
    </w:r>
  </w:p>
  <w:p w14:paraId="78B30DAF" w14:textId="68171072" w:rsidR="00D17DC1" w:rsidRPr="00876447" w:rsidRDefault="008B4075" w:rsidP="00D32460">
    <w:pPr>
      <w:jc w:val="center"/>
      <w:rPr>
        <w:rFonts w:asciiTheme="majorHAnsi" w:hAnsiTheme="majorHAnsi" w:cstheme="majorHAnsi"/>
        <w:b/>
      </w:rPr>
    </w:pPr>
    <w:r>
      <w:rPr>
        <w:b/>
        <w:noProof/>
        <w:sz w:val="28"/>
        <w:szCs w:val="28"/>
      </w:rPr>
      <w:t>Excluded Services Guideline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15A" w14:textId="77777777" w:rsidR="008B4075" w:rsidRDefault="008B4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367"/>
    <w:multiLevelType w:val="hybridMultilevel"/>
    <w:tmpl w:val="B8AAFF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6691E"/>
    <w:multiLevelType w:val="hybridMultilevel"/>
    <w:tmpl w:val="E5BA990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C1B5F"/>
    <w:multiLevelType w:val="hybridMultilevel"/>
    <w:tmpl w:val="6A522DB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83150"/>
    <w:multiLevelType w:val="hybridMultilevel"/>
    <w:tmpl w:val="09567BF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75061"/>
    <w:multiLevelType w:val="hybridMultilevel"/>
    <w:tmpl w:val="AD0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13E07"/>
    <w:multiLevelType w:val="hybridMultilevel"/>
    <w:tmpl w:val="C9987C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A7259"/>
    <w:multiLevelType w:val="hybridMultilevel"/>
    <w:tmpl w:val="61CE8A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F6EAE"/>
    <w:multiLevelType w:val="hybridMultilevel"/>
    <w:tmpl w:val="C90EAE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623FF"/>
    <w:multiLevelType w:val="hybridMultilevel"/>
    <w:tmpl w:val="9B8CE428"/>
    <w:lvl w:ilvl="0" w:tplc="0409001B">
      <w:start w:val="1"/>
      <w:numFmt w:val="lowerRoman"/>
      <w:lvlText w:val="%1."/>
      <w:lvlJc w:val="right"/>
      <w:pPr>
        <w:ind w:left="1800" w:hanging="36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2A73356C"/>
    <w:multiLevelType w:val="hybridMultilevel"/>
    <w:tmpl w:val="517ED1B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05EF3"/>
    <w:multiLevelType w:val="hybridMultilevel"/>
    <w:tmpl w:val="A3D4751C"/>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4BD6E36"/>
    <w:multiLevelType w:val="hybridMultilevel"/>
    <w:tmpl w:val="99C46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906481"/>
    <w:multiLevelType w:val="hybridMultilevel"/>
    <w:tmpl w:val="035C359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76619"/>
    <w:multiLevelType w:val="hybridMultilevel"/>
    <w:tmpl w:val="9DDEC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C11E8"/>
    <w:multiLevelType w:val="hybridMultilevel"/>
    <w:tmpl w:val="AD3EB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A57BD"/>
    <w:multiLevelType w:val="hybridMultilevel"/>
    <w:tmpl w:val="D1B236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D143F"/>
    <w:multiLevelType w:val="hybridMultilevel"/>
    <w:tmpl w:val="4D9AA0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1B55B15"/>
    <w:multiLevelType w:val="hybridMultilevel"/>
    <w:tmpl w:val="F5E60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90B1B"/>
    <w:multiLevelType w:val="hybridMultilevel"/>
    <w:tmpl w:val="019635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3508DD"/>
    <w:multiLevelType w:val="hybridMultilevel"/>
    <w:tmpl w:val="742E95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B51291"/>
    <w:multiLevelType w:val="hybridMultilevel"/>
    <w:tmpl w:val="37FC39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F767D6E"/>
    <w:multiLevelType w:val="hybridMultilevel"/>
    <w:tmpl w:val="76169C5C"/>
    <w:lvl w:ilvl="0" w:tplc="3AC878F4">
      <w:start w:val="1"/>
      <w:numFmt w:val="decimal"/>
      <w:lvlText w:val="%1)"/>
      <w:lvlJc w:val="left"/>
      <w:pPr>
        <w:ind w:left="720" w:hanging="360"/>
      </w:pPr>
      <w:rPr>
        <w:rFonts w:asciiTheme="minorHAnsi" w:hAnsiTheme="minorHAnsi" w:cs="AdvPSA337"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6A6607"/>
    <w:multiLevelType w:val="hybridMultilevel"/>
    <w:tmpl w:val="9D902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96D4562"/>
    <w:multiLevelType w:val="hybridMultilevel"/>
    <w:tmpl w:val="C83647C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03A3AB8"/>
    <w:multiLevelType w:val="hybridMultilevel"/>
    <w:tmpl w:val="F580F034"/>
    <w:lvl w:ilvl="0" w:tplc="507CF53E">
      <w:start w:val="1"/>
      <w:numFmt w:val="decimal"/>
      <w:lvlText w:val="%1)"/>
      <w:lvlJc w:val="left"/>
      <w:pPr>
        <w:tabs>
          <w:tab w:val="num" w:pos="720"/>
        </w:tabs>
        <w:ind w:left="720" w:hanging="360"/>
      </w:pPr>
      <w:rPr>
        <w:rFonts w:ascii="Arial" w:hAnsi="Arial" w:cs="Arial" w:hint="default"/>
        <w:color w:val="00008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08576CA"/>
    <w:multiLevelType w:val="hybridMultilevel"/>
    <w:tmpl w:val="AB100F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4B05897"/>
    <w:multiLevelType w:val="hybridMultilevel"/>
    <w:tmpl w:val="02E671A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C15DBF"/>
    <w:multiLevelType w:val="hybridMultilevel"/>
    <w:tmpl w:val="D79C22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33F66"/>
    <w:multiLevelType w:val="hybridMultilevel"/>
    <w:tmpl w:val="E7C2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5D08EA"/>
    <w:multiLevelType w:val="hybridMultilevel"/>
    <w:tmpl w:val="E32CD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8DB3760"/>
    <w:multiLevelType w:val="hybridMultilevel"/>
    <w:tmpl w:val="EB06F538"/>
    <w:lvl w:ilvl="0" w:tplc="54C46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5B4D15"/>
    <w:multiLevelType w:val="hybridMultilevel"/>
    <w:tmpl w:val="87D0E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7680813">
    <w:abstractNumId w:val="24"/>
  </w:num>
  <w:num w:numId="2" w16cid:durableId="1989244094">
    <w:abstractNumId w:val="4"/>
  </w:num>
  <w:num w:numId="3" w16cid:durableId="493301922">
    <w:abstractNumId w:val="23"/>
  </w:num>
  <w:num w:numId="4" w16cid:durableId="19151214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720269">
    <w:abstractNumId w:val="19"/>
  </w:num>
  <w:num w:numId="6" w16cid:durableId="140200189">
    <w:abstractNumId w:val="30"/>
  </w:num>
  <w:num w:numId="7" w16cid:durableId="14160532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36760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5473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84744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8848053">
    <w:abstractNumId w:val="13"/>
  </w:num>
  <w:num w:numId="12" w16cid:durableId="12743669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6091526">
    <w:abstractNumId w:val="8"/>
  </w:num>
  <w:num w:numId="14" w16cid:durableId="12950665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9958075">
    <w:abstractNumId w:val="8"/>
  </w:num>
  <w:num w:numId="16" w16cid:durableId="805658364">
    <w:abstractNumId w:val="11"/>
  </w:num>
  <w:num w:numId="17" w16cid:durableId="15933923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84929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9260346">
    <w:abstractNumId w:val="26"/>
  </w:num>
  <w:num w:numId="20" w16cid:durableId="352804496">
    <w:abstractNumId w:val="3"/>
  </w:num>
  <w:num w:numId="21" w16cid:durableId="364720379">
    <w:abstractNumId w:val="28"/>
  </w:num>
  <w:num w:numId="22" w16cid:durableId="576211173">
    <w:abstractNumId w:val="2"/>
  </w:num>
  <w:num w:numId="23" w16cid:durableId="1769736539">
    <w:abstractNumId w:val="12"/>
  </w:num>
  <w:num w:numId="24" w16cid:durableId="658047510">
    <w:abstractNumId w:val="1"/>
  </w:num>
  <w:num w:numId="25" w16cid:durableId="61105855">
    <w:abstractNumId w:val="7"/>
  </w:num>
  <w:num w:numId="26" w16cid:durableId="335377854">
    <w:abstractNumId w:val="0"/>
  </w:num>
  <w:num w:numId="27" w16cid:durableId="992610694">
    <w:abstractNumId w:val="5"/>
  </w:num>
  <w:num w:numId="28" w16cid:durableId="1003436913">
    <w:abstractNumId w:val="17"/>
  </w:num>
  <w:num w:numId="29" w16cid:durableId="1930967990">
    <w:abstractNumId w:val="9"/>
  </w:num>
  <w:num w:numId="30" w16cid:durableId="581718902">
    <w:abstractNumId w:val="14"/>
  </w:num>
  <w:num w:numId="31" w16cid:durableId="1417434117">
    <w:abstractNumId w:val="15"/>
  </w:num>
  <w:num w:numId="32" w16cid:durableId="94595664">
    <w:abstractNumId w:val="6"/>
  </w:num>
  <w:num w:numId="33" w16cid:durableId="9752619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2A"/>
    <w:rsid w:val="00006375"/>
    <w:rsid w:val="000114D4"/>
    <w:rsid w:val="00034DA2"/>
    <w:rsid w:val="00036EFB"/>
    <w:rsid w:val="00062D99"/>
    <w:rsid w:val="000938C4"/>
    <w:rsid w:val="000A5877"/>
    <w:rsid w:val="000E3E50"/>
    <w:rsid w:val="000E4EE6"/>
    <w:rsid w:val="00112E35"/>
    <w:rsid w:val="001135E2"/>
    <w:rsid w:val="00125B69"/>
    <w:rsid w:val="00146B0B"/>
    <w:rsid w:val="00161173"/>
    <w:rsid w:val="00174B84"/>
    <w:rsid w:val="00183961"/>
    <w:rsid w:val="001C1AC2"/>
    <w:rsid w:val="001E6492"/>
    <w:rsid w:val="001F2924"/>
    <w:rsid w:val="00211F7E"/>
    <w:rsid w:val="00241DFF"/>
    <w:rsid w:val="0025100D"/>
    <w:rsid w:val="002567C3"/>
    <w:rsid w:val="002757D6"/>
    <w:rsid w:val="00286D7A"/>
    <w:rsid w:val="002B2826"/>
    <w:rsid w:val="002C2B95"/>
    <w:rsid w:val="002C7FB2"/>
    <w:rsid w:val="002D4047"/>
    <w:rsid w:val="002E7B3E"/>
    <w:rsid w:val="002F4236"/>
    <w:rsid w:val="00313C24"/>
    <w:rsid w:val="00331577"/>
    <w:rsid w:val="00354F39"/>
    <w:rsid w:val="00362566"/>
    <w:rsid w:val="00381686"/>
    <w:rsid w:val="003A7E4E"/>
    <w:rsid w:val="003B3891"/>
    <w:rsid w:val="003B473D"/>
    <w:rsid w:val="003C402A"/>
    <w:rsid w:val="003E2BE9"/>
    <w:rsid w:val="003E3BC4"/>
    <w:rsid w:val="00424A46"/>
    <w:rsid w:val="00436596"/>
    <w:rsid w:val="00441A01"/>
    <w:rsid w:val="004571AF"/>
    <w:rsid w:val="00482AB3"/>
    <w:rsid w:val="004C739A"/>
    <w:rsid w:val="004D18D3"/>
    <w:rsid w:val="004D5309"/>
    <w:rsid w:val="004D5ED8"/>
    <w:rsid w:val="004F3B62"/>
    <w:rsid w:val="004F5E4A"/>
    <w:rsid w:val="004F6524"/>
    <w:rsid w:val="00522960"/>
    <w:rsid w:val="0053244B"/>
    <w:rsid w:val="005359C7"/>
    <w:rsid w:val="0056337E"/>
    <w:rsid w:val="00594D50"/>
    <w:rsid w:val="005A1767"/>
    <w:rsid w:val="005A1EEE"/>
    <w:rsid w:val="005B71A4"/>
    <w:rsid w:val="005D7BF0"/>
    <w:rsid w:val="005F2AED"/>
    <w:rsid w:val="00605342"/>
    <w:rsid w:val="00617953"/>
    <w:rsid w:val="00660992"/>
    <w:rsid w:val="006943D6"/>
    <w:rsid w:val="006A5420"/>
    <w:rsid w:val="006C453D"/>
    <w:rsid w:val="006E21CB"/>
    <w:rsid w:val="00704160"/>
    <w:rsid w:val="00714D9B"/>
    <w:rsid w:val="00722829"/>
    <w:rsid w:val="0074542B"/>
    <w:rsid w:val="00752E2C"/>
    <w:rsid w:val="007574E8"/>
    <w:rsid w:val="00795889"/>
    <w:rsid w:val="00796202"/>
    <w:rsid w:val="007A314C"/>
    <w:rsid w:val="007A65AA"/>
    <w:rsid w:val="007C1729"/>
    <w:rsid w:val="007C2859"/>
    <w:rsid w:val="007E68A1"/>
    <w:rsid w:val="00803C6B"/>
    <w:rsid w:val="0084178D"/>
    <w:rsid w:val="00844609"/>
    <w:rsid w:val="00845277"/>
    <w:rsid w:val="00866B12"/>
    <w:rsid w:val="008746C3"/>
    <w:rsid w:val="00876447"/>
    <w:rsid w:val="0089584D"/>
    <w:rsid w:val="008A0C70"/>
    <w:rsid w:val="008B4075"/>
    <w:rsid w:val="008C4AA4"/>
    <w:rsid w:val="008D4987"/>
    <w:rsid w:val="00941AE1"/>
    <w:rsid w:val="009532AE"/>
    <w:rsid w:val="009604F0"/>
    <w:rsid w:val="009671B1"/>
    <w:rsid w:val="00976107"/>
    <w:rsid w:val="00985891"/>
    <w:rsid w:val="00994D5A"/>
    <w:rsid w:val="009950BF"/>
    <w:rsid w:val="009D1C62"/>
    <w:rsid w:val="009E3767"/>
    <w:rsid w:val="009F2B34"/>
    <w:rsid w:val="00A06407"/>
    <w:rsid w:val="00A0644D"/>
    <w:rsid w:val="00A45839"/>
    <w:rsid w:val="00A65A2A"/>
    <w:rsid w:val="00A700F8"/>
    <w:rsid w:val="00AF1D55"/>
    <w:rsid w:val="00B26A1F"/>
    <w:rsid w:val="00B3781D"/>
    <w:rsid w:val="00B82B0C"/>
    <w:rsid w:val="00BB14B5"/>
    <w:rsid w:val="00BB5801"/>
    <w:rsid w:val="00BF2C88"/>
    <w:rsid w:val="00C16DF6"/>
    <w:rsid w:val="00C218BD"/>
    <w:rsid w:val="00C2263B"/>
    <w:rsid w:val="00C241EE"/>
    <w:rsid w:val="00C4079A"/>
    <w:rsid w:val="00C51C06"/>
    <w:rsid w:val="00C81805"/>
    <w:rsid w:val="00C92D56"/>
    <w:rsid w:val="00CC1C99"/>
    <w:rsid w:val="00CD746B"/>
    <w:rsid w:val="00CF4DA2"/>
    <w:rsid w:val="00D17DC1"/>
    <w:rsid w:val="00D32460"/>
    <w:rsid w:val="00D34794"/>
    <w:rsid w:val="00D66FCA"/>
    <w:rsid w:val="00D941C7"/>
    <w:rsid w:val="00DC1ECE"/>
    <w:rsid w:val="00E25B1C"/>
    <w:rsid w:val="00E564BE"/>
    <w:rsid w:val="00EC3B5C"/>
    <w:rsid w:val="00F11304"/>
    <w:rsid w:val="00F24C6A"/>
    <w:rsid w:val="00F67650"/>
    <w:rsid w:val="00F95C19"/>
    <w:rsid w:val="00FA3367"/>
    <w:rsid w:val="00FB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559214"/>
  <w15:docId w15:val="{26359DDD-593A-40CF-8D0E-1B2677AA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367"/>
    <w:pPr>
      <w:spacing w:after="200" w:line="276" w:lineRule="auto"/>
    </w:pPr>
    <w:rPr>
      <w:rFonts w:asciiTheme="minorHAnsi" w:eastAsiaTheme="minorHAnsi" w:hAnsiTheme="minorHAnsi" w:cstheme="minorBidi"/>
    </w:rPr>
  </w:style>
  <w:style w:type="paragraph" w:styleId="Heading1">
    <w:name w:val="heading 1"/>
    <w:basedOn w:val="HSCNormal"/>
    <w:next w:val="HSCNormal"/>
    <w:link w:val="Heading1Char"/>
    <w:qFormat/>
    <w:locked/>
    <w:rsid w:val="00482AB3"/>
    <w:pPr>
      <w:keepNext/>
      <w:keepLines/>
      <w:spacing w:after="1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25B1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B5801"/>
    <w:pPr>
      <w:tabs>
        <w:tab w:val="center" w:pos="4320"/>
        <w:tab w:val="right" w:pos="8640"/>
      </w:tabs>
      <w:spacing w:after="0" w:line="240" w:lineRule="auto"/>
    </w:pPr>
    <w:rPr>
      <w:rFonts w:eastAsia="Times New Roman" w:cs="Times New Roman"/>
    </w:rPr>
  </w:style>
  <w:style w:type="character" w:customStyle="1" w:styleId="HeaderChar">
    <w:name w:val="Header Char"/>
    <w:basedOn w:val="DefaultParagraphFont"/>
    <w:link w:val="Header"/>
    <w:uiPriority w:val="99"/>
    <w:semiHidden/>
    <w:locked/>
    <w:rsid w:val="00062D99"/>
    <w:rPr>
      <w:rFonts w:ascii="Calibri" w:hAnsi="Calibri"/>
    </w:rPr>
  </w:style>
  <w:style w:type="paragraph" w:styleId="Footer">
    <w:name w:val="footer"/>
    <w:basedOn w:val="Normal"/>
    <w:link w:val="FooterChar"/>
    <w:uiPriority w:val="99"/>
    <w:rsid w:val="00BB5801"/>
    <w:pPr>
      <w:tabs>
        <w:tab w:val="center" w:pos="4320"/>
        <w:tab w:val="right" w:pos="8640"/>
      </w:tabs>
      <w:spacing w:after="0" w:line="240" w:lineRule="auto"/>
    </w:pPr>
    <w:rPr>
      <w:rFonts w:eastAsia="Times New Roman" w:cs="Times New Roman"/>
    </w:rPr>
  </w:style>
  <w:style w:type="character" w:customStyle="1" w:styleId="FooterChar">
    <w:name w:val="Footer Char"/>
    <w:basedOn w:val="DefaultParagraphFont"/>
    <w:link w:val="Footer"/>
    <w:uiPriority w:val="99"/>
    <w:locked/>
    <w:rsid w:val="006C453D"/>
    <w:rPr>
      <w:rFonts w:ascii="Calibri" w:hAnsi="Calibri"/>
      <w:sz w:val="22"/>
    </w:rPr>
  </w:style>
  <w:style w:type="character" w:styleId="PageNumber">
    <w:name w:val="page number"/>
    <w:basedOn w:val="DefaultParagraphFont"/>
    <w:rsid w:val="00BB5801"/>
    <w:rPr>
      <w:rFonts w:cs="Times New Roman"/>
    </w:rPr>
  </w:style>
  <w:style w:type="paragraph" w:styleId="ListParagraph">
    <w:name w:val="List Paragraph"/>
    <w:basedOn w:val="Normal"/>
    <w:uiPriority w:val="34"/>
    <w:qFormat/>
    <w:rsid w:val="001E6492"/>
    <w:pPr>
      <w:ind w:left="720"/>
      <w:contextualSpacing/>
    </w:pPr>
    <w:rPr>
      <w:rFonts w:eastAsia="Times New Roman" w:cs="Times New Roman"/>
    </w:rPr>
  </w:style>
  <w:style w:type="paragraph" w:styleId="BalloonText">
    <w:name w:val="Balloon Text"/>
    <w:basedOn w:val="Normal"/>
    <w:link w:val="BalloonTextChar"/>
    <w:uiPriority w:val="99"/>
    <w:rsid w:val="006C453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6C453D"/>
    <w:rPr>
      <w:rFonts w:ascii="Tahoma" w:hAnsi="Tahoma"/>
      <w:sz w:val="16"/>
    </w:rPr>
  </w:style>
  <w:style w:type="paragraph" w:styleId="NormalWeb">
    <w:name w:val="Normal (Web)"/>
    <w:basedOn w:val="Normal"/>
    <w:uiPriority w:val="99"/>
    <w:semiHidden/>
    <w:unhideWhenUsed/>
    <w:rsid w:val="00C16DF6"/>
    <w:pPr>
      <w:spacing w:before="100" w:beforeAutospacing="1" w:after="100" w:afterAutospacing="1" w:line="240" w:lineRule="auto"/>
    </w:pPr>
    <w:rPr>
      <w:rFonts w:ascii="Times New Roman" w:hAnsi="Times New Roman" w:cs="Times New Roman"/>
      <w:sz w:val="24"/>
      <w:szCs w:val="24"/>
    </w:rPr>
  </w:style>
  <w:style w:type="character" w:customStyle="1" w:styleId="CGBoxTextChar">
    <w:name w:val="CG Box Text Char"/>
    <w:basedOn w:val="DefaultParagraphFont"/>
    <w:link w:val="CGBoxText"/>
    <w:locked/>
    <w:rsid w:val="00C16DF6"/>
    <w:rPr>
      <w:rFonts w:ascii="Arial" w:hAnsi="Arial" w:cs="Arial"/>
      <w:color w:val="002060"/>
      <w:szCs w:val="24"/>
    </w:rPr>
  </w:style>
  <w:style w:type="paragraph" w:customStyle="1" w:styleId="CGBoxText">
    <w:name w:val="CG Box Text"/>
    <w:link w:val="CGBoxTextChar"/>
    <w:qFormat/>
    <w:rsid w:val="00C16DF6"/>
    <w:pPr>
      <w:spacing w:after="200"/>
    </w:pPr>
    <w:rPr>
      <w:rFonts w:ascii="Arial" w:hAnsi="Arial" w:cs="Arial"/>
      <w:color w:val="002060"/>
      <w:szCs w:val="24"/>
    </w:rPr>
  </w:style>
  <w:style w:type="character" w:styleId="Hyperlink">
    <w:name w:val="Hyperlink"/>
    <w:basedOn w:val="DefaultParagraphFont"/>
    <w:uiPriority w:val="99"/>
    <w:semiHidden/>
    <w:unhideWhenUsed/>
    <w:rsid w:val="00DC1ECE"/>
    <w:rPr>
      <w:strike w:val="0"/>
      <w:dstrike w:val="0"/>
      <w:color w:val="0000FF"/>
      <w:u w:val="none"/>
      <w:effect w:val="none"/>
    </w:rPr>
  </w:style>
  <w:style w:type="character" w:styleId="Strong">
    <w:name w:val="Strong"/>
    <w:basedOn w:val="DefaultParagraphFont"/>
    <w:uiPriority w:val="22"/>
    <w:qFormat/>
    <w:locked/>
    <w:rsid w:val="000938C4"/>
    <w:rPr>
      <w:b/>
      <w:bCs/>
    </w:rPr>
  </w:style>
  <w:style w:type="table" w:styleId="TableGrid">
    <w:name w:val="Table Grid"/>
    <w:basedOn w:val="TableNormal"/>
    <w:locked/>
    <w:rsid w:val="004F5E4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82AB3"/>
    <w:rPr>
      <w:rFonts w:ascii="Arial" w:hAnsi="Arial" w:cs="Courier New"/>
      <w:b/>
      <w:sz w:val="16"/>
      <w:szCs w:val="24"/>
    </w:rPr>
  </w:style>
  <w:style w:type="paragraph" w:customStyle="1" w:styleId="HSCNormal">
    <w:name w:val="HSC Normal"/>
    <w:link w:val="HSCNormalChar"/>
    <w:qFormat/>
    <w:rsid w:val="00482AB3"/>
    <w:pPr>
      <w:suppressAutoHyphens/>
    </w:pPr>
    <w:rPr>
      <w:rFonts w:ascii="Arial" w:hAnsi="Arial" w:cs="Courier New"/>
      <w:sz w:val="16"/>
      <w:szCs w:val="24"/>
    </w:rPr>
  </w:style>
  <w:style w:type="character" w:customStyle="1" w:styleId="HSCNormalChar">
    <w:name w:val="HSC Normal Char"/>
    <w:basedOn w:val="DefaultParagraphFont"/>
    <w:link w:val="HSCNormal"/>
    <w:rsid w:val="00482AB3"/>
    <w:rPr>
      <w:rFonts w:ascii="Arial" w:hAnsi="Arial" w:cs="Courier New"/>
      <w:sz w:val="16"/>
      <w:szCs w:val="24"/>
    </w:rPr>
  </w:style>
  <w:style w:type="paragraph" w:customStyle="1" w:styleId="HSCGLLineList">
    <w:name w:val="HSC GL LineList"/>
    <w:basedOn w:val="Normal"/>
    <w:next w:val="HSCNormal"/>
    <w:qFormat/>
    <w:rsid w:val="00482AB3"/>
    <w:pPr>
      <w:keepNext/>
      <w:keepLines/>
      <w:suppressAutoHyphens/>
      <w:spacing w:after="100" w:line="240" w:lineRule="auto"/>
      <w:ind w:left="360"/>
    </w:pPr>
    <w:rPr>
      <w:rFonts w:ascii="Arial" w:eastAsia="Times New Roman" w:hAnsi="Arial" w:cs="Times New Roman"/>
      <w:bCs/>
      <w:i/>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7754">
      <w:bodyDiv w:val="1"/>
      <w:marLeft w:val="0"/>
      <w:marRight w:val="0"/>
      <w:marTop w:val="0"/>
      <w:marBottom w:val="0"/>
      <w:divBdr>
        <w:top w:val="none" w:sz="0" w:space="0" w:color="auto"/>
        <w:left w:val="none" w:sz="0" w:space="0" w:color="auto"/>
        <w:bottom w:val="none" w:sz="0" w:space="0" w:color="auto"/>
        <w:right w:val="none" w:sz="0" w:space="0" w:color="auto"/>
      </w:divBdr>
    </w:div>
    <w:div w:id="290478740">
      <w:bodyDiv w:val="1"/>
      <w:marLeft w:val="0"/>
      <w:marRight w:val="0"/>
      <w:marTop w:val="0"/>
      <w:marBottom w:val="0"/>
      <w:divBdr>
        <w:top w:val="none" w:sz="0" w:space="0" w:color="auto"/>
        <w:left w:val="none" w:sz="0" w:space="0" w:color="auto"/>
        <w:bottom w:val="none" w:sz="0" w:space="0" w:color="auto"/>
        <w:right w:val="none" w:sz="0" w:space="0" w:color="auto"/>
      </w:divBdr>
    </w:div>
    <w:div w:id="424694709">
      <w:bodyDiv w:val="1"/>
      <w:marLeft w:val="0"/>
      <w:marRight w:val="0"/>
      <w:marTop w:val="0"/>
      <w:marBottom w:val="0"/>
      <w:divBdr>
        <w:top w:val="none" w:sz="0" w:space="0" w:color="auto"/>
        <w:left w:val="none" w:sz="0" w:space="0" w:color="auto"/>
        <w:bottom w:val="none" w:sz="0" w:space="0" w:color="auto"/>
        <w:right w:val="none" w:sz="0" w:space="0" w:color="auto"/>
      </w:divBdr>
    </w:div>
    <w:div w:id="472601986">
      <w:bodyDiv w:val="1"/>
      <w:marLeft w:val="0"/>
      <w:marRight w:val="0"/>
      <w:marTop w:val="0"/>
      <w:marBottom w:val="0"/>
      <w:divBdr>
        <w:top w:val="none" w:sz="0" w:space="0" w:color="auto"/>
        <w:left w:val="none" w:sz="0" w:space="0" w:color="auto"/>
        <w:bottom w:val="none" w:sz="0" w:space="0" w:color="auto"/>
        <w:right w:val="none" w:sz="0" w:space="0" w:color="auto"/>
      </w:divBdr>
    </w:div>
    <w:div w:id="768354473">
      <w:bodyDiv w:val="1"/>
      <w:marLeft w:val="0"/>
      <w:marRight w:val="0"/>
      <w:marTop w:val="0"/>
      <w:marBottom w:val="0"/>
      <w:divBdr>
        <w:top w:val="none" w:sz="0" w:space="0" w:color="auto"/>
        <w:left w:val="none" w:sz="0" w:space="0" w:color="auto"/>
        <w:bottom w:val="none" w:sz="0" w:space="0" w:color="auto"/>
        <w:right w:val="none" w:sz="0" w:space="0" w:color="auto"/>
      </w:divBdr>
    </w:div>
    <w:div w:id="953903602">
      <w:bodyDiv w:val="1"/>
      <w:marLeft w:val="0"/>
      <w:marRight w:val="0"/>
      <w:marTop w:val="0"/>
      <w:marBottom w:val="0"/>
      <w:divBdr>
        <w:top w:val="none" w:sz="0" w:space="0" w:color="auto"/>
        <w:left w:val="none" w:sz="0" w:space="0" w:color="auto"/>
        <w:bottom w:val="none" w:sz="0" w:space="0" w:color="auto"/>
        <w:right w:val="none" w:sz="0" w:space="0" w:color="auto"/>
      </w:divBdr>
    </w:div>
    <w:div w:id="1656372615">
      <w:bodyDiv w:val="1"/>
      <w:marLeft w:val="0"/>
      <w:marRight w:val="0"/>
      <w:marTop w:val="0"/>
      <w:marBottom w:val="0"/>
      <w:divBdr>
        <w:top w:val="none" w:sz="0" w:space="0" w:color="auto"/>
        <w:left w:val="none" w:sz="0" w:space="0" w:color="auto"/>
        <w:bottom w:val="none" w:sz="0" w:space="0" w:color="auto"/>
        <w:right w:val="none" w:sz="0" w:space="0" w:color="auto"/>
      </w:divBdr>
    </w:div>
    <w:div w:id="2001037107">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oregon.gov/oha/HPA/DSI-HERC/SearchablePLdocuments/GL173-interlaminar-interspinous-tabilization-distraction-device-22867-22870.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95137\AppData\Local\Microsoft\Windows\Temporary%20Internet%20Files\Content.MSO\150B0EB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Props1.xml><?xml version="1.0" encoding="utf-8"?>
<ds:datastoreItem xmlns:ds="http://schemas.openxmlformats.org/officeDocument/2006/customXml" ds:itemID="{5640D509-DD36-4796-9DEF-F4F46699C468}">
  <ds:schemaRefs>
    <ds:schemaRef ds:uri="http://schemas.microsoft.com/sharepoint/v3/contenttype/forms"/>
  </ds:schemaRefs>
</ds:datastoreItem>
</file>

<file path=customXml/itemProps2.xml><?xml version="1.0" encoding="utf-8"?>
<ds:datastoreItem xmlns:ds="http://schemas.openxmlformats.org/officeDocument/2006/customXml" ds:itemID="{51345FD8-85F4-4ACD-B2A7-BD5C94C78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02aa3302-3726-4429-bc74-2da0b757c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DCFC2-BA29-4EC1-B974-50A70DF54C1E}">
  <ds:schemaRefs>
    <ds:schemaRef ds:uri="http://schemas.microsoft.com/office/2006/metadata/properties"/>
    <ds:schemaRef ds:uri="http://schemas.microsoft.com/office/infopath/2007/PartnerControls"/>
    <ds:schemaRef ds:uri="59da1016-2a1b-4f8a-9768-d7a4932f6f16"/>
    <ds:schemaRef ds:uri="02aa3302-3726-4429-bc74-2da0b757c478"/>
    <ds:schemaRef ds:uri="http://schemas.microsoft.com/sharepoint/v3"/>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150B0EBB.dotx</Template>
  <TotalTime>0</TotalTime>
  <Pages>3</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2025-07-03T22:04:00Z</dcterms:created>
  <dcterms:modified xsi:type="dcterms:W3CDTF">2025-07-03T22:04:00Z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2023-11-15T21:39:09Z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8117f26e-e4b0-4302-b50a-7702671097fe</vt:lpwstr>
  </property>
  <property fmtid="{D5CDD505-2E9C-101B-9397-08002B2CF9AE}" pid="9" name="MSIP_Label_ebdd6eeb-0dd0-4927-947e-a759f08fcf55_ContentBits">
    <vt:lpwstr>0</vt:lpwstr>
  </property>
</Properties>
</file>