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B850D" w14:textId="793A33E3" w:rsidR="00702C12" w:rsidRDefault="00702C12">
      <w:pPr>
        <w:rPr>
          <w:rFonts w:ascii="Calibri" w:hAnsi="Calibri" w:cs="Calibri"/>
          <w:sz w:val="24"/>
          <w:szCs w:val="24"/>
        </w:rPr>
      </w:pPr>
    </w:p>
    <w:p w14:paraId="18F64974" w14:textId="77777777" w:rsidR="00126F48" w:rsidRPr="00126F48" w:rsidRDefault="007C47CC" w:rsidP="00126F48">
      <w:pPr>
        <w:rPr>
          <w:rFonts w:ascii="Calibri" w:hAnsi="Calibri" w:cs="Calibri"/>
          <w:sz w:val="24"/>
          <w:szCs w:val="24"/>
        </w:rPr>
      </w:pPr>
      <w:r>
        <w:rPr>
          <w:rFonts w:ascii="Calibri" w:hAnsi="Calibri" w:cs="Calibri"/>
          <w:sz w:val="24"/>
          <w:szCs w:val="24"/>
        </w:rPr>
        <w:t xml:space="preserve">CPT Codes: </w:t>
      </w:r>
      <w:r w:rsidR="006859E5" w:rsidRPr="006859E5">
        <w:rPr>
          <w:rFonts w:ascii="Calibri" w:hAnsi="Calibri" w:cs="Calibri"/>
          <w:sz w:val="24"/>
          <w:szCs w:val="24"/>
        </w:rPr>
        <w:t>20552-20553</w:t>
      </w:r>
      <w:r w:rsidR="00126F48">
        <w:rPr>
          <w:rFonts w:ascii="Calibri" w:hAnsi="Calibri" w:cs="Calibri"/>
          <w:sz w:val="24"/>
          <w:szCs w:val="24"/>
        </w:rPr>
        <w:t xml:space="preserve"> </w:t>
      </w:r>
      <w:r w:rsidR="00126F48" w:rsidRPr="00126F48">
        <w:rPr>
          <w:rFonts w:ascii="Calibri" w:hAnsi="Calibri" w:cs="Calibri"/>
          <w:sz w:val="24"/>
          <w:szCs w:val="24"/>
        </w:rPr>
        <w:t xml:space="preserve"> (Injection(s); single or multiple trigger point(s)) are on lines 496 OTHER DISORDERS OF SYNOVIUM, TENDON AND BURSA, COSTOCHONDRITIS, AND CHONDRODYSTROPHY, 498 PERIPHERAL ENTHESOPATHIES, 583 SYNOVITIS AND TENOSYNOVITIS, 587 GANGLION</w:t>
      </w:r>
    </w:p>
    <w:p w14:paraId="34C7CADD" w14:textId="5909ACFD" w:rsidR="00CE7380" w:rsidRDefault="007C47CC">
      <w:pPr>
        <w:rPr>
          <w:rFonts w:ascii="Calibri" w:hAnsi="Calibri" w:cs="Calibri"/>
          <w:sz w:val="24"/>
          <w:szCs w:val="24"/>
        </w:rPr>
      </w:pPr>
      <w:r w:rsidRPr="007F7A03">
        <w:rPr>
          <w:rFonts w:ascii="Calibri" w:hAnsi="Calibri" w:cs="Calibri"/>
          <w:sz w:val="24"/>
          <w:szCs w:val="24"/>
        </w:rPr>
        <w:t xml:space="preserve">Last reviewed at the </w:t>
      </w:r>
      <w:r>
        <w:rPr>
          <w:rFonts w:ascii="Calibri" w:hAnsi="Calibri" w:cs="Calibri"/>
          <w:sz w:val="24"/>
          <w:szCs w:val="24"/>
        </w:rPr>
        <w:t>January 16</w:t>
      </w:r>
      <w:r w:rsidRPr="007F7A03">
        <w:rPr>
          <w:rFonts w:ascii="Calibri" w:hAnsi="Calibri" w:cs="Calibri"/>
          <w:sz w:val="24"/>
          <w:szCs w:val="24"/>
        </w:rPr>
        <w:t xml:space="preserve">, 2025 VBBS meeting where </w:t>
      </w:r>
      <w:r>
        <w:rPr>
          <w:rFonts w:ascii="Calibri" w:hAnsi="Calibri" w:cs="Calibri"/>
          <w:sz w:val="24"/>
          <w:szCs w:val="24"/>
        </w:rPr>
        <w:t>the committee determined the following:</w:t>
      </w:r>
    </w:p>
    <w:p w14:paraId="3E429764" w14:textId="77777777" w:rsidR="007C47CC" w:rsidRPr="007C47CC" w:rsidRDefault="007C47CC" w:rsidP="007C47CC">
      <w:pPr>
        <w:numPr>
          <w:ilvl w:val="0"/>
          <w:numId w:val="6"/>
        </w:numPr>
        <w:rPr>
          <w:rFonts w:ascii="Calibri" w:hAnsi="Calibri" w:cs="Calibri"/>
          <w:sz w:val="24"/>
          <w:szCs w:val="24"/>
        </w:rPr>
      </w:pPr>
      <w:r w:rsidRPr="007C47CC">
        <w:rPr>
          <w:rFonts w:ascii="Calibri" w:hAnsi="Calibri" w:cs="Calibri"/>
          <w:sz w:val="24"/>
          <w:szCs w:val="24"/>
        </w:rPr>
        <w:t>Remove CPT 20552 and 20553 (Injection(s); single or multiple trigger point(s)) from lines 496 OTHER DISORDERS OF SYNOVIUM, TENDON AND BURSA, COSTOCHONDRITIS, AND CHONDRODYSTROPHY, 498 PERIPHERAL ENTHESOPATHIES, 583 SYNOVITIS AND TENOSYNOVITIS, and 587 GANGLION</w:t>
      </w:r>
    </w:p>
    <w:p w14:paraId="1BB6A51B" w14:textId="77777777" w:rsidR="007C47CC" w:rsidRPr="007C47CC" w:rsidRDefault="007C47CC" w:rsidP="007C47CC">
      <w:pPr>
        <w:numPr>
          <w:ilvl w:val="0"/>
          <w:numId w:val="6"/>
        </w:numPr>
        <w:rPr>
          <w:rFonts w:ascii="Calibri" w:hAnsi="Calibri" w:cs="Calibri"/>
          <w:sz w:val="24"/>
          <w:szCs w:val="24"/>
        </w:rPr>
      </w:pPr>
      <w:r w:rsidRPr="007C47CC">
        <w:rPr>
          <w:rFonts w:ascii="Calibri" w:hAnsi="Calibri" w:cs="Calibri"/>
          <w:sz w:val="24"/>
          <w:szCs w:val="24"/>
        </w:rPr>
        <w:t>Add an entry to Excluded Guideline 2 as shown in Appendix A</w:t>
      </w:r>
    </w:p>
    <w:p w14:paraId="70D71A5C" w14:textId="77777777" w:rsidR="00CE7380" w:rsidRDefault="00CE7380">
      <w:pPr>
        <w:rPr>
          <w:rFonts w:ascii="Calibri" w:hAnsi="Calibri" w:cs="Calibri"/>
          <w:sz w:val="24"/>
          <w:szCs w:val="24"/>
        </w:rPr>
      </w:pPr>
    </w:p>
    <w:p w14:paraId="50C265A8" w14:textId="1C717BAA" w:rsidR="00CE7380" w:rsidRPr="00CE7380" w:rsidRDefault="00CE7380" w:rsidP="00CE7380">
      <w:pPr>
        <w:rPr>
          <w:rFonts w:ascii="Calibri" w:hAnsi="Calibri" w:cs="Calibri"/>
          <w:sz w:val="24"/>
          <w:szCs w:val="24"/>
        </w:rPr>
      </w:pPr>
      <w:r w:rsidRPr="00CE7380">
        <w:rPr>
          <w:rFonts w:ascii="Calibri" w:hAnsi="Calibri" w:cs="Calibri"/>
          <w:sz w:val="24"/>
          <w:szCs w:val="24"/>
        </w:rPr>
        <w:t>Evidence</w:t>
      </w:r>
      <w:r w:rsidR="00E86150">
        <w:rPr>
          <w:rFonts w:ascii="Calibri" w:hAnsi="Calibri" w:cs="Calibri"/>
          <w:sz w:val="24"/>
          <w:szCs w:val="24"/>
        </w:rPr>
        <w:t xml:space="preserve"> (from January, 2025 meeting materials)</w:t>
      </w:r>
      <w:r w:rsidRPr="00CE7380">
        <w:rPr>
          <w:rFonts w:ascii="Calibri" w:hAnsi="Calibri" w:cs="Calibri"/>
          <w:sz w:val="24"/>
          <w:szCs w:val="24"/>
        </w:rPr>
        <w:t>:</w:t>
      </w:r>
    </w:p>
    <w:p w14:paraId="4CC2BB2B" w14:textId="77777777" w:rsidR="00CE7380" w:rsidRPr="00CE7380" w:rsidRDefault="00CE7380" w:rsidP="00CE7380">
      <w:pPr>
        <w:rPr>
          <w:rFonts w:ascii="Calibri" w:hAnsi="Calibri" w:cs="Calibri"/>
          <w:sz w:val="24"/>
          <w:szCs w:val="24"/>
        </w:rPr>
      </w:pPr>
      <w:r w:rsidRPr="00CE7380">
        <w:rPr>
          <w:rFonts w:ascii="Calibri" w:hAnsi="Calibri" w:cs="Calibri"/>
          <w:sz w:val="24"/>
          <w:szCs w:val="24"/>
        </w:rPr>
        <w:t>As reviewed in October 2024:</w:t>
      </w:r>
    </w:p>
    <w:p w14:paraId="659331FE" w14:textId="77777777" w:rsidR="00CE7380" w:rsidRPr="00CE7380" w:rsidRDefault="00C32AFB" w:rsidP="00CE7380">
      <w:pPr>
        <w:numPr>
          <w:ilvl w:val="1"/>
          <w:numId w:val="3"/>
        </w:numPr>
        <w:rPr>
          <w:rFonts w:ascii="Calibri" w:hAnsi="Calibri" w:cs="Calibri"/>
          <w:sz w:val="24"/>
          <w:szCs w:val="24"/>
        </w:rPr>
      </w:pPr>
      <w:hyperlink r:id="rId7" w:history="1">
        <w:proofErr w:type="spellStart"/>
        <w:r w:rsidR="00CE7380" w:rsidRPr="00CE7380">
          <w:rPr>
            <w:rStyle w:val="Hyperlink"/>
            <w:rFonts w:ascii="Calibri" w:hAnsi="Calibri" w:cs="Calibri"/>
            <w:b/>
            <w:bCs/>
            <w:sz w:val="24"/>
            <w:szCs w:val="24"/>
          </w:rPr>
          <w:t>Hamzoian</w:t>
        </w:r>
        <w:proofErr w:type="spellEnd"/>
        <w:r w:rsidR="00CE7380" w:rsidRPr="00CE7380">
          <w:rPr>
            <w:rStyle w:val="Hyperlink"/>
            <w:rFonts w:ascii="Calibri" w:hAnsi="Calibri" w:cs="Calibri"/>
            <w:b/>
            <w:bCs/>
            <w:sz w:val="24"/>
            <w:szCs w:val="24"/>
          </w:rPr>
          <w:t xml:space="preserve"> 2023</w:t>
        </w:r>
      </w:hyperlink>
      <w:r w:rsidR="00CE7380" w:rsidRPr="00CE7380">
        <w:rPr>
          <w:rFonts w:ascii="Calibri" w:hAnsi="Calibri" w:cs="Calibri"/>
          <w:sz w:val="24"/>
          <w:szCs w:val="24"/>
        </w:rPr>
        <w:t>, Trigger Point Injections Versus Medical Management for Acute Myofascial Pain: A Systematic Review and Meta-Analysis</w:t>
      </w:r>
    </w:p>
    <w:p w14:paraId="5AF1C127" w14:textId="77777777" w:rsidR="00CE7380" w:rsidRPr="00CE7380" w:rsidRDefault="00CE7380" w:rsidP="00CE7380">
      <w:pPr>
        <w:numPr>
          <w:ilvl w:val="2"/>
          <w:numId w:val="3"/>
        </w:numPr>
        <w:rPr>
          <w:rFonts w:ascii="Calibri" w:hAnsi="Calibri" w:cs="Calibri"/>
          <w:sz w:val="24"/>
          <w:szCs w:val="24"/>
        </w:rPr>
      </w:pPr>
      <w:r w:rsidRPr="00CE7380">
        <w:rPr>
          <w:rFonts w:ascii="Calibri" w:hAnsi="Calibri" w:cs="Calibri"/>
          <w:sz w:val="24"/>
          <w:szCs w:val="24"/>
        </w:rPr>
        <w:t>N=4 RCTs comparing trigger point injections (TPI) with medical management in adults with acute (not chronic) pain</w:t>
      </w:r>
    </w:p>
    <w:p w14:paraId="078BD3E2" w14:textId="77777777" w:rsidR="00CE7380" w:rsidRPr="00CE7380" w:rsidRDefault="00CE7380" w:rsidP="00CE7380">
      <w:pPr>
        <w:numPr>
          <w:ilvl w:val="3"/>
          <w:numId w:val="3"/>
        </w:numPr>
        <w:rPr>
          <w:rFonts w:ascii="Calibri" w:hAnsi="Calibri" w:cs="Calibri"/>
          <w:sz w:val="24"/>
          <w:szCs w:val="24"/>
        </w:rPr>
      </w:pPr>
      <w:proofErr w:type="spellStart"/>
      <w:r w:rsidRPr="00CE7380">
        <w:rPr>
          <w:rFonts w:ascii="Calibri" w:hAnsi="Calibri" w:cs="Calibri"/>
          <w:sz w:val="24"/>
          <w:szCs w:val="24"/>
        </w:rPr>
        <w:t>Kocak</w:t>
      </w:r>
      <w:proofErr w:type="spellEnd"/>
      <w:r w:rsidRPr="00CE7380">
        <w:rPr>
          <w:rFonts w:ascii="Calibri" w:hAnsi="Calibri" w:cs="Calibri"/>
          <w:sz w:val="24"/>
          <w:szCs w:val="24"/>
        </w:rPr>
        <w:t xml:space="preserve"> 2019 (n=44, NSAIDs vs TPI, moderate risk of bias), </w:t>
      </w:r>
      <w:proofErr w:type="spellStart"/>
      <w:r w:rsidRPr="00CE7380">
        <w:rPr>
          <w:rFonts w:ascii="Calibri" w:hAnsi="Calibri" w:cs="Calibri"/>
          <w:sz w:val="24"/>
          <w:szCs w:val="24"/>
        </w:rPr>
        <w:t>Yanuck</w:t>
      </w:r>
      <w:proofErr w:type="spellEnd"/>
      <w:r w:rsidRPr="00CE7380">
        <w:rPr>
          <w:rFonts w:ascii="Calibri" w:hAnsi="Calibri" w:cs="Calibri"/>
          <w:sz w:val="24"/>
          <w:szCs w:val="24"/>
        </w:rPr>
        <w:t xml:space="preserve"> 2020 (N=51, TPI vs control, low risk of bias), Farrow 2022 (N=252, TPI vs standard treatment vs NSAID and muscle relaxant, high risk of bias), Suh 2014 (N=21, TPI vs NSAID, moderate risk of bias)</w:t>
      </w:r>
    </w:p>
    <w:p w14:paraId="1A4C28FF" w14:textId="77777777" w:rsidR="00CE7380" w:rsidRPr="00CE7380" w:rsidRDefault="00CE7380" w:rsidP="00CE7380">
      <w:pPr>
        <w:numPr>
          <w:ilvl w:val="2"/>
          <w:numId w:val="3"/>
        </w:numPr>
        <w:rPr>
          <w:rFonts w:ascii="Calibri" w:hAnsi="Calibri" w:cs="Calibri"/>
          <w:sz w:val="24"/>
          <w:szCs w:val="24"/>
        </w:rPr>
      </w:pPr>
      <w:r w:rsidRPr="00CE7380">
        <w:rPr>
          <w:rFonts w:ascii="Calibri" w:hAnsi="Calibri" w:cs="Calibri"/>
          <w:sz w:val="24"/>
          <w:szCs w:val="24"/>
        </w:rPr>
        <w:t>Based on the analysis of 4 RCTs, TPIs significantly reduced pain scores when compared to medical treatment (SMD = -2.09, 95% CI, (-3.34, -0.85), P =0.001</w:t>
      </w:r>
    </w:p>
    <w:p w14:paraId="76CD7256" w14:textId="77777777" w:rsidR="00CE7380" w:rsidRPr="00CE7380" w:rsidRDefault="00CE7380" w:rsidP="00CE7380">
      <w:pPr>
        <w:numPr>
          <w:ilvl w:val="2"/>
          <w:numId w:val="3"/>
        </w:numPr>
        <w:rPr>
          <w:rFonts w:ascii="Calibri" w:hAnsi="Calibri" w:cs="Calibri"/>
          <w:sz w:val="24"/>
          <w:szCs w:val="24"/>
        </w:rPr>
      </w:pPr>
      <w:r w:rsidRPr="00CE7380">
        <w:rPr>
          <w:rFonts w:ascii="Calibri" w:hAnsi="Calibri" w:cs="Calibri"/>
          <w:sz w:val="24"/>
          <w:szCs w:val="24"/>
        </w:rPr>
        <w:t>This is the first systematic review and meta-analysis to evaluate the effectiveness of trigger point injections compared to medical treatment for acute myofascial pain based on the findings of four included randomized controlled trials. The analysis demonstrated that trigger point injections significantly reduced pain scores compared to medical treatment. This finding supports using trigger point injections as an effective intervention for alleviating pain in patients with acute myofascial pain. However, it is important to consider the limitations of the included studies, such as potential biases and heterogeneity, which may influence the generalizability of the results</w:t>
      </w:r>
    </w:p>
    <w:p w14:paraId="42A833D2" w14:textId="77777777" w:rsidR="00CE7380" w:rsidRPr="00CE7380" w:rsidRDefault="00C32AFB" w:rsidP="00CE7380">
      <w:pPr>
        <w:numPr>
          <w:ilvl w:val="1"/>
          <w:numId w:val="3"/>
        </w:numPr>
        <w:rPr>
          <w:rFonts w:ascii="Calibri" w:hAnsi="Calibri" w:cs="Calibri"/>
          <w:sz w:val="24"/>
          <w:szCs w:val="24"/>
        </w:rPr>
      </w:pPr>
      <w:hyperlink r:id="rId8" w:history="1">
        <w:r w:rsidR="00CE7380" w:rsidRPr="00CE7380">
          <w:rPr>
            <w:rStyle w:val="Hyperlink"/>
            <w:rFonts w:ascii="Calibri" w:hAnsi="Calibri" w:cs="Calibri"/>
            <w:b/>
            <w:bCs/>
            <w:sz w:val="24"/>
            <w:szCs w:val="24"/>
          </w:rPr>
          <w:t>Scott 2009</w:t>
        </w:r>
      </w:hyperlink>
      <w:r w:rsidR="00CE7380" w:rsidRPr="00CE7380">
        <w:rPr>
          <w:rFonts w:ascii="Calibri" w:hAnsi="Calibri" w:cs="Calibri"/>
          <w:sz w:val="24"/>
          <w:szCs w:val="24"/>
        </w:rPr>
        <w:t>, Trigger Point Injections (TPI) for Chronic Non-Malignant Musculoskeletal Pain: A Systematic Review</w:t>
      </w:r>
    </w:p>
    <w:p w14:paraId="49D8CC64" w14:textId="77777777" w:rsidR="00CE7380" w:rsidRPr="00CE7380" w:rsidRDefault="00CE7380" w:rsidP="00CE7380">
      <w:pPr>
        <w:numPr>
          <w:ilvl w:val="2"/>
          <w:numId w:val="3"/>
        </w:numPr>
        <w:rPr>
          <w:rFonts w:ascii="Calibri" w:hAnsi="Calibri" w:cs="Calibri"/>
          <w:sz w:val="24"/>
          <w:szCs w:val="24"/>
        </w:rPr>
      </w:pPr>
      <w:r w:rsidRPr="00CE7380">
        <w:rPr>
          <w:rFonts w:ascii="Calibri" w:hAnsi="Calibri" w:cs="Calibri"/>
          <w:sz w:val="24"/>
          <w:szCs w:val="24"/>
        </w:rPr>
        <w:t>N=15 studies</w:t>
      </w:r>
    </w:p>
    <w:p w14:paraId="1D25EEA6" w14:textId="77777777" w:rsidR="00CE7380" w:rsidRPr="00CE7380" w:rsidRDefault="00CE7380" w:rsidP="00CE7380">
      <w:pPr>
        <w:numPr>
          <w:ilvl w:val="3"/>
          <w:numId w:val="3"/>
        </w:numPr>
        <w:rPr>
          <w:rFonts w:ascii="Calibri" w:hAnsi="Calibri" w:cs="Calibri"/>
          <w:sz w:val="24"/>
          <w:szCs w:val="24"/>
        </w:rPr>
      </w:pPr>
      <w:r w:rsidRPr="00CE7380">
        <w:rPr>
          <w:rFonts w:ascii="Calibri" w:hAnsi="Calibri" w:cs="Calibri"/>
          <w:sz w:val="24"/>
          <w:szCs w:val="24"/>
        </w:rPr>
        <w:lastRenderedPageBreak/>
        <w:t>Four double-blind RCTs, one single-blind RCT, two non-blinded RCTs, and three randomized double-blind crossover trials assessed TPI in patients with head, neck, shoulder, and/or back pain</w:t>
      </w:r>
    </w:p>
    <w:p w14:paraId="5341135F" w14:textId="77777777" w:rsidR="00CE7380" w:rsidRPr="00CE7380" w:rsidRDefault="00CE7380" w:rsidP="00CE7380">
      <w:pPr>
        <w:numPr>
          <w:ilvl w:val="2"/>
          <w:numId w:val="3"/>
        </w:numPr>
        <w:rPr>
          <w:rFonts w:ascii="Calibri" w:hAnsi="Calibri" w:cs="Calibri"/>
          <w:sz w:val="24"/>
          <w:szCs w:val="24"/>
        </w:rPr>
      </w:pPr>
      <w:r w:rsidRPr="00CE7380">
        <w:rPr>
          <w:rFonts w:ascii="Calibri" w:hAnsi="Calibri" w:cs="Calibri"/>
          <w:sz w:val="24"/>
          <w:szCs w:val="24"/>
        </w:rPr>
        <w:t>Head, back, shoulder and neck pain</w:t>
      </w:r>
    </w:p>
    <w:p w14:paraId="0290FEC7" w14:textId="77777777" w:rsidR="00CE7380" w:rsidRPr="00CE7380" w:rsidRDefault="00CE7380" w:rsidP="00CE7380">
      <w:pPr>
        <w:numPr>
          <w:ilvl w:val="3"/>
          <w:numId w:val="3"/>
        </w:numPr>
        <w:rPr>
          <w:rFonts w:ascii="Calibri" w:hAnsi="Calibri" w:cs="Calibri"/>
          <w:sz w:val="24"/>
          <w:szCs w:val="24"/>
        </w:rPr>
      </w:pPr>
      <w:r w:rsidRPr="00CE7380">
        <w:rPr>
          <w:rFonts w:ascii="Calibri" w:hAnsi="Calibri" w:cs="Calibri"/>
          <w:sz w:val="24"/>
          <w:szCs w:val="24"/>
        </w:rPr>
        <w:t xml:space="preserve">A randomized crossover trial compared sphenopalatine ganglion block (SPGB) with placebo SPGB and an internal standard (TPI with lidocaine). TPI with lidocaine was more effective than either SPGB or placebo SPGB in relieving myofascial pain up to 1 week after treatment. However, it is likely that co-interventions confounded these results. </w:t>
      </w:r>
    </w:p>
    <w:p w14:paraId="0F8AD4EA" w14:textId="77777777" w:rsidR="00CE7380" w:rsidRPr="00CE7380" w:rsidRDefault="00CE7380" w:rsidP="00CE7380">
      <w:pPr>
        <w:numPr>
          <w:ilvl w:val="3"/>
          <w:numId w:val="3"/>
        </w:numPr>
        <w:rPr>
          <w:rFonts w:ascii="Calibri" w:hAnsi="Calibri" w:cs="Calibri"/>
          <w:sz w:val="24"/>
          <w:szCs w:val="24"/>
        </w:rPr>
      </w:pPr>
      <w:r w:rsidRPr="00CE7380">
        <w:rPr>
          <w:rFonts w:ascii="Calibri" w:hAnsi="Calibri" w:cs="Calibri"/>
          <w:sz w:val="24"/>
          <w:szCs w:val="24"/>
        </w:rPr>
        <w:t>Another RCT compared prilocaine TPI with TPI using a type 3 serotonin (5-HT3) receptor antagonist (</w:t>
      </w:r>
      <w:proofErr w:type="spellStart"/>
      <w:r w:rsidRPr="00CE7380">
        <w:rPr>
          <w:rFonts w:ascii="Calibri" w:hAnsi="Calibri" w:cs="Calibri"/>
          <w:sz w:val="24"/>
          <w:szCs w:val="24"/>
        </w:rPr>
        <w:t>tropisetron</w:t>
      </w:r>
      <w:proofErr w:type="spellEnd"/>
      <w:r w:rsidRPr="00CE7380">
        <w:rPr>
          <w:rFonts w:ascii="Calibri" w:hAnsi="Calibri" w:cs="Calibri"/>
          <w:sz w:val="24"/>
          <w:szCs w:val="24"/>
        </w:rPr>
        <w:t>) injected into a single trigger point. Both treatments achieved similar reductions in pain intensity scores 7 days after injection</w:t>
      </w:r>
    </w:p>
    <w:p w14:paraId="5C16C676" w14:textId="77777777" w:rsidR="00CE7380" w:rsidRPr="00CE7380" w:rsidRDefault="00CE7380" w:rsidP="00CE7380">
      <w:pPr>
        <w:numPr>
          <w:ilvl w:val="3"/>
          <w:numId w:val="3"/>
        </w:numPr>
        <w:rPr>
          <w:rFonts w:ascii="Calibri" w:hAnsi="Calibri" w:cs="Calibri"/>
          <w:sz w:val="24"/>
          <w:szCs w:val="24"/>
        </w:rPr>
      </w:pPr>
      <w:proofErr w:type="spellStart"/>
      <w:r w:rsidRPr="00CE7380">
        <w:rPr>
          <w:rFonts w:ascii="Calibri" w:hAnsi="Calibri" w:cs="Calibri"/>
          <w:sz w:val="24"/>
          <w:szCs w:val="24"/>
        </w:rPr>
        <w:t>Esenyel</w:t>
      </w:r>
      <w:proofErr w:type="spellEnd"/>
      <w:r w:rsidRPr="00CE7380">
        <w:rPr>
          <w:rFonts w:ascii="Calibri" w:hAnsi="Calibri" w:cs="Calibri"/>
          <w:sz w:val="24"/>
          <w:szCs w:val="24"/>
        </w:rPr>
        <w:t xml:space="preserve"> et al. compared a combination of neck stretching and either TPI with lidocaine or ultrasound therapy with neck stretching alone. Combined TPI with lidocaine and neck stretching therapy achieved the same improvement in pain symptoms as combined ultrasound/neck stretching therapy, and both treatments were more effective than neck stretching exercises alone, 2 weeks and 3 months after treatment. </w:t>
      </w:r>
    </w:p>
    <w:p w14:paraId="70C88936" w14:textId="77777777" w:rsidR="00CE7380" w:rsidRPr="00CE7380" w:rsidRDefault="00CE7380" w:rsidP="00CE7380">
      <w:pPr>
        <w:numPr>
          <w:ilvl w:val="3"/>
          <w:numId w:val="3"/>
        </w:numPr>
        <w:rPr>
          <w:rFonts w:ascii="Calibri" w:hAnsi="Calibri" w:cs="Calibri"/>
          <w:sz w:val="24"/>
          <w:szCs w:val="24"/>
        </w:rPr>
      </w:pPr>
      <w:proofErr w:type="spellStart"/>
      <w:r w:rsidRPr="00CE7380">
        <w:rPr>
          <w:rFonts w:ascii="Calibri" w:hAnsi="Calibri" w:cs="Calibri"/>
          <w:sz w:val="24"/>
          <w:szCs w:val="24"/>
        </w:rPr>
        <w:t>Kiralp</w:t>
      </w:r>
      <w:proofErr w:type="spellEnd"/>
      <w:r w:rsidRPr="00CE7380">
        <w:rPr>
          <w:rFonts w:ascii="Calibri" w:hAnsi="Calibri" w:cs="Calibri"/>
          <w:sz w:val="24"/>
          <w:szCs w:val="24"/>
        </w:rPr>
        <w:t xml:space="preserve"> et al. reported that both prilocaine TPI and laser treatment, performed in conjunction with stretching exercises, produced significant improvements in pain pressure threshold and pain intensity immediately after treatment and at 6 months’ follow-up. However, there was no detectable difference in the degree of improvement between the two groups</w:t>
      </w:r>
    </w:p>
    <w:p w14:paraId="5844CF7B" w14:textId="77777777" w:rsidR="00CE7380" w:rsidRPr="00CE7380" w:rsidRDefault="00CE7380" w:rsidP="00CE7380">
      <w:pPr>
        <w:numPr>
          <w:ilvl w:val="2"/>
          <w:numId w:val="3"/>
        </w:numPr>
        <w:rPr>
          <w:rFonts w:ascii="Calibri" w:hAnsi="Calibri" w:cs="Calibri"/>
          <w:sz w:val="24"/>
          <w:szCs w:val="24"/>
        </w:rPr>
      </w:pPr>
      <w:r w:rsidRPr="00CE7380">
        <w:rPr>
          <w:rFonts w:ascii="Calibri" w:hAnsi="Calibri" w:cs="Calibri"/>
          <w:sz w:val="24"/>
          <w:szCs w:val="24"/>
        </w:rPr>
        <w:t>Craniofacial pain</w:t>
      </w:r>
    </w:p>
    <w:p w14:paraId="62D88D0E" w14:textId="77777777" w:rsidR="00CE7380" w:rsidRPr="00CE7380" w:rsidRDefault="00CE7380" w:rsidP="00CE7380">
      <w:pPr>
        <w:numPr>
          <w:ilvl w:val="3"/>
          <w:numId w:val="3"/>
        </w:numPr>
        <w:rPr>
          <w:rFonts w:ascii="Calibri" w:hAnsi="Calibri" w:cs="Calibri"/>
          <w:sz w:val="24"/>
          <w:szCs w:val="24"/>
        </w:rPr>
      </w:pPr>
      <w:r w:rsidRPr="00CE7380">
        <w:rPr>
          <w:rFonts w:ascii="Calibri" w:hAnsi="Calibri" w:cs="Calibri"/>
          <w:sz w:val="24"/>
          <w:szCs w:val="24"/>
        </w:rPr>
        <w:t>McMillan et al. compared combined procaine TPI and dry needling with combinations of sham TPI and sham dry needling. The results suggested that procaine TPI combined with simulated dry needling offers little beyond a placebo effect</w:t>
      </w:r>
    </w:p>
    <w:p w14:paraId="28A83717" w14:textId="77777777" w:rsidR="00CE7380" w:rsidRPr="00CE7380" w:rsidRDefault="00CE7380" w:rsidP="00CE7380">
      <w:pPr>
        <w:numPr>
          <w:ilvl w:val="2"/>
          <w:numId w:val="3"/>
        </w:numPr>
        <w:rPr>
          <w:rFonts w:ascii="Calibri" w:hAnsi="Calibri" w:cs="Calibri"/>
          <w:sz w:val="24"/>
          <w:szCs w:val="24"/>
        </w:rPr>
      </w:pPr>
      <w:r w:rsidRPr="00CE7380">
        <w:rPr>
          <w:rFonts w:ascii="Calibri" w:hAnsi="Calibri" w:cs="Calibri"/>
          <w:sz w:val="24"/>
          <w:szCs w:val="24"/>
        </w:rPr>
        <w:t>Cervicogenic headache</w:t>
      </w:r>
    </w:p>
    <w:p w14:paraId="58564180" w14:textId="77777777" w:rsidR="00CE7380" w:rsidRPr="00CE7380" w:rsidRDefault="00CE7380" w:rsidP="00CE7380">
      <w:pPr>
        <w:numPr>
          <w:ilvl w:val="3"/>
          <w:numId w:val="3"/>
        </w:numPr>
        <w:rPr>
          <w:rFonts w:ascii="Calibri" w:hAnsi="Calibri" w:cs="Calibri"/>
          <w:sz w:val="24"/>
          <w:szCs w:val="24"/>
        </w:rPr>
      </w:pPr>
      <w:r w:rsidRPr="00CE7380">
        <w:rPr>
          <w:rFonts w:ascii="Calibri" w:hAnsi="Calibri" w:cs="Calibri"/>
          <w:sz w:val="24"/>
          <w:szCs w:val="24"/>
        </w:rPr>
        <w:t>One RCT assessing physical therapy combined with either botulinum toxin TPI or saline TPI found no significant changes in sagittal range of motion, biofeedback measurements, or daily analgesic intake over time in either group</w:t>
      </w:r>
    </w:p>
    <w:p w14:paraId="001BA4AB" w14:textId="77777777" w:rsidR="00CE7380" w:rsidRPr="00CE7380" w:rsidRDefault="00CE7380" w:rsidP="00CE7380">
      <w:pPr>
        <w:numPr>
          <w:ilvl w:val="2"/>
          <w:numId w:val="3"/>
        </w:numPr>
        <w:rPr>
          <w:rFonts w:ascii="Calibri" w:hAnsi="Calibri" w:cs="Calibri"/>
          <w:sz w:val="24"/>
          <w:szCs w:val="24"/>
        </w:rPr>
      </w:pPr>
      <w:r w:rsidRPr="00CE7380">
        <w:rPr>
          <w:rFonts w:ascii="Calibri" w:hAnsi="Calibri" w:cs="Calibri"/>
          <w:sz w:val="24"/>
          <w:szCs w:val="24"/>
        </w:rPr>
        <w:t>Conclusions</w:t>
      </w:r>
    </w:p>
    <w:p w14:paraId="3F88ED71" w14:textId="77777777" w:rsidR="00CE7380" w:rsidRPr="00CE7380" w:rsidRDefault="00CE7380" w:rsidP="00CE7380">
      <w:pPr>
        <w:numPr>
          <w:ilvl w:val="3"/>
          <w:numId w:val="3"/>
        </w:numPr>
        <w:rPr>
          <w:rFonts w:ascii="Calibri" w:hAnsi="Calibri" w:cs="Calibri"/>
          <w:sz w:val="24"/>
          <w:szCs w:val="24"/>
        </w:rPr>
      </w:pPr>
      <w:r w:rsidRPr="00CE7380">
        <w:rPr>
          <w:rFonts w:ascii="Calibri" w:hAnsi="Calibri" w:cs="Calibri"/>
          <w:sz w:val="24"/>
          <w:szCs w:val="24"/>
        </w:rPr>
        <w:t>TPI is a relatively safe procedure when used by clinicians with appropriate expertise and training, but there is no clear evidence in the medical literature of either benefit or ineffectiveness. TPI was generally analyzed as a stand-alone treatment, so its value within the multidisciplinary approach to chronic pain management that is currently advocated in clinical practice is unclear</w:t>
      </w:r>
    </w:p>
    <w:p w14:paraId="0309E02C" w14:textId="77777777" w:rsidR="00CE7380" w:rsidRPr="00CE7380" w:rsidRDefault="00C32AFB" w:rsidP="00CE7380">
      <w:pPr>
        <w:numPr>
          <w:ilvl w:val="1"/>
          <w:numId w:val="3"/>
        </w:numPr>
        <w:rPr>
          <w:rFonts w:ascii="Calibri" w:hAnsi="Calibri" w:cs="Calibri"/>
          <w:sz w:val="24"/>
          <w:szCs w:val="24"/>
        </w:rPr>
      </w:pPr>
      <w:hyperlink r:id="rId9" w:history="1">
        <w:proofErr w:type="spellStart"/>
        <w:r w:rsidR="00CE7380" w:rsidRPr="00CE7380">
          <w:rPr>
            <w:rStyle w:val="Hyperlink"/>
            <w:rFonts w:ascii="Calibri" w:hAnsi="Calibri" w:cs="Calibri"/>
            <w:b/>
            <w:bCs/>
            <w:sz w:val="24"/>
            <w:szCs w:val="24"/>
          </w:rPr>
          <w:t>Staal</w:t>
        </w:r>
        <w:proofErr w:type="spellEnd"/>
        <w:r w:rsidR="00CE7380" w:rsidRPr="00CE7380">
          <w:rPr>
            <w:rStyle w:val="Hyperlink"/>
            <w:rFonts w:ascii="Calibri" w:hAnsi="Calibri" w:cs="Calibri"/>
            <w:b/>
            <w:bCs/>
            <w:sz w:val="24"/>
            <w:szCs w:val="24"/>
          </w:rPr>
          <w:t xml:space="preserve"> 2008</w:t>
        </w:r>
      </w:hyperlink>
      <w:r w:rsidR="00CE7380" w:rsidRPr="00CE7380">
        <w:rPr>
          <w:rFonts w:ascii="Calibri" w:hAnsi="Calibri" w:cs="Calibri"/>
          <w:sz w:val="24"/>
          <w:szCs w:val="24"/>
        </w:rPr>
        <w:t>, Cochrane review of Injection Therapy for Subacute and Chronic Low Back Pain</w:t>
      </w:r>
    </w:p>
    <w:p w14:paraId="2CE9AADD" w14:textId="77777777" w:rsidR="00CE7380" w:rsidRPr="00CE7380" w:rsidRDefault="00CE7380" w:rsidP="00CE7380">
      <w:pPr>
        <w:numPr>
          <w:ilvl w:val="2"/>
          <w:numId w:val="3"/>
        </w:numPr>
        <w:rPr>
          <w:rFonts w:ascii="Calibri" w:hAnsi="Calibri" w:cs="Calibri"/>
          <w:sz w:val="24"/>
          <w:szCs w:val="24"/>
        </w:rPr>
      </w:pPr>
      <w:r w:rsidRPr="00CE7380">
        <w:rPr>
          <w:rFonts w:ascii="Calibri" w:hAnsi="Calibri" w:cs="Calibri"/>
          <w:sz w:val="24"/>
          <w:szCs w:val="24"/>
        </w:rPr>
        <w:lastRenderedPageBreak/>
        <w:t>There is moderate evidence (1 trial; 63 patients) that trigger point injections with corticosteroids are not significantly different from placebo injections for self-reported improvements at short-term follow-up. There is limited evidence (1 trial; 30 patients) that local injections into the iliolumbar ligament are more effective than placebo for self-reported improvement in the short term but not for pain relief in the short term. Back-specific disability, generic health status, disability for work, and patient satisfaction were not measured.</w:t>
      </w:r>
    </w:p>
    <w:p w14:paraId="1B4CA094" w14:textId="77777777" w:rsidR="00CE7380" w:rsidRPr="00CE7380" w:rsidRDefault="00CE7380" w:rsidP="00CE7380">
      <w:pPr>
        <w:numPr>
          <w:ilvl w:val="2"/>
          <w:numId w:val="3"/>
        </w:numPr>
        <w:rPr>
          <w:rFonts w:ascii="Calibri" w:hAnsi="Calibri" w:cs="Calibri"/>
          <w:sz w:val="24"/>
          <w:szCs w:val="24"/>
        </w:rPr>
      </w:pPr>
      <w:r w:rsidRPr="00CE7380">
        <w:rPr>
          <w:rFonts w:ascii="Calibri" w:hAnsi="Calibri" w:cs="Calibri"/>
          <w:sz w:val="24"/>
          <w:szCs w:val="24"/>
        </w:rPr>
        <w:t>Conclusion: here is moderate and limited evidence that trigger point injections and injections in the iliolumbar ligament are not more effective than placebo injections for self-reported improvement.</w:t>
      </w:r>
    </w:p>
    <w:p w14:paraId="12400585" w14:textId="77777777" w:rsidR="00CE7380" w:rsidRPr="00CE7380" w:rsidRDefault="00CE7380" w:rsidP="00CE7380">
      <w:pPr>
        <w:rPr>
          <w:rFonts w:ascii="Calibri" w:hAnsi="Calibri" w:cs="Calibri"/>
          <w:sz w:val="24"/>
          <w:szCs w:val="24"/>
        </w:rPr>
      </w:pPr>
      <w:r w:rsidRPr="00CE7380">
        <w:rPr>
          <w:rFonts w:ascii="Calibri" w:hAnsi="Calibri" w:cs="Calibri"/>
          <w:sz w:val="24"/>
          <w:szCs w:val="24"/>
        </w:rPr>
        <w:t xml:space="preserve">Other payer policies: </w:t>
      </w:r>
    </w:p>
    <w:p w14:paraId="3D20703F" w14:textId="77777777" w:rsidR="00CE7380" w:rsidRPr="00CE7380" w:rsidRDefault="00CE7380" w:rsidP="00CE7380">
      <w:pPr>
        <w:numPr>
          <w:ilvl w:val="0"/>
          <w:numId w:val="2"/>
        </w:numPr>
        <w:rPr>
          <w:rFonts w:ascii="Calibri" w:hAnsi="Calibri" w:cs="Calibri"/>
          <w:sz w:val="24"/>
          <w:szCs w:val="24"/>
        </w:rPr>
      </w:pPr>
      <w:r w:rsidRPr="00CE7380">
        <w:rPr>
          <w:rFonts w:ascii="Calibri" w:hAnsi="Calibri" w:cs="Calibri"/>
          <w:sz w:val="24"/>
          <w:szCs w:val="24"/>
        </w:rPr>
        <w:t>Kaiser 2023 TRIGGER POINT INJECTIONS FOR MYOFASCIAL PAIN</w:t>
      </w:r>
    </w:p>
    <w:p w14:paraId="207EEBD1" w14:textId="77777777" w:rsidR="00CE7380" w:rsidRPr="00CE7380" w:rsidRDefault="00CE7380" w:rsidP="00CE7380">
      <w:pPr>
        <w:numPr>
          <w:ilvl w:val="1"/>
          <w:numId w:val="2"/>
        </w:numPr>
        <w:rPr>
          <w:rFonts w:ascii="Calibri" w:hAnsi="Calibri" w:cs="Calibri"/>
          <w:sz w:val="24"/>
          <w:szCs w:val="24"/>
        </w:rPr>
      </w:pPr>
      <w:r w:rsidRPr="00CE7380">
        <w:rPr>
          <w:rFonts w:ascii="Calibri" w:hAnsi="Calibri" w:cs="Calibri"/>
          <w:sz w:val="24"/>
          <w:szCs w:val="24"/>
        </w:rPr>
        <w:t xml:space="preserve">Trigger point injections of anesthetic and/or corticosteroid for myofascial pain may be considered medically necessary when the following criteria are met: </w:t>
      </w:r>
    </w:p>
    <w:p w14:paraId="40297CFA" w14:textId="77777777" w:rsidR="00CE7380" w:rsidRPr="00CE7380" w:rsidRDefault="00CE7380" w:rsidP="00CE7380">
      <w:pPr>
        <w:numPr>
          <w:ilvl w:val="2"/>
          <w:numId w:val="2"/>
        </w:numPr>
        <w:rPr>
          <w:rFonts w:ascii="Calibri" w:hAnsi="Calibri" w:cs="Calibri"/>
          <w:sz w:val="24"/>
          <w:szCs w:val="24"/>
        </w:rPr>
      </w:pPr>
      <w:r w:rsidRPr="00CE7380">
        <w:rPr>
          <w:rFonts w:ascii="Calibri" w:hAnsi="Calibri" w:cs="Calibri"/>
          <w:sz w:val="24"/>
          <w:szCs w:val="24"/>
        </w:rPr>
        <w:t xml:space="preserve">Local pain lasting longer than 3 months with all of the following: </w:t>
      </w:r>
    </w:p>
    <w:p w14:paraId="12AC6AAD" w14:textId="77777777" w:rsidR="00CE7380" w:rsidRPr="00CE7380" w:rsidRDefault="00CE7380" w:rsidP="00CE7380">
      <w:pPr>
        <w:numPr>
          <w:ilvl w:val="3"/>
          <w:numId w:val="2"/>
        </w:numPr>
        <w:rPr>
          <w:rFonts w:ascii="Calibri" w:hAnsi="Calibri" w:cs="Calibri"/>
          <w:sz w:val="24"/>
          <w:szCs w:val="24"/>
        </w:rPr>
      </w:pPr>
      <w:r w:rsidRPr="00CE7380">
        <w:rPr>
          <w:rFonts w:ascii="Calibri" w:hAnsi="Calibri" w:cs="Calibri"/>
          <w:sz w:val="24"/>
          <w:szCs w:val="24"/>
        </w:rPr>
        <w:t xml:space="preserve">Tenderness and/or weakness; AND </w:t>
      </w:r>
    </w:p>
    <w:p w14:paraId="7B8518E1" w14:textId="77777777" w:rsidR="00CE7380" w:rsidRPr="00CE7380" w:rsidRDefault="00CE7380" w:rsidP="00CE7380">
      <w:pPr>
        <w:numPr>
          <w:ilvl w:val="3"/>
          <w:numId w:val="2"/>
        </w:numPr>
        <w:rPr>
          <w:rFonts w:ascii="Calibri" w:hAnsi="Calibri" w:cs="Calibri"/>
          <w:sz w:val="24"/>
          <w:szCs w:val="24"/>
        </w:rPr>
      </w:pPr>
      <w:r w:rsidRPr="00CE7380">
        <w:rPr>
          <w:rFonts w:ascii="Calibri" w:hAnsi="Calibri" w:cs="Calibri"/>
          <w:sz w:val="24"/>
          <w:szCs w:val="24"/>
        </w:rPr>
        <w:t xml:space="preserve">Motion restriction; AND </w:t>
      </w:r>
    </w:p>
    <w:p w14:paraId="3C186C1F" w14:textId="77777777" w:rsidR="00CE7380" w:rsidRPr="00CE7380" w:rsidRDefault="00CE7380" w:rsidP="00CE7380">
      <w:pPr>
        <w:numPr>
          <w:ilvl w:val="3"/>
          <w:numId w:val="2"/>
        </w:numPr>
        <w:rPr>
          <w:rFonts w:ascii="Calibri" w:hAnsi="Calibri" w:cs="Calibri"/>
          <w:sz w:val="24"/>
          <w:szCs w:val="24"/>
        </w:rPr>
      </w:pPr>
      <w:r w:rsidRPr="00CE7380">
        <w:rPr>
          <w:rFonts w:ascii="Calibri" w:hAnsi="Calibri" w:cs="Calibri"/>
          <w:sz w:val="24"/>
          <w:szCs w:val="24"/>
        </w:rPr>
        <w:t>A palpable band that produces referred pain when compressed</w:t>
      </w:r>
    </w:p>
    <w:p w14:paraId="0FF8A8D2" w14:textId="77777777" w:rsidR="00CE7380" w:rsidRPr="00CE7380" w:rsidRDefault="00CE7380" w:rsidP="00CE7380">
      <w:pPr>
        <w:numPr>
          <w:ilvl w:val="2"/>
          <w:numId w:val="2"/>
        </w:numPr>
        <w:rPr>
          <w:rFonts w:ascii="Calibri" w:hAnsi="Calibri" w:cs="Calibri"/>
          <w:sz w:val="24"/>
          <w:szCs w:val="24"/>
        </w:rPr>
      </w:pPr>
      <w:r w:rsidRPr="00CE7380">
        <w:rPr>
          <w:rFonts w:ascii="Calibri" w:hAnsi="Calibri" w:cs="Calibri"/>
          <w:sz w:val="24"/>
          <w:szCs w:val="24"/>
        </w:rPr>
        <w:t xml:space="preserve">Documented failure or contraindication to standard conservative management (e.g., physical therapy, pharmacotherapy, or cardiovascular exercise); AND </w:t>
      </w:r>
    </w:p>
    <w:p w14:paraId="517145AC" w14:textId="77777777" w:rsidR="00CE7380" w:rsidRPr="00CE7380" w:rsidRDefault="00CE7380" w:rsidP="00CE7380">
      <w:pPr>
        <w:numPr>
          <w:ilvl w:val="2"/>
          <w:numId w:val="2"/>
        </w:numPr>
        <w:rPr>
          <w:rFonts w:ascii="Calibri" w:hAnsi="Calibri" w:cs="Calibri"/>
          <w:sz w:val="24"/>
          <w:szCs w:val="24"/>
        </w:rPr>
      </w:pPr>
      <w:r w:rsidRPr="00CE7380">
        <w:rPr>
          <w:rFonts w:ascii="Calibri" w:hAnsi="Calibri" w:cs="Calibri"/>
          <w:sz w:val="24"/>
          <w:szCs w:val="24"/>
        </w:rPr>
        <w:t xml:space="preserve">Injections are provided as part of a comprehensive, multidisciplinary pain program; AND </w:t>
      </w:r>
    </w:p>
    <w:p w14:paraId="018AB8F8" w14:textId="77777777" w:rsidR="00CE7380" w:rsidRPr="00CE7380" w:rsidRDefault="00CE7380" w:rsidP="00CE7380">
      <w:pPr>
        <w:numPr>
          <w:ilvl w:val="2"/>
          <w:numId w:val="2"/>
        </w:numPr>
        <w:rPr>
          <w:rFonts w:ascii="Calibri" w:hAnsi="Calibri" w:cs="Calibri"/>
          <w:sz w:val="24"/>
          <w:szCs w:val="24"/>
        </w:rPr>
      </w:pPr>
      <w:r w:rsidRPr="00CE7380">
        <w:rPr>
          <w:rFonts w:ascii="Calibri" w:hAnsi="Calibri" w:cs="Calibri"/>
          <w:sz w:val="24"/>
          <w:szCs w:val="24"/>
        </w:rPr>
        <w:t xml:space="preserve">No more than 4 injections are provided per session. </w:t>
      </w:r>
    </w:p>
    <w:p w14:paraId="41E6C1A2" w14:textId="77777777" w:rsidR="00CE7380" w:rsidRPr="00CE7380" w:rsidRDefault="00CE7380" w:rsidP="00CE7380">
      <w:pPr>
        <w:numPr>
          <w:ilvl w:val="1"/>
          <w:numId w:val="2"/>
        </w:numPr>
        <w:rPr>
          <w:rFonts w:ascii="Calibri" w:hAnsi="Calibri" w:cs="Calibri"/>
          <w:sz w:val="24"/>
          <w:szCs w:val="24"/>
        </w:rPr>
      </w:pPr>
      <w:r w:rsidRPr="00CE7380">
        <w:rPr>
          <w:rFonts w:ascii="Calibri" w:hAnsi="Calibri" w:cs="Calibri"/>
          <w:sz w:val="24"/>
          <w:szCs w:val="24"/>
        </w:rPr>
        <w:t>Those who exhibit at least 50% improvement in pain level and at least three months of improved function may be eligible for up to 4 sessions per year, at least 3 months apart. Additional injections are considered NOT medically necessary if these criteria are not met.</w:t>
      </w:r>
    </w:p>
    <w:p w14:paraId="4C9F3EE4" w14:textId="77777777" w:rsidR="00CE7380" w:rsidRPr="00CE7380" w:rsidRDefault="00CE7380" w:rsidP="00CE7380">
      <w:pPr>
        <w:numPr>
          <w:ilvl w:val="0"/>
          <w:numId w:val="2"/>
        </w:numPr>
        <w:rPr>
          <w:rFonts w:ascii="Calibri" w:hAnsi="Calibri" w:cs="Calibri"/>
          <w:sz w:val="24"/>
          <w:szCs w:val="24"/>
        </w:rPr>
      </w:pPr>
      <w:r w:rsidRPr="00CE7380">
        <w:rPr>
          <w:rFonts w:ascii="Calibri" w:hAnsi="Calibri" w:cs="Calibri"/>
          <w:sz w:val="24"/>
          <w:szCs w:val="24"/>
        </w:rPr>
        <w:t>Aetna 2024 back pain invasive procedures</w:t>
      </w:r>
    </w:p>
    <w:p w14:paraId="143C8A5F" w14:textId="77777777" w:rsidR="00CE7380" w:rsidRPr="00CE7380" w:rsidRDefault="00CE7380" w:rsidP="00CE7380">
      <w:pPr>
        <w:numPr>
          <w:ilvl w:val="1"/>
          <w:numId w:val="2"/>
        </w:numPr>
        <w:rPr>
          <w:rFonts w:ascii="Calibri" w:hAnsi="Calibri" w:cs="Calibri"/>
          <w:sz w:val="24"/>
          <w:szCs w:val="24"/>
        </w:rPr>
      </w:pPr>
      <w:r w:rsidRPr="00CE7380">
        <w:rPr>
          <w:rFonts w:ascii="Calibri" w:hAnsi="Calibri" w:cs="Calibri"/>
          <w:sz w:val="24"/>
          <w:szCs w:val="24"/>
        </w:rPr>
        <w:t>Aetna considers trigger point injections of normal saline, corticosteroids and/or local anesthetics medically necessary for treating members with chronic neck or back pain or myofascial pain syndrome when </w:t>
      </w:r>
      <w:r w:rsidRPr="00CE7380">
        <w:rPr>
          <w:rFonts w:ascii="Calibri" w:hAnsi="Calibri" w:cs="Calibri"/>
          <w:i/>
          <w:iCs/>
          <w:sz w:val="24"/>
          <w:szCs w:val="24"/>
        </w:rPr>
        <w:t>all</w:t>
      </w:r>
      <w:r w:rsidRPr="00CE7380">
        <w:rPr>
          <w:rFonts w:ascii="Calibri" w:hAnsi="Calibri" w:cs="Calibri"/>
          <w:sz w:val="24"/>
          <w:szCs w:val="24"/>
        </w:rPr>
        <w:t> of the following selection criteria are met:</w:t>
      </w:r>
    </w:p>
    <w:p w14:paraId="7195144F" w14:textId="77777777" w:rsidR="00CE7380" w:rsidRPr="00CE7380" w:rsidRDefault="00CE7380" w:rsidP="00CE7380">
      <w:pPr>
        <w:numPr>
          <w:ilvl w:val="2"/>
          <w:numId w:val="2"/>
        </w:numPr>
        <w:rPr>
          <w:rFonts w:ascii="Calibri" w:hAnsi="Calibri" w:cs="Calibri"/>
          <w:sz w:val="24"/>
          <w:szCs w:val="24"/>
        </w:rPr>
      </w:pPr>
      <w:r w:rsidRPr="00CE7380">
        <w:rPr>
          <w:rFonts w:ascii="Calibri" w:hAnsi="Calibri" w:cs="Calibri"/>
          <w:sz w:val="24"/>
          <w:szCs w:val="24"/>
        </w:rPr>
        <w:t>Conservative treatment such as bed rest, exercises, heating or cooling modalities, massage, and pharmacotherapies such as non-steroidal anti-inflammatory drugs (NSAIDS), muscle relaxants, non-narcotic analgesics, should have been tried and failed, </w:t>
      </w:r>
      <w:r w:rsidRPr="00CE7380">
        <w:rPr>
          <w:rFonts w:ascii="Calibri" w:hAnsi="Calibri" w:cs="Calibri"/>
          <w:i/>
          <w:iCs/>
          <w:sz w:val="24"/>
          <w:szCs w:val="24"/>
        </w:rPr>
        <w:t>and</w:t>
      </w:r>
    </w:p>
    <w:p w14:paraId="7F390492" w14:textId="77777777" w:rsidR="00CE7380" w:rsidRPr="00CE7380" w:rsidRDefault="00CE7380" w:rsidP="00CE7380">
      <w:pPr>
        <w:numPr>
          <w:ilvl w:val="2"/>
          <w:numId w:val="2"/>
        </w:numPr>
        <w:rPr>
          <w:rFonts w:ascii="Calibri" w:hAnsi="Calibri" w:cs="Calibri"/>
          <w:sz w:val="24"/>
          <w:szCs w:val="24"/>
        </w:rPr>
      </w:pPr>
      <w:r w:rsidRPr="00CE7380">
        <w:rPr>
          <w:rFonts w:ascii="Calibri" w:hAnsi="Calibri" w:cs="Calibri"/>
          <w:sz w:val="24"/>
          <w:szCs w:val="24"/>
        </w:rPr>
        <w:t>Symptoms have persisted for more than 3 months, </w:t>
      </w:r>
      <w:r w:rsidRPr="00CE7380">
        <w:rPr>
          <w:rFonts w:ascii="Calibri" w:hAnsi="Calibri" w:cs="Calibri"/>
          <w:i/>
          <w:iCs/>
          <w:sz w:val="24"/>
          <w:szCs w:val="24"/>
        </w:rPr>
        <w:t>and</w:t>
      </w:r>
    </w:p>
    <w:p w14:paraId="49714834" w14:textId="77777777" w:rsidR="00CE7380" w:rsidRPr="00CE7380" w:rsidRDefault="00CE7380" w:rsidP="00CE7380">
      <w:pPr>
        <w:numPr>
          <w:ilvl w:val="2"/>
          <w:numId w:val="2"/>
        </w:numPr>
        <w:rPr>
          <w:rFonts w:ascii="Calibri" w:hAnsi="Calibri" w:cs="Calibri"/>
          <w:sz w:val="24"/>
          <w:szCs w:val="24"/>
        </w:rPr>
      </w:pPr>
      <w:r w:rsidRPr="00CE7380">
        <w:rPr>
          <w:rFonts w:ascii="Calibri" w:hAnsi="Calibri" w:cs="Calibri"/>
          <w:sz w:val="24"/>
          <w:szCs w:val="24"/>
        </w:rPr>
        <w:lastRenderedPageBreak/>
        <w:t>Trigger points have been identified by palpation; </w:t>
      </w:r>
      <w:r w:rsidRPr="00CE7380">
        <w:rPr>
          <w:rFonts w:ascii="Calibri" w:hAnsi="Calibri" w:cs="Calibri"/>
          <w:i/>
          <w:iCs/>
          <w:sz w:val="24"/>
          <w:szCs w:val="24"/>
        </w:rPr>
        <w:t>and</w:t>
      </w:r>
    </w:p>
    <w:p w14:paraId="19EBD3C7" w14:textId="77777777" w:rsidR="00CE7380" w:rsidRPr="00CE7380" w:rsidRDefault="00CE7380" w:rsidP="00CE7380">
      <w:pPr>
        <w:numPr>
          <w:ilvl w:val="2"/>
          <w:numId w:val="2"/>
        </w:numPr>
        <w:rPr>
          <w:rFonts w:ascii="Calibri" w:hAnsi="Calibri" w:cs="Calibri"/>
          <w:sz w:val="24"/>
          <w:szCs w:val="24"/>
        </w:rPr>
      </w:pPr>
      <w:r w:rsidRPr="00CE7380">
        <w:rPr>
          <w:rFonts w:ascii="Calibri" w:hAnsi="Calibri" w:cs="Calibri"/>
          <w:sz w:val="24"/>
          <w:szCs w:val="24"/>
        </w:rPr>
        <w:t>Trigger point injections are not administered in isolation, but are provided as part of a comprehensive pain management program, including physical therapy, patient education, psychosocial support, and oral medication where appropriate.</w:t>
      </w:r>
    </w:p>
    <w:p w14:paraId="07282774" w14:textId="77777777" w:rsidR="00CE7380" w:rsidRPr="00CE7380" w:rsidRDefault="00CE7380" w:rsidP="00CE7380">
      <w:pPr>
        <w:numPr>
          <w:ilvl w:val="1"/>
          <w:numId w:val="2"/>
        </w:numPr>
        <w:rPr>
          <w:rFonts w:ascii="Calibri" w:hAnsi="Calibri" w:cs="Calibri"/>
          <w:sz w:val="24"/>
          <w:szCs w:val="24"/>
        </w:rPr>
      </w:pPr>
      <w:r w:rsidRPr="00CE7380">
        <w:rPr>
          <w:rFonts w:ascii="Calibri" w:hAnsi="Calibri" w:cs="Calibri"/>
          <w:sz w:val="24"/>
          <w:szCs w:val="24"/>
        </w:rPr>
        <w:t>A trigger point is defined as a specific point or area where, if stimulated by touch or pressure, a painful response will be induced.  A set of trigger point injections means injections in several trigger points in one sitting.</w:t>
      </w:r>
    </w:p>
    <w:p w14:paraId="2A7E3C6C" w14:textId="77777777" w:rsidR="00CE7380" w:rsidRPr="00CE7380" w:rsidRDefault="00CE7380" w:rsidP="00CE7380">
      <w:pPr>
        <w:numPr>
          <w:ilvl w:val="1"/>
          <w:numId w:val="2"/>
        </w:numPr>
        <w:rPr>
          <w:rFonts w:ascii="Calibri" w:hAnsi="Calibri" w:cs="Calibri"/>
          <w:sz w:val="24"/>
          <w:szCs w:val="24"/>
        </w:rPr>
      </w:pPr>
      <w:r w:rsidRPr="00CE7380">
        <w:rPr>
          <w:rFonts w:ascii="Calibri" w:hAnsi="Calibri" w:cs="Calibri"/>
          <w:sz w:val="24"/>
          <w:szCs w:val="24"/>
        </w:rPr>
        <w:t>Up to 4 sets of injections are considered medically necessary to diagnose the origin of a patient's pain and achieve a therapeutic effect; additional sets of trigger point injections are not considered medically necessary if no clinical response is achieved. It is not considered medically necessary to repeat injections for this indication more frequently than every 7 days.</w:t>
      </w:r>
    </w:p>
    <w:p w14:paraId="47E0C650" w14:textId="77777777" w:rsidR="00CE7380" w:rsidRPr="00CE7380" w:rsidRDefault="00CE7380" w:rsidP="00CE7380">
      <w:pPr>
        <w:numPr>
          <w:ilvl w:val="1"/>
          <w:numId w:val="2"/>
        </w:numPr>
        <w:rPr>
          <w:rFonts w:ascii="Calibri" w:hAnsi="Calibri" w:cs="Calibri"/>
          <w:sz w:val="24"/>
          <w:szCs w:val="24"/>
        </w:rPr>
      </w:pPr>
      <w:r w:rsidRPr="00CE7380">
        <w:rPr>
          <w:rFonts w:ascii="Calibri" w:hAnsi="Calibri" w:cs="Calibri"/>
          <w:sz w:val="24"/>
          <w:szCs w:val="24"/>
        </w:rPr>
        <w:t>Once a diagnosis is established and a therapeutic effect is achieved, it is rarely considered medically necessary to repeat trigger point injections more frequently than once every 2 months. Repeated injections extending beyond 12 months may be reviewed for continued medical necessity.</w:t>
      </w:r>
    </w:p>
    <w:p w14:paraId="1524C50E" w14:textId="77777777" w:rsidR="00CE7380" w:rsidRPr="00CE7380" w:rsidRDefault="00CE7380" w:rsidP="00CE7380">
      <w:pPr>
        <w:numPr>
          <w:ilvl w:val="0"/>
          <w:numId w:val="2"/>
        </w:numPr>
        <w:rPr>
          <w:rFonts w:ascii="Calibri" w:hAnsi="Calibri" w:cs="Calibri"/>
          <w:sz w:val="24"/>
          <w:szCs w:val="24"/>
        </w:rPr>
      </w:pPr>
      <w:r w:rsidRPr="00CE7380">
        <w:rPr>
          <w:rFonts w:ascii="Calibri" w:hAnsi="Calibri" w:cs="Calibri"/>
          <w:sz w:val="24"/>
          <w:szCs w:val="24"/>
        </w:rPr>
        <w:t xml:space="preserve">Cigna 2023 INJECTION THERAPY: TRIGGER POINT </w:t>
      </w:r>
    </w:p>
    <w:p w14:paraId="3EA86355" w14:textId="77777777" w:rsidR="00CE7380" w:rsidRPr="00CE7380" w:rsidRDefault="00CE7380" w:rsidP="00CE7380">
      <w:pPr>
        <w:numPr>
          <w:ilvl w:val="1"/>
          <w:numId w:val="2"/>
        </w:numPr>
        <w:rPr>
          <w:rFonts w:ascii="Calibri" w:hAnsi="Calibri" w:cs="Calibri"/>
          <w:sz w:val="24"/>
          <w:szCs w:val="24"/>
        </w:rPr>
      </w:pPr>
      <w:r w:rsidRPr="00CE7380">
        <w:rPr>
          <w:rFonts w:ascii="Calibri" w:hAnsi="Calibri" w:cs="Calibri"/>
          <w:sz w:val="24"/>
          <w:szCs w:val="24"/>
        </w:rPr>
        <w:t xml:space="preserve">Diagnostic/Stabilization Phase </w:t>
      </w:r>
    </w:p>
    <w:p w14:paraId="5CF78506" w14:textId="77777777" w:rsidR="00CE7380" w:rsidRPr="00CE7380" w:rsidRDefault="00CE7380" w:rsidP="00CE7380">
      <w:pPr>
        <w:numPr>
          <w:ilvl w:val="2"/>
          <w:numId w:val="2"/>
        </w:numPr>
        <w:rPr>
          <w:rFonts w:ascii="Calibri" w:hAnsi="Calibri" w:cs="Calibri"/>
          <w:sz w:val="24"/>
          <w:szCs w:val="24"/>
        </w:rPr>
      </w:pPr>
      <w:r w:rsidRPr="00CE7380">
        <w:rPr>
          <w:rFonts w:ascii="Calibri" w:hAnsi="Calibri" w:cs="Calibri"/>
          <w:sz w:val="24"/>
          <w:szCs w:val="24"/>
        </w:rPr>
        <w:t xml:space="preserve">Trigger-point injection(s) of anesthetic and/or corticosteroid (CPT codes 20552, 20553) for diagnosis/stabilization of subacute or chronic back, or neck pain, or subacute or chronic myofascial pain syndrome is considered medically necessary when pain has persisted despite appropriate conservative treatment, including pharmacological therapy, physical therapy, and/or a home exercise program. </w:t>
      </w:r>
    </w:p>
    <w:p w14:paraId="1EB72C85" w14:textId="77777777" w:rsidR="00CE7380" w:rsidRPr="00CE7380" w:rsidRDefault="00CE7380" w:rsidP="00CE7380">
      <w:pPr>
        <w:numPr>
          <w:ilvl w:val="2"/>
          <w:numId w:val="2"/>
        </w:numPr>
        <w:rPr>
          <w:rFonts w:ascii="Calibri" w:hAnsi="Calibri" w:cs="Calibri"/>
          <w:sz w:val="24"/>
          <w:szCs w:val="24"/>
        </w:rPr>
      </w:pPr>
      <w:r w:rsidRPr="00CE7380">
        <w:rPr>
          <w:rFonts w:ascii="Calibri" w:hAnsi="Calibri" w:cs="Calibri"/>
          <w:sz w:val="24"/>
          <w:szCs w:val="24"/>
        </w:rPr>
        <w:t xml:space="preserve">A maximum of four injection sessions for diagnosis and stabilization may be performed at minimum intervals of one week when provided to determine whether injections provide therapeutic benefit. </w:t>
      </w:r>
    </w:p>
    <w:p w14:paraId="7433AF06" w14:textId="77777777" w:rsidR="00CE7380" w:rsidRPr="00CE7380" w:rsidRDefault="00CE7380" w:rsidP="00CE7380">
      <w:pPr>
        <w:numPr>
          <w:ilvl w:val="1"/>
          <w:numId w:val="2"/>
        </w:numPr>
        <w:rPr>
          <w:rFonts w:ascii="Calibri" w:hAnsi="Calibri" w:cs="Calibri"/>
          <w:sz w:val="24"/>
          <w:szCs w:val="24"/>
        </w:rPr>
      </w:pPr>
      <w:r w:rsidRPr="00CE7380">
        <w:rPr>
          <w:rFonts w:ascii="Calibri" w:hAnsi="Calibri" w:cs="Calibri"/>
          <w:sz w:val="24"/>
          <w:szCs w:val="24"/>
        </w:rPr>
        <w:t xml:space="preserve">Therapeutic Phase Therapeutic trigger-point injections of anesthetic and/or corticosteroid (CPT codes 20552, 20553) are considered medically necessary when prior diagnostic/stabilization injections resulted in a beneficial clinical response (e.g., improvement in pain, functioning, activity tolerance) and BOTH of the following criteria are met: </w:t>
      </w:r>
    </w:p>
    <w:p w14:paraId="7DCE68AB" w14:textId="77777777" w:rsidR="00CE7380" w:rsidRPr="00CE7380" w:rsidRDefault="00CE7380" w:rsidP="00CE7380">
      <w:pPr>
        <w:numPr>
          <w:ilvl w:val="2"/>
          <w:numId w:val="2"/>
        </w:numPr>
        <w:rPr>
          <w:rFonts w:ascii="Calibri" w:hAnsi="Calibri" w:cs="Calibri"/>
          <w:sz w:val="24"/>
          <w:szCs w:val="24"/>
        </w:rPr>
      </w:pPr>
      <w:r w:rsidRPr="00CE7380">
        <w:rPr>
          <w:rFonts w:ascii="Calibri" w:hAnsi="Calibri" w:cs="Calibri"/>
          <w:sz w:val="24"/>
          <w:szCs w:val="24"/>
        </w:rPr>
        <w:t xml:space="preserve">subacute or chronic back pain, neck pain, or myofascial pain syndrome persists </w:t>
      </w:r>
    </w:p>
    <w:p w14:paraId="7292731C" w14:textId="77777777" w:rsidR="00CE7380" w:rsidRPr="00CE7380" w:rsidRDefault="00CE7380" w:rsidP="00CE7380">
      <w:pPr>
        <w:numPr>
          <w:ilvl w:val="2"/>
          <w:numId w:val="2"/>
        </w:numPr>
        <w:rPr>
          <w:rFonts w:ascii="Calibri" w:hAnsi="Calibri" w:cs="Calibri"/>
          <w:sz w:val="24"/>
          <w:szCs w:val="24"/>
        </w:rPr>
      </w:pPr>
      <w:r w:rsidRPr="00CE7380">
        <w:rPr>
          <w:rFonts w:ascii="Calibri" w:hAnsi="Calibri" w:cs="Calibri"/>
          <w:sz w:val="24"/>
          <w:szCs w:val="24"/>
        </w:rPr>
        <w:t xml:space="preserve">injections are provided in conjunction with an active treatment program, which may include pain management, physical therapy, and/or a home exercise program </w:t>
      </w:r>
    </w:p>
    <w:p w14:paraId="7756F746" w14:textId="77777777" w:rsidR="00CE7380" w:rsidRPr="00CE7380" w:rsidRDefault="00CE7380" w:rsidP="00CE7380">
      <w:pPr>
        <w:numPr>
          <w:ilvl w:val="1"/>
          <w:numId w:val="2"/>
        </w:numPr>
        <w:rPr>
          <w:rFonts w:ascii="Calibri" w:hAnsi="Calibri" w:cs="Calibri"/>
          <w:sz w:val="24"/>
          <w:szCs w:val="24"/>
        </w:rPr>
      </w:pPr>
      <w:r w:rsidRPr="00CE7380">
        <w:rPr>
          <w:rFonts w:ascii="Calibri" w:hAnsi="Calibri" w:cs="Calibri"/>
          <w:sz w:val="24"/>
          <w:szCs w:val="24"/>
        </w:rPr>
        <w:t>A maximum of six treatment sessions for injection of the same muscle may be performed at a minimum interval of two months, if the preceding therapeutic injection resulted in more than 50% relief for at least six weeks.</w:t>
      </w:r>
    </w:p>
    <w:p w14:paraId="5E592D3E" w14:textId="77777777" w:rsidR="00CE7380" w:rsidRPr="00CE7380" w:rsidRDefault="00C32AFB" w:rsidP="00CE7380">
      <w:pPr>
        <w:numPr>
          <w:ilvl w:val="0"/>
          <w:numId w:val="2"/>
        </w:numPr>
        <w:rPr>
          <w:rFonts w:ascii="Calibri" w:hAnsi="Calibri" w:cs="Calibri"/>
          <w:sz w:val="24"/>
          <w:szCs w:val="24"/>
        </w:rPr>
      </w:pPr>
      <w:hyperlink r:id="rId10" w:history="1">
        <w:r w:rsidR="00CE7380" w:rsidRPr="00CE7380">
          <w:rPr>
            <w:rStyle w:val="Hyperlink"/>
            <w:rFonts w:ascii="Calibri" w:hAnsi="Calibri" w:cs="Calibri"/>
            <w:sz w:val="24"/>
            <w:szCs w:val="24"/>
          </w:rPr>
          <w:t>CMS LCD 2024 Trigger Point Injections (TPI</w:t>
        </w:r>
      </w:hyperlink>
      <w:r w:rsidR="00CE7380" w:rsidRPr="00CE7380">
        <w:rPr>
          <w:rFonts w:ascii="Calibri" w:hAnsi="Calibri" w:cs="Calibri"/>
          <w:sz w:val="24"/>
          <w:szCs w:val="24"/>
        </w:rPr>
        <w:t>)</w:t>
      </w:r>
    </w:p>
    <w:p w14:paraId="1E298442" w14:textId="77777777" w:rsidR="00CE7380" w:rsidRPr="00CE7380" w:rsidRDefault="00CE7380" w:rsidP="00CE7380">
      <w:pPr>
        <w:numPr>
          <w:ilvl w:val="1"/>
          <w:numId w:val="2"/>
        </w:numPr>
        <w:rPr>
          <w:rFonts w:ascii="Calibri" w:hAnsi="Calibri" w:cs="Calibri"/>
          <w:sz w:val="24"/>
          <w:szCs w:val="24"/>
        </w:rPr>
      </w:pPr>
      <w:r w:rsidRPr="00CE7380">
        <w:rPr>
          <w:rFonts w:ascii="Calibri" w:hAnsi="Calibri" w:cs="Calibri"/>
          <w:b/>
          <w:bCs/>
          <w:sz w:val="24"/>
          <w:szCs w:val="24"/>
        </w:rPr>
        <w:t>Initial Trigger Point Injection</w:t>
      </w:r>
      <w:r w:rsidRPr="00CE7380">
        <w:rPr>
          <w:rFonts w:ascii="Calibri" w:hAnsi="Calibri" w:cs="Calibri"/>
          <w:sz w:val="24"/>
          <w:szCs w:val="24"/>
        </w:rPr>
        <w:t xml:space="preserve"> </w:t>
      </w:r>
    </w:p>
    <w:p w14:paraId="39C39E8F" w14:textId="77777777" w:rsidR="00CE7380" w:rsidRPr="00CE7380" w:rsidRDefault="00CE7380" w:rsidP="00CE7380">
      <w:pPr>
        <w:numPr>
          <w:ilvl w:val="2"/>
          <w:numId w:val="2"/>
        </w:numPr>
        <w:rPr>
          <w:rFonts w:ascii="Calibri" w:hAnsi="Calibri" w:cs="Calibri"/>
          <w:sz w:val="24"/>
          <w:szCs w:val="24"/>
        </w:rPr>
      </w:pPr>
      <w:r w:rsidRPr="00CE7380">
        <w:rPr>
          <w:rFonts w:ascii="Calibri" w:hAnsi="Calibri" w:cs="Calibri"/>
          <w:sz w:val="24"/>
          <w:szCs w:val="24"/>
        </w:rPr>
        <w:t>Trigger point injections (TPI) will be considered medically reasonable and necessary to treat myofascial pain caused by trigger points when all the following requirements are met:</w:t>
      </w:r>
    </w:p>
    <w:p w14:paraId="20A6B1D6" w14:textId="77777777" w:rsidR="00CE7380" w:rsidRPr="00CE7380" w:rsidRDefault="00CE7380" w:rsidP="00CE7380">
      <w:pPr>
        <w:numPr>
          <w:ilvl w:val="3"/>
          <w:numId w:val="2"/>
        </w:numPr>
        <w:rPr>
          <w:rFonts w:ascii="Calibri" w:hAnsi="Calibri" w:cs="Calibri"/>
          <w:sz w:val="24"/>
          <w:szCs w:val="24"/>
        </w:rPr>
      </w:pPr>
      <w:r w:rsidRPr="00CE7380">
        <w:rPr>
          <w:rFonts w:ascii="Calibri" w:hAnsi="Calibri" w:cs="Calibri"/>
          <w:sz w:val="24"/>
          <w:szCs w:val="24"/>
        </w:rPr>
        <w:t>There is a focal area of pain in the skeletal muscle.</w:t>
      </w:r>
    </w:p>
    <w:p w14:paraId="36012912" w14:textId="77777777" w:rsidR="00CE7380" w:rsidRPr="00CE7380" w:rsidRDefault="00CE7380" w:rsidP="00CE7380">
      <w:pPr>
        <w:numPr>
          <w:ilvl w:val="3"/>
          <w:numId w:val="2"/>
        </w:numPr>
        <w:rPr>
          <w:rFonts w:ascii="Calibri" w:hAnsi="Calibri" w:cs="Calibri"/>
          <w:sz w:val="24"/>
          <w:szCs w:val="24"/>
        </w:rPr>
      </w:pPr>
      <w:r w:rsidRPr="00CE7380">
        <w:rPr>
          <w:rFonts w:ascii="Calibri" w:hAnsi="Calibri" w:cs="Calibri"/>
          <w:sz w:val="24"/>
          <w:szCs w:val="24"/>
        </w:rPr>
        <w:t>There is clinical evidence of a trigger point defined as pain in a skeletal muscle that is associated with at least 2 of the following findings: the presence of a hyperirritable spot and/or taut band identified by palpation and possible referred pain </w:t>
      </w:r>
      <w:r w:rsidRPr="00CE7380">
        <w:rPr>
          <w:rFonts w:ascii="Calibri" w:hAnsi="Calibri" w:cs="Calibri"/>
          <w:b/>
          <w:bCs/>
          <w:sz w:val="24"/>
          <w:szCs w:val="24"/>
        </w:rPr>
        <w:t>AND</w:t>
      </w:r>
    </w:p>
    <w:p w14:paraId="65917892" w14:textId="77777777" w:rsidR="00CE7380" w:rsidRPr="00CE7380" w:rsidRDefault="00CE7380" w:rsidP="00CE7380">
      <w:pPr>
        <w:numPr>
          <w:ilvl w:val="3"/>
          <w:numId w:val="2"/>
        </w:numPr>
        <w:rPr>
          <w:rFonts w:ascii="Calibri" w:hAnsi="Calibri" w:cs="Calibri"/>
          <w:sz w:val="24"/>
          <w:szCs w:val="24"/>
        </w:rPr>
      </w:pPr>
      <w:r w:rsidRPr="00CE7380">
        <w:rPr>
          <w:rFonts w:ascii="Calibri" w:hAnsi="Calibri" w:cs="Calibri"/>
          <w:sz w:val="24"/>
          <w:szCs w:val="24"/>
        </w:rPr>
        <w:t>The physical examination identifies a focal hypersensitive bundle or nodule of muscle fiber harder than normal consistency with or without a local twitch response and referred pain </w:t>
      </w:r>
      <w:r w:rsidRPr="00CE7380">
        <w:rPr>
          <w:rFonts w:ascii="Calibri" w:hAnsi="Calibri" w:cs="Calibri"/>
          <w:b/>
          <w:bCs/>
          <w:sz w:val="24"/>
          <w:szCs w:val="24"/>
        </w:rPr>
        <w:t>AND</w:t>
      </w:r>
    </w:p>
    <w:p w14:paraId="18CB5B7F" w14:textId="77777777" w:rsidR="00CE7380" w:rsidRPr="00CE7380" w:rsidRDefault="00CE7380" w:rsidP="00CE7380">
      <w:pPr>
        <w:numPr>
          <w:ilvl w:val="3"/>
          <w:numId w:val="2"/>
        </w:numPr>
        <w:rPr>
          <w:rFonts w:ascii="Calibri" w:hAnsi="Calibri" w:cs="Calibri"/>
          <w:sz w:val="24"/>
          <w:szCs w:val="24"/>
        </w:rPr>
      </w:pPr>
      <w:r w:rsidRPr="00CE7380">
        <w:rPr>
          <w:rFonts w:ascii="Calibri" w:hAnsi="Calibri" w:cs="Calibri"/>
          <w:sz w:val="24"/>
          <w:szCs w:val="24"/>
        </w:rPr>
        <w:t>Non-invasive conservative therapy is not successful as first line treatment </w:t>
      </w:r>
      <w:r w:rsidRPr="00CE7380">
        <w:rPr>
          <w:rFonts w:ascii="Calibri" w:hAnsi="Calibri" w:cs="Calibri"/>
          <w:b/>
          <w:bCs/>
          <w:sz w:val="24"/>
          <w:szCs w:val="24"/>
        </w:rPr>
        <w:t>OR</w:t>
      </w:r>
      <w:r w:rsidRPr="00CE7380">
        <w:rPr>
          <w:rFonts w:ascii="Calibri" w:hAnsi="Calibri" w:cs="Calibri"/>
          <w:sz w:val="24"/>
          <w:szCs w:val="24"/>
        </w:rPr>
        <w:t> movement of a joint or limb is limited or blocked </w:t>
      </w:r>
      <w:r w:rsidRPr="00CE7380">
        <w:rPr>
          <w:rFonts w:ascii="Calibri" w:hAnsi="Calibri" w:cs="Calibri"/>
          <w:b/>
          <w:bCs/>
          <w:sz w:val="24"/>
          <w:szCs w:val="24"/>
        </w:rPr>
        <w:t>OR</w:t>
      </w:r>
      <w:r w:rsidRPr="00CE7380">
        <w:rPr>
          <w:rFonts w:ascii="Calibri" w:hAnsi="Calibri" w:cs="Calibri"/>
          <w:sz w:val="24"/>
          <w:szCs w:val="24"/>
        </w:rPr>
        <w:t> the TPI is necessary for diagnostic confirmation</w:t>
      </w:r>
    </w:p>
    <w:p w14:paraId="4C81E48A" w14:textId="77777777" w:rsidR="00CE7380" w:rsidRPr="00CE7380" w:rsidRDefault="00CE7380" w:rsidP="00CE7380">
      <w:pPr>
        <w:numPr>
          <w:ilvl w:val="1"/>
          <w:numId w:val="2"/>
        </w:numPr>
        <w:rPr>
          <w:rFonts w:ascii="Calibri" w:hAnsi="Calibri" w:cs="Calibri"/>
          <w:sz w:val="24"/>
          <w:szCs w:val="24"/>
        </w:rPr>
      </w:pPr>
      <w:r w:rsidRPr="00CE7380">
        <w:rPr>
          <w:rFonts w:ascii="Calibri" w:hAnsi="Calibri" w:cs="Calibri"/>
          <w:b/>
          <w:bCs/>
          <w:sz w:val="24"/>
          <w:szCs w:val="24"/>
        </w:rPr>
        <w:t>Subsequent TPI</w:t>
      </w:r>
    </w:p>
    <w:p w14:paraId="2E294DF6" w14:textId="77777777" w:rsidR="00CE7380" w:rsidRPr="00CE7380" w:rsidRDefault="00CE7380" w:rsidP="00CE7380">
      <w:pPr>
        <w:numPr>
          <w:ilvl w:val="2"/>
          <w:numId w:val="2"/>
        </w:numPr>
        <w:rPr>
          <w:rFonts w:ascii="Calibri" w:hAnsi="Calibri" w:cs="Calibri"/>
          <w:sz w:val="24"/>
          <w:szCs w:val="24"/>
        </w:rPr>
      </w:pPr>
      <w:r w:rsidRPr="00CE7380">
        <w:rPr>
          <w:rFonts w:ascii="Calibri" w:hAnsi="Calibri" w:cs="Calibri"/>
          <w:sz w:val="24"/>
          <w:szCs w:val="24"/>
        </w:rPr>
        <w:t>Repeat Trigger point injections in previously injected trigger points will be considered medically reasonable and necessary to treat myofascial pain syndrome when all the following requirements are met:</w:t>
      </w:r>
    </w:p>
    <w:p w14:paraId="01A0A951" w14:textId="77777777" w:rsidR="00CE7380" w:rsidRPr="00CE7380" w:rsidRDefault="00CE7380" w:rsidP="00CE7380">
      <w:pPr>
        <w:numPr>
          <w:ilvl w:val="3"/>
          <w:numId w:val="2"/>
        </w:numPr>
        <w:rPr>
          <w:rFonts w:ascii="Calibri" w:hAnsi="Calibri" w:cs="Calibri"/>
          <w:sz w:val="24"/>
          <w:szCs w:val="24"/>
        </w:rPr>
      </w:pPr>
      <w:r w:rsidRPr="00CE7380">
        <w:rPr>
          <w:rFonts w:ascii="Calibri" w:hAnsi="Calibri" w:cs="Calibri"/>
          <w:sz w:val="24"/>
          <w:szCs w:val="24"/>
        </w:rPr>
        <w:t>There is a positive pain response from the most recent TPI defined as providing consistent minimum of 50% relief of primary (index) pain after the TPI measured by the SAME pain scale (scales used to measure pain and/or disability must be documented in the medical record) at baseline and post-injection </w:t>
      </w:r>
      <w:r w:rsidRPr="00CE7380">
        <w:rPr>
          <w:rFonts w:ascii="Calibri" w:hAnsi="Calibri" w:cs="Calibri"/>
          <w:b/>
          <w:bCs/>
          <w:sz w:val="24"/>
          <w:szCs w:val="24"/>
        </w:rPr>
        <w:t>AND</w:t>
      </w:r>
    </w:p>
    <w:p w14:paraId="0B8C3ED4" w14:textId="77777777" w:rsidR="00CE7380" w:rsidRPr="00CE7380" w:rsidRDefault="00CE7380" w:rsidP="00CE7380">
      <w:pPr>
        <w:numPr>
          <w:ilvl w:val="3"/>
          <w:numId w:val="2"/>
        </w:numPr>
        <w:rPr>
          <w:rFonts w:ascii="Calibri" w:hAnsi="Calibri" w:cs="Calibri"/>
          <w:sz w:val="24"/>
          <w:szCs w:val="24"/>
        </w:rPr>
      </w:pPr>
      <w:r w:rsidRPr="00CE7380">
        <w:rPr>
          <w:rFonts w:ascii="Calibri" w:hAnsi="Calibri" w:cs="Calibri"/>
          <w:sz w:val="24"/>
          <w:szCs w:val="24"/>
        </w:rPr>
        <w:t>Consistent pain relief from the most recent previous TPI lasting at least 6 weeks</w:t>
      </w:r>
      <w:r w:rsidRPr="00CE7380">
        <w:rPr>
          <w:rFonts w:ascii="Calibri" w:hAnsi="Calibri" w:cs="Calibri"/>
          <w:sz w:val="24"/>
          <w:szCs w:val="24"/>
          <w:vertAlign w:val="superscript"/>
        </w:rPr>
        <w:t>1</w:t>
      </w:r>
      <w:r w:rsidRPr="00CE7380">
        <w:rPr>
          <w:rFonts w:ascii="Calibri" w:hAnsi="Calibri" w:cs="Calibri"/>
          <w:sz w:val="24"/>
          <w:szCs w:val="24"/>
        </w:rPr>
        <w:t> </w:t>
      </w:r>
      <w:r w:rsidRPr="00CE7380">
        <w:rPr>
          <w:rFonts w:ascii="Calibri" w:hAnsi="Calibri" w:cs="Calibri"/>
          <w:b/>
          <w:bCs/>
          <w:sz w:val="24"/>
          <w:szCs w:val="24"/>
        </w:rPr>
        <w:t>AND</w:t>
      </w:r>
    </w:p>
    <w:p w14:paraId="1E52F98D" w14:textId="77777777" w:rsidR="00CE7380" w:rsidRPr="00CE7380" w:rsidRDefault="00CE7380" w:rsidP="00CE7380">
      <w:pPr>
        <w:numPr>
          <w:ilvl w:val="3"/>
          <w:numId w:val="2"/>
        </w:numPr>
        <w:rPr>
          <w:rFonts w:ascii="Calibri" w:hAnsi="Calibri" w:cs="Calibri"/>
          <w:sz w:val="24"/>
          <w:szCs w:val="24"/>
        </w:rPr>
      </w:pPr>
      <w:r w:rsidRPr="00CE7380">
        <w:rPr>
          <w:rFonts w:ascii="Calibri" w:hAnsi="Calibri" w:cs="Calibri"/>
          <w:sz w:val="24"/>
          <w:szCs w:val="24"/>
        </w:rPr>
        <w:t>The myofascial pain has reoccurred and is causing objective functional limitations measured by a functional scale obtained at baseline and after TPI which demonstrated at least 50% improvement from the previous TPI.</w:t>
      </w:r>
    </w:p>
    <w:p w14:paraId="703C4D7B" w14:textId="77777777" w:rsidR="00CE7380" w:rsidRPr="00CE7380" w:rsidRDefault="00CE7380" w:rsidP="00CE7380">
      <w:pPr>
        <w:numPr>
          <w:ilvl w:val="2"/>
          <w:numId w:val="2"/>
        </w:numPr>
        <w:rPr>
          <w:rFonts w:ascii="Calibri" w:hAnsi="Calibri" w:cs="Calibri"/>
          <w:sz w:val="24"/>
          <w:szCs w:val="24"/>
        </w:rPr>
      </w:pPr>
      <w:r w:rsidRPr="00CE7380">
        <w:rPr>
          <w:rFonts w:ascii="Calibri" w:hAnsi="Calibri" w:cs="Calibri"/>
          <w:sz w:val="24"/>
          <w:szCs w:val="24"/>
        </w:rPr>
        <w:t>No more than three (3) TPI sessions will be reimbursed per rolling 12 months</w:t>
      </w:r>
    </w:p>
    <w:p w14:paraId="5475532B" w14:textId="77777777" w:rsidR="00CE7380" w:rsidRPr="00CE7380" w:rsidRDefault="00CE7380" w:rsidP="00CE7380">
      <w:pPr>
        <w:numPr>
          <w:ilvl w:val="1"/>
          <w:numId w:val="2"/>
        </w:numPr>
        <w:rPr>
          <w:rFonts w:ascii="Calibri" w:hAnsi="Calibri" w:cs="Calibri"/>
          <w:sz w:val="24"/>
          <w:szCs w:val="24"/>
        </w:rPr>
      </w:pPr>
      <w:r w:rsidRPr="00CE7380">
        <w:rPr>
          <w:rFonts w:ascii="Calibri" w:hAnsi="Calibri" w:cs="Calibri"/>
          <w:sz w:val="24"/>
          <w:szCs w:val="24"/>
        </w:rPr>
        <w:t>Patients should be part of an ongoing conservative treatment program and documentation to support the patient is actively participating in a rehabilitation program, home exercise program or functional restoration program is in the medical record.</w:t>
      </w:r>
    </w:p>
    <w:p w14:paraId="34047502" w14:textId="77777777" w:rsidR="00CE7380" w:rsidRPr="00CE7380" w:rsidRDefault="00CE7380" w:rsidP="00CE7380">
      <w:pPr>
        <w:numPr>
          <w:ilvl w:val="1"/>
          <w:numId w:val="2"/>
        </w:numPr>
        <w:rPr>
          <w:rFonts w:ascii="Calibri" w:hAnsi="Calibri" w:cs="Calibri"/>
          <w:sz w:val="24"/>
          <w:szCs w:val="24"/>
        </w:rPr>
      </w:pPr>
      <w:r w:rsidRPr="00CE7380">
        <w:rPr>
          <w:rFonts w:ascii="Calibri" w:hAnsi="Calibri" w:cs="Calibri"/>
          <w:sz w:val="24"/>
          <w:szCs w:val="24"/>
        </w:rPr>
        <w:t>A TPI involves the use of a local anesthetic and does not include injections of biologics (e.g., platelet rich plasma, stem cells, amniotic fluid, etc.) and/or any other injectates.</w:t>
      </w:r>
    </w:p>
    <w:p w14:paraId="2A09A625" w14:textId="77777777" w:rsidR="00CE7380" w:rsidRPr="00CE7380" w:rsidRDefault="00CE7380" w:rsidP="00CE7380">
      <w:pPr>
        <w:numPr>
          <w:ilvl w:val="1"/>
          <w:numId w:val="2"/>
        </w:numPr>
        <w:rPr>
          <w:rFonts w:ascii="Calibri" w:hAnsi="Calibri" w:cs="Calibri"/>
          <w:sz w:val="24"/>
          <w:szCs w:val="24"/>
        </w:rPr>
      </w:pPr>
      <w:r w:rsidRPr="00CE7380">
        <w:rPr>
          <w:rFonts w:ascii="Calibri" w:hAnsi="Calibri" w:cs="Calibri"/>
          <w:sz w:val="24"/>
          <w:szCs w:val="24"/>
        </w:rPr>
        <w:lastRenderedPageBreak/>
        <w:t>Trigger points injections for treatment of headache, neck pain or low back pain in absence of actual trigger points, diffuse muscle pain, a chronic pain syndrome, lumbosacral canal stenosis, fibromyalgia, non-malignant multifocal musculoskeletal pain, complex regional pain syndrome, sexual dysfunction/ pelvic pain, whiplash, neuropathic pain, and hemiplegic shoulder pain</w:t>
      </w:r>
      <w:r w:rsidRPr="00CE7380">
        <w:rPr>
          <w:rFonts w:ascii="Calibri" w:hAnsi="Calibri" w:cs="Calibri"/>
          <w:b/>
          <w:bCs/>
          <w:sz w:val="24"/>
          <w:szCs w:val="24"/>
          <w:u w:val="single"/>
        </w:rPr>
        <w:t> </w:t>
      </w:r>
      <w:r w:rsidRPr="00CE7380">
        <w:rPr>
          <w:rFonts w:ascii="Calibri" w:hAnsi="Calibri" w:cs="Calibri"/>
          <w:sz w:val="24"/>
          <w:szCs w:val="24"/>
        </w:rPr>
        <w:t>are considered investigational and therefore are not considered medically reasonable and necessary.</w:t>
      </w:r>
    </w:p>
    <w:p w14:paraId="4F3799CE" w14:textId="77777777" w:rsidR="00CE7380" w:rsidRPr="00CE7380" w:rsidRDefault="00CE7380" w:rsidP="00CE7380">
      <w:pPr>
        <w:rPr>
          <w:rFonts w:ascii="Calibri" w:hAnsi="Calibri" w:cs="Calibri"/>
          <w:sz w:val="24"/>
          <w:szCs w:val="24"/>
        </w:rPr>
      </w:pPr>
    </w:p>
    <w:p w14:paraId="23144ECD" w14:textId="77777777" w:rsidR="00CE7380" w:rsidRPr="00CE7380" w:rsidRDefault="00CE7380" w:rsidP="00CE7380">
      <w:pPr>
        <w:rPr>
          <w:rFonts w:ascii="Calibri" w:hAnsi="Calibri" w:cs="Calibri"/>
          <w:sz w:val="24"/>
          <w:szCs w:val="24"/>
        </w:rPr>
      </w:pPr>
    </w:p>
    <w:p w14:paraId="5D1FD594" w14:textId="77777777" w:rsidR="00CE7380" w:rsidRPr="00CE7380" w:rsidRDefault="00CE7380" w:rsidP="00CE7380">
      <w:pPr>
        <w:rPr>
          <w:rFonts w:ascii="Calibri" w:hAnsi="Calibri" w:cs="Calibri"/>
          <w:sz w:val="24"/>
          <w:szCs w:val="24"/>
        </w:rPr>
      </w:pPr>
    </w:p>
    <w:p w14:paraId="29517711" w14:textId="77777777" w:rsidR="00CE7380" w:rsidRPr="00CE7380" w:rsidRDefault="00CE7380" w:rsidP="00CE7380">
      <w:pPr>
        <w:rPr>
          <w:rFonts w:ascii="Calibri" w:hAnsi="Calibri" w:cs="Calibri"/>
          <w:sz w:val="24"/>
          <w:szCs w:val="24"/>
        </w:rPr>
      </w:pPr>
      <w:r w:rsidRPr="00CE7380">
        <w:rPr>
          <w:rFonts w:ascii="Calibri" w:hAnsi="Calibri" w:cs="Calibri"/>
          <w:sz w:val="24"/>
          <w:szCs w:val="24"/>
        </w:rPr>
        <w:br w:type="page"/>
      </w:r>
    </w:p>
    <w:p w14:paraId="35519B06" w14:textId="77777777" w:rsidR="00CE7380" w:rsidRPr="00CE7380" w:rsidRDefault="00CE7380" w:rsidP="00CE7380">
      <w:pPr>
        <w:rPr>
          <w:rFonts w:ascii="Calibri" w:hAnsi="Calibri" w:cs="Calibri"/>
          <w:sz w:val="24"/>
          <w:szCs w:val="24"/>
        </w:rPr>
      </w:pPr>
      <w:r w:rsidRPr="00CE7380">
        <w:rPr>
          <w:rFonts w:ascii="Calibri" w:hAnsi="Calibri" w:cs="Calibri"/>
          <w:sz w:val="24"/>
          <w:szCs w:val="24"/>
        </w:rPr>
        <w:lastRenderedPageBreak/>
        <w:t xml:space="preserve">HERC staff summary: </w:t>
      </w:r>
    </w:p>
    <w:p w14:paraId="16B4F279" w14:textId="77777777" w:rsidR="00CE7380" w:rsidRPr="00CE7380" w:rsidRDefault="00CE7380" w:rsidP="00CE7380">
      <w:pPr>
        <w:rPr>
          <w:rFonts w:ascii="Calibri" w:hAnsi="Calibri" w:cs="Calibri"/>
          <w:sz w:val="24"/>
          <w:szCs w:val="24"/>
        </w:rPr>
      </w:pPr>
      <w:r w:rsidRPr="00CE7380">
        <w:rPr>
          <w:rFonts w:ascii="Calibri" w:hAnsi="Calibri" w:cs="Calibri"/>
          <w:sz w:val="24"/>
          <w:szCs w:val="24"/>
        </w:rPr>
        <w:t xml:space="preserve">One systematic review and meta-analysis found that trigger point injections significantly reduced pain scores when used for acute myofascial pain, but noted there were significant limitations in study designs.  A systematic review looking at more chronic pain syndromes found that there was no evidence that trigger point injections were either beneficial or ineffective.  A Cochrane review found that steroid injections were no more effective than saline injections.  </w:t>
      </w:r>
    </w:p>
    <w:p w14:paraId="36C6D5C3" w14:textId="77777777" w:rsidR="00CE7380" w:rsidRPr="00CE7380" w:rsidRDefault="00CE7380" w:rsidP="00CE7380">
      <w:pPr>
        <w:rPr>
          <w:rFonts w:ascii="Calibri" w:hAnsi="Calibri" w:cs="Calibri"/>
          <w:sz w:val="24"/>
          <w:szCs w:val="24"/>
        </w:rPr>
      </w:pPr>
    </w:p>
    <w:p w14:paraId="05037076" w14:textId="77777777" w:rsidR="00CE7380" w:rsidRPr="00CE7380" w:rsidRDefault="00CE7380" w:rsidP="00CE7380">
      <w:pPr>
        <w:rPr>
          <w:rFonts w:ascii="Calibri" w:hAnsi="Calibri" w:cs="Calibri"/>
          <w:sz w:val="24"/>
          <w:szCs w:val="24"/>
        </w:rPr>
      </w:pPr>
      <w:r w:rsidRPr="00CE7380">
        <w:rPr>
          <w:rFonts w:ascii="Calibri" w:hAnsi="Calibri" w:cs="Calibri"/>
          <w:sz w:val="24"/>
          <w:szCs w:val="24"/>
        </w:rPr>
        <w:t xml:space="preserve">One expert group recommends that “Trigger point injections may be considered for treatment of patients with myofascial pain as part of a multimodal approach to pain management.” Private insurers surveyed and CMS are covering trigger point injections for myofascial pain syndromes for pain that persists after standard therapy; these payers require trigger point injections to be done as part of a more comprehensive pain management program. </w:t>
      </w:r>
    </w:p>
    <w:p w14:paraId="6FFE1171" w14:textId="77777777" w:rsidR="00CE7380" w:rsidRPr="00CE7380" w:rsidRDefault="00CE7380" w:rsidP="00CE7380">
      <w:pPr>
        <w:rPr>
          <w:rFonts w:ascii="Calibri" w:hAnsi="Calibri" w:cs="Calibri"/>
          <w:sz w:val="24"/>
          <w:szCs w:val="24"/>
        </w:rPr>
      </w:pPr>
    </w:p>
    <w:p w14:paraId="00F00D32" w14:textId="77777777" w:rsidR="00CE7380" w:rsidRPr="00CE7380" w:rsidRDefault="00CE7380" w:rsidP="00CE7380">
      <w:pPr>
        <w:rPr>
          <w:rFonts w:ascii="Calibri" w:hAnsi="Calibri" w:cs="Calibri"/>
          <w:sz w:val="24"/>
          <w:szCs w:val="24"/>
        </w:rPr>
      </w:pPr>
      <w:r w:rsidRPr="00CE7380">
        <w:rPr>
          <w:rFonts w:ascii="Calibri" w:hAnsi="Calibri" w:cs="Calibri"/>
          <w:sz w:val="24"/>
          <w:szCs w:val="24"/>
        </w:rPr>
        <w:t xml:space="preserve">Previous VBBS/HERC discussion pointed out that the only evidence supporting trigger point injections was in acute pain; however, the October 2024 staff recommendation included a guideline that limited use to chronic pain (more than 6 weeks in duration). </w:t>
      </w:r>
    </w:p>
    <w:p w14:paraId="1436F56F" w14:textId="77777777" w:rsidR="00CE7380" w:rsidRPr="00CE7380" w:rsidRDefault="00CE7380" w:rsidP="00CE7380">
      <w:pPr>
        <w:rPr>
          <w:rFonts w:ascii="Calibri" w:hAnsi="Calibri" w:cs="Calibri"/>
          <w:sz w:val="24"/>
          <w:szCs w:val="24"/>
        </w:rPr>
      </w:pPr>
    </w:p>
    <w:p w14:paraId="1B7254A1" w14:textId="77777777" w:rsidR="00CE7380" w:rsidRPr="00CE7380" w:rsidRDefault="00CE7380" w:rsidP="00CE7380">
      <w:pPr>
        <w:rPr>
          <w:rFonts w:ascii="Calibri" w:hAnsi="Calibri" w:cs="Calibri"/>
          <w:sz w:val="24"/>
          <w:szCs w:val="24"/>
        </w:rPr>
      </w:pPr>
      <w:r w:rsidRPr="00CE7380">
        <w:rPr>
          <w:rFonts w:ascii="Calibri" w:hAnsi="Calibri" w:cs="Calibri"/>
          <w:sz w:val="24"/>
          <w:szCs w:val="24"/>
        </w:rPr>
        <w:t>HERC staff recommend discussion of two possible options: 1) determining that trigger point injection has no benefit for chronic pain and placing in Excluded Guideline 2 or 2) determining that trigger point injections should be covered for myofascial pain syndrome with a new guideline. HERC staff do not recommend including trigger point injections for back pain without myofascial pain.</w:t>
      </w:r>
    </w:p>
    <w:p w14:paraId="0C257766" w14:textId="77777777" w:rsidR="00CE7380" w:rsidRPr="00CE7380" w:rsidRDefault="00CE7380" w:rsidP="00CE7380">
      <w:pPr>
        <w:rPr>
          <w:rFonts w:ascii="Calibri" w:hAnsi="Calibri" w:cs="Calibri"/>
          <w:sz w:val="24"/>
          <w:szCs w:val="24"/>
        </w:rPr>
      </w:pPr>
    </w:p>
    <w:p w14:paraId="14624A27" w14:textId="77777777" w:rsidR="00CE7380" w:rsidRPr="00CE7380" w:rsidRDefault="00CE7380" w:rsidP="00CE7380">
      <w:pPr>
        <w:rPr>
          <w:rFonts w:ascii="Calibri" w:hAnsi="Calibri" w:cs="Calibri"/>
          <w:sz w:val="24"/>
          <w:szCs w:val="24"/>
        </w:rPr>
      </w:pPr>
    </w:p>
    <w:p w14:paraId="19C37DF1" w14:textId="77777777" w:rsidR="00CE7380" w:rsidRPr="00CE7380" w:rsidRDefault="00CE7380" w:rsidP="00CE7380">
      <w:pPr>
        <w:rPr>
          <w:rFonts w:ascii="Calibri" w:hAnsi="Calibri" w:cs="Calibri"/>
          <w:sz w:val="24"/>
          <w:szCs w:val="24"/>
        </w:rPr>
      </w:pPr>
      <w:r w:rsidRPr="00CE7380">
        <w:rPr>
          <w:rFonts w:ascii="Calibri" w:hAnsi="Calibri" w:cs="Calibri"/>
          <w:sz w:val="24"/>
          <w:szCs w:val="24"/>
        </w:rPr>
        <w:t xml:space="preserve">HERC staff recommendations: </w:t>
      </w:r>
    </w:p>
    <w:p w14:paraId="7BC3587B" w14:textId="77777777" w:rsidR="00CE7380" w:rsidRPr="00CE7380" w:rsidRDefault="00CE7380" w:rsidP="00CE7380">
      <w:pPr>
        <w:rPr>
          <w:rFonts w:ascii="Calibri" w:hAnsi="Calibri" w:cs="Calibri"/>
          <w:sz w:val="24"/>
          <w:szCs w:val="24"/>
          <w:u w:val="single"/>
        </w:rPr>
      </w:pPr>
      <w:r w:rsidRPr="00CE7380">
        <w:rPr>
          <w:rFonts w:ascii="Calibri" w:hAnsi="Calibri" w:cs="Calibri"/>
          <w:sz w:val="24"/>
          <w:szCs w:val="24"/>
          <w:u w:val="single"/>
        </w:rPr>
        <w:t>Option 1</w:t>
      </w:r>
    </w:p>
    <w:p w14:paraId="10266BA6" w14:textId="77777777" w:rsidR="00CE7380" w:rsidRPr="00CE7380" w:rsidRDefault="00CE7380" w:rsidP="00CE7380">
      <w:pPr>
        <w:numPr>
          <w:ilvl w:val="0"/>
          <w:numId w:val="1"/>
        </w:numPr>
        <w:rPr>
          <w:rFonts w:ascii="Calibri" w:hAnsi="Calibri" w:cs="Calibri"/>
          <w:sz w:val="24"/>
          <w:szCs w:val="24"/>
        </w:rPr>
      </w:pPr>
      <w:r w:rsidRPr="00CE7380">
        <w:rPr>
          <w:rFonts w:ascii="Calibri" w:hAnsi="Calibri" w:cs="Calibri"/>
          <w:sz w:val="24"/>
          <w:szCs w:val="24"/>
        </w:rPr>
        <w:t>Remove CPT 20552 and 20553 (Injection(s); single or multiple trigger point(s)) from lines 496 OTHER DISORDERS OF SYNOVIUM, TENDON AND BURSA, COSTOCHONDRITIS, AND CHONDRODYSTROPHY, 498 PERIPHERAL ENTHESOPATHIES, 583 SYNOVITIS AND TENOSYNOVITIS, and 587 GANGLION</w:t>
      </w:r>
    </w:p>
    <w:p w14:paraId="2CFC6C0A" w14:textId="77777777" w:rsidR="00CE7380" w:rsidRPr="00CE7380" w:rsidRDefault="00CE7380" w:rsidP="00CE7380">
      <w:pPr>
        <w:numPr>
          <w:ilvl w:val="0"/>
          <w:numId w:val="1"/>
        </w:numPr>
        <w:rPr>
          <w:rFonts w:ascii="Calibri" w:hAnsi="Calibri" w:cs="Calibri"/>
          <w:sz w:val="24"/>
          <w:szCs w:val="24"/>
        </w:rPr>
      </w:pPr>
      <w:r w:rsidRPr="00CE7380">
        <w:rPr>
          <w:rFonts w:ascii="Calibri" w:hAnsi="Calibri" w:cs="Calibri"/>
          <w:sz w:val="24"/>
          <w:szCs w:val="24"/>
        </w:rPr>
        <w:t>Add an entry to Excluded Guideline 2 as shown below</w:t>
      </w:r>
    </w:p>
    <w:p w14:paraId="6AC97FF7" w14:textId="77777777" w:rsidR="00CE7380" w:rsidRPr="00CE7380" w:rsidRDefault="00CE7380" w:rsidP="00CE7380">
      <w:pPr>
        <w:rPr>
          <w:rFonts w:ascii="Calibri" w:hAnsi="Calibri" w:cs="Calibri"/>
          <w:sz w:val="24"/>
          <w:szCs w:val="24"/>
        </w:rPr>
      </w:pPr>
    </w:p>
    <w:p w14:paraId="4F3F19BF" w14:textId="77777777" w:rsidR="00CE7380" w:rsidRPr="00CE7380" w:rsidRDefault="00CE7380" w:rsidP="00CE7380">
      <w:pPr>
        <w:rPr>
          <w:rFonts w:ascii="Calibri" w:hAnsi="Calibri" w:cs="Calibri"/>
          <w:b/>
          <w:bCs/>
          <w:sz w:val="24"/>
          <w:szCs w:val="24"/>
        </w:rPr>
      </w:pPr>
      <w:r w:rsidRPr="00CE7380">
        <w:rPr>
          <w:rFonts w:ascii="Calibri" w:hAnsi="Calibri" w:cs="Calibri"/>
          <w:b/>
          <w:bCs/>
          <w:sz w:val="24"/>
          <w:szCs w:val="24"/>
        </w:rPr>
        <w:t>EXCLUDED GUIDELINE 2, INTERVENTIONS WITH MARGINAL CLINICAL BENEFIT OR LOW COST-EFFECTIVENESS FOR CERTAIN CONDITIONS</w:t>
      </w:r>
    </w:p>
    <w:p w14:paraId="42CB8755" w14:textId="77777777" w:rsidR="00CE7380" w:rsidRPr="00CE7380" w:rsidRDefault="00CE7380" w:rsidP="00CE7380">
      <w:pPr>
        <w:rPr>
          <w:rFonts w:ascii="Calibri" w:hAnsi="Calibri" w:cs="Calibri"/>
          <w:sz w:val="24"/>
          <w:szCs w:val="24"/>
        </w:rPr>
      </w:pPr>
      <w:r w:rsidRPr="00CE7380">
        <w:rPr>
          <w:rFonts w:ascii="Calibri" w:hAnsi="Calibri" w:cs="Calibri"/>
          <w:sz w:val="24"/>
          <w:szCs w:val="24"/>
        </w:rPr>
        <w:t>The following interventions are unproven, have no clinically important benefit or have harms that outweigh benefits and should be excluded from coverage:</w:t>
      </w:r>
    </w:p>
    <w:tbl>
      <w:tblPr>
        <w:tblW w:w="9445" w:type="dxa"/>
        <w:tblCellMar>
          <w:left w:w="0" w:type="dxa"/>
          <w:right w:w="0" w:type="dxa"/>
        </w:tblCellMar>
        <w:tblLook w:val="04A0" w:firstRow="1" w:lastRow="0" w:firstColumn="1" w:lastColumn="0" w:noHBand="0" w:noVBand="1"/>
      </w:tblPr>
      <w:tblGrid>
        <w:gridCol w:w="1526"/>
        <w:gridCol w:w="3326"/>
        <w:gridCol w:w="2966"/>
        <w:gridCol w:w="1627"/>
      </w:tblGrid>
      <w:tr w:rsidR="00CE7380" w:rsidRPr="00CE7380" w14:paraId="10ED2D63" w14:textId="77777777" w:rsidTr="00D63F0C">
        <w:trPr>
          <w:tblHeader/>
        </w:trPr>
        <w:tc>
          <w:tcPr>
            <w:tcW w:w="152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13A4A5" w14:textId="77777777" w:rsidR="00CE7380" w:rsidRPr="00CE7380" w:rsidRDefault="00CE7380" w:rsidP="00CE7380">
            <w:pPr>
              <w:rPr>
                <w:rFonts w:ascii="Calibri" w:hAnsi="Calibri" w:cs="Calibri"/>
                <w:b/>
                <w:bCs/>
                <w:sz w:val="24"/>
                <w:szCs w:val="24"/>
              </w:rPr>
            </w:pPr>
            <w:r w:rsidRPr="00CE7380">
              <w:rPr>
                <w:rFonts w:ascii="Calibri" w:hAnsi="Calibri" w:cs="Calibri"/>
                <w:b/>
                <w:bCs/>
                <w:sz w:val="24"/>
                <w:szCs w:val="24"/>
              </w:rPr>
              <w:lastRenderedPageBreak/>
              <w:t>Procedure Code</w:t>
            </w:r>
          </w:p>
        </w:tc>
        <w:tc>
          <w:tcPr>
            <w:tcW w:w="332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D9FFC79" w14:textId="77777777" w:rsidR="00CE7380" w:rsidRPr="00CE7380" w:rsidRDefault="00CE7380" w:rsidP="00CE7380">
            <w:pPr>
              <w:rPr>
                <w:rFonts w:ascii="Calibri" w:hAnsi="Calibri" w:cs="Calibri"/>
                <w:b/>
                <w:bCs/>
                <w:sz w:val="24"/>
                <w:szCs w:val="24"/>
              </w:rPr>
            </w:pPr>
            <w:r w:rsidRPr="00CE7380">
              <w:rPr>
                <w:rFonts w:ascii="Calibri" w:hAnsi="Calibri" w:cs="Calibri"/>
                <w:b/>
                <w:bCs/>
                <w:sz w:val="24"/>
                <w:szCs w:val="24"/>
              </w:rPr>
              <w:t>Intervention Description</w:t>
            </w:r>
          </w:p>
        </w:tc>
        <w:tc>
          <w:tcPr>
            <w:tcW w:w="296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DA58013" w14:textId="77777777" w:rsidR="00CE7380" w:rsidRPr="00CE7380" w:rsidRDefault="00CE7380" w:rsidP="00CE7380">
            <w:pPr>
              <w:rPr>
                <w:rFonts w:ascii="Calibri" w:hAnsi="Calibri" w:cs="Calibri"/>
                <w:b/>
                <w:bCs/>
                <w:sz w:val="24"/>
                <w:szCs w:val="24"/>
              </w:rPr>
            </w:pPr>
            <w:r w:rsidRPr="00CE7380">
              <w:rPr>
                <w:rFonts w:ascii="Calibri" w:hAnsi="Calibri" w:cs="Calibri"/>
                <w:b/>
                <w:bCs/>
                <w:sz w:val="24"/>
                <w:szCs w:val="24"/>
              </w:rPr>
              <w:t>Rationale</w:t>
            </w:r>
          </w:p>
        </w:tc>
        <w:tc>
          <w:tcPr>
            <w:tcW w:w="162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12F5C1B" w14:textId="77777777" w:rsidR="00CE7380" w:rsidRPr="00CE7380" w:rsidRDefault="00CE7380" w:rsidP="00CE7380">
            <w:pPr>
              <w:rPr>
                <w:rFonts w:ascii="Calibri" w:hAnsi="Calibri" w:cs="Calibri"/>
                <w:b/>
                <w:bCs/>
                <w:sz w:val="24"/>
                <w:szCs w:val="24"/>
              </w:rPr>
            </w:pPr>
            <w:r w:rsidRPr="00CE7380">
              <w:rPr>
                <w:rFonts w:ascii="Calibri" w:hAnsi="Calibri" w:cs="Calibri"/>
                <w:b/>
                <w:bCs/>
                <w:sz w:val="24"/>
                <w:szCs w:val="24"/>
              </w:rPr>
              <w:t>Last Review</w:t>
            </w:r>
          </w:p>
        </w:tc>
      </w:tr>
      <w:tr w:rsidR="00CE7380" w:rsidRPr="00CE7380" w14:paraId="742FB677" w14:textId="77777777" w:rsidTr="00D63F0C">
        <w:tc>
          <w:tcPr>
            <w:tcW w:w="152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F2DD92" w14:textId="77777777" w:rsidR="00CE7380" w:rsidRPr="00CE7380" w:rsidRDefault="00CE7380" w:rsidP="00CE7380">
            <w:pPr>
              <w:rPr>
                <w:rFonts w:ascii="Calibri" w:hAnsi="Calibri" w:cs="Calibri"/>
                <w:sz w:val="24"/>
                <w:szCs w:val="24"/>
                <w:u w:val="single"/>
              </w:rPr>
            </w:pPr>
            <w:r w:rsidRPr="00CE7380">
              <w:rPr>
                <w:rFonts w:ascii="Calibri" w:hAnsi="Calibri" w:cs="Calibri"/>
                <w:sz w:val="24"/>
                <w:szCs w:val="24"/>
                <w:u w:val="single"/>
              </w:rPr>
              <w:t>20552-20553</w:t>
            </w:r>
          </w:p>
        </w:tc>
        <w:tc>
          <w:tcPr>
            <w:tcW w:w="3326" w:type="dxa"/>
            <w:tcBorders>
              <w:top w:val="nil"/>
              <w:left w:val="nil"/>
              <w:bottom w:val="single" w:sz="8" w:space="0" w:color="auto"/>
              <w:right w:val="single" w:sz="8" w:space="0" w:color="auto"/>
            </w:tcBorders>
            <w:tcMar>
              <w:top w:w="0" w:type="dxa"/>
              <w:left w:w="108" w:type="dxa"/>
              <w:bottom w:w="0" w:type="dxa"/>
              <w:right w:w="108" w:type="dxa"/>
            </w:tcMar>
            <w:hideMark/>
          </w:tcPr>
          <w:p w14:paraId="012B0EA2" w14:textId="77777777" w:rsidR="00CE7380" w:rsidRPr="00CE7380" w:rsidRDefault="00CE7380" w:rsidP="00CE7380">
            <w:pPr>
              <w:rPr>
                <w:rFonts w:ascii="Calibri" w:hAnsi="Calibri" w:cs="Calibri"/>
                <w:sz w:val="24"/>
                <w:szCs w:val="24"/>
                <w:u w:val="single"/>
              </w:rPr>
            </w:pPr>
            <w:r w:rsidRPr="00CE7380">
              <w:rPr>
                <w:rFonts w:ascii="Calibri" w:hAnsi="Calibri" w:cs="Calibri"/>
                <w:sz w:val="24"/>
                <w:szCs w:val="24"/>
                <w:u w:val="single"/>
              </w:rPr>
              <w:t>Injection(s); single or multiple trigger point(s))</w:t>
            </w:r>
          </w:p>
        </w:tc>
        <w:tc>
          <w:tcPr>
            <w:tcW w:w="2966" w:type="dxa"/>
            <w:tcBorders>
              <w:top w:val="nil"/>
              <w:left w:val="nil"/>
              <w:bottom w:val="single" w:sz="8" w:space="0" w:color="auto"/>
              <w:right w:val="single" w:sz="8" w:space="0" w:color="auto"/>
            </w:tcBorders>
            <w:tcMar>
              <w:top w:w="0" w:type="dxa"/>
              <w:left w:w="108" w:type="dxa"/>
              <w:bottom w:w="0" w:type="dxa"/>
              <w:right w:w="108" w:type="dxa"/>
            </w:tcMar>
            <w:hideMark/>
          </w:tcPr>
          <w:p w14:paraId="6BDD1DF6" w14:textId="77777777" w:rsidR="00CE7380" w:rsidRPr="00CE7380" w:rsidRDefault="00CE7380" w:rsidP="00CE7380">
            <w:pPr>
              <w:rPr>
                <w:rFonts w:ascii="Calibri" w:hAnsi="Calibri" w:cs="Calibri"/>
                <w:sz w:val="24"/>
                <w:szCs w:val="24"/>
                <w:u w:val="single"/>
              </w:rPr>
            </w:pPr>
            <w:r w:rsidRPr="00CE7380">
              <w:rPr>
                <w:rFonts w:ascii="Calibri" w:hAnsi="Calibri" w:cs="Calibri"/>
                <w:sz w:val="24"/>
                <w:szCs w:val="24"/>
                <w:u w:val="single"/>
              </w:rPr>
              <w:t>No benefit in chronic pain</w:t>
            </w:r>
          </w:p>
        </w:tc>
        <w:tc>
          <w:tcPr>
            <w:tcW w:w="1627" w:type="dxa"/>
            <w:tcBorders>
              <w:top w:val="nil"/>
              <w:left w:val="nil"/>
              <w:bottom w:val="single" w:sz="8" w:space="0" w:color="auto"/>
              <w:right w:val="single" w:sz="8" w:space="0" w:color="auto"/>
            </w:tcBorders>
            <w:tcMar>
              <w:top w:w="0" w:type="dxa"/>
              <w:left w:w="108" w:type="dxa"/>
              <w:bottom w:w="0" w:type="dxa"/>
              <w:right w:w="108" w:type="dxa"/>
            </w:tcMar>
            <w:hideMark/>
          </w:tcPr>
          <w:p w14:paraId="1CD360A7" w14:textId="77777777" w:rsidR="00CE7380" w:rsidRPr="00CE7380" w:rsidRDefault="00C32AFB" w:rsidP="00CE7380">
            <w:pPr>
              <w:rPr>
                <w:rFonts w:ascii="Calibri" w:hAnsi="Calibri" w:cs="Calibri"/>
                <w:sz w:val="24"/>
                <w:szCs w:val="24"/>
                <w:u w:val="single"/>
              </w:rPr>
            </w:pPr>
            <w:hyperlink r:id="rId11" w:history="1">
              <w:r w:rsidR="00CE7380" w:rsidRPr="00CE7380">
                <w:rPr>
                  <w:rStyle w:val="Hyperlink"/>
                  <w:rFonts w:ascii="Calibri" w:hAnsi="Calibri" w:cs="Calibri"/>
                  <w:sz w:val="24"/>
                  <w:szCs w:val="24"/>
                </w:rPr>
                <w:t>January</w:t>
              </w:r>
            </w:hyperlink>
            <w:r w:rsidR="00CE7380" w:rsidRPr="00CE7380">
              <w:rPr>
                <w:rFonts w:ascii="Calibri" w:hAnsi="Calibri" w:cs="Calibri"/>
                <w:sz w:val="24"/>
                <w:szCs w:val="24"/>
                <w:u w:val="single"/>
              </w:rPr>
              <w:t xml:space="preserve"> 2025</w:t>
            </w:r>
          </w:p>
        </w:tc>
      </w:tr>
    </w:tbl>
    <w:p w14:paraId="6577DE3A" w14:textId="77777777" w:rsidR="00CE7380" w:rsidRPr="00CE7380" w:rsidRDefault="00CE7380" w:rsidP="00CE7380">
      <w:pPr>
        <w:rPr>
          <w:rFonts w:ascii="Calibri" w:hAnsi="Calibri" w:cs="Calibri"/>
          <w:sz w:val="24"/>
          <w:szCs w:val="24"/>
        </w:rPr>
      </w:pPr>
    </w:p>
    <w:p w14:paraId="42953F98" w14:textId="77777777" w:rsidR="00CE7380" w:rsidRPr="00CE7380" w:rsidRDefault="00CE7380" w:rsidP="00CE7380">
      <w:pPr>
        <w:rPr>
          <w:rFonts w:ascii="Calibri" w:hAnsi="Calibri" w:cs="Calibri"/>
          <w:sz w:val="24"/>
          <w:szCs w:val="24"/>
        </w:rPr>
      </w:pPr>
    </w:p>
    <w:p w14:paraId="72B592F7" w14:textId="77777777" w:rsidR="00CE7380" w:rsidRPr="00CE7380" w:rsidRDefault="00CE7380" w:rsidP="00CE7380">
      <w:pPr>
        <w:rPr>
          <w:rFonts w:ascii="Calibri" w:hAnsi="Calibri" w:cs="Calibri"/>
          <w:sz w:val="24"/>
          <w:szCs w:val="24"/>
          <w:u w:val="single"/>
        </w:rPr>
      </w:pPr>
      <w:r w:rsidRPr="00CE7380">
        <w:rPr>
          <w:rFonts w:ascii="Calibri" w:hAnsi="Calibri" w:cs="Calibri"/>
          <w:sz w:val="24"/>
          <w:szCs w:val="24"/>
          <w:u w:val="single"/>
        </w:rPr>
        <w:t>Option 2</w:t>
      </w:r>
    </w:p>
    <w:p w14:paraId="3AD40B63" w14:textId="77777777" w:rsidR="00CE7380" w:rsidRPr="00CE7380" w:rsidRDefault="00CE7380" w:rsidP="00CE7380">
      <w:pPr>
        <w:numPr>
          <w:ilvl w:val="0"/>
          <w:numId w:val="5"/>
        </w:numPr>
        <w:rPr>
          <w:rFonts w:ascii="Calibri" w:hAnsi="Calibri" w:cs="Calibri"/>
          <w:sz w:val="24"/>
          <w:szCs w:val="24"/>
        </w:rPr>
      </w:pPr>
      <w:r w:rsidRPr="00CE7380">
        <w:rPr>
          <w:rFonts w:ascii="Calibri" w:hAnsi="Calibri" w:cs="Calibri"/>
          <w:sz w:val="24"/>
          <w:szCs w:val="24"/>
        </w:rPr>
        <w:t>Remove CPT 20552 and 20553 (Injection(s); single or multiple trigger point(s)) from lines 496 OTHER DISORDERS OF SYNOVIUM, TENDON AND BURSA, COSTOCHONDRITIS, AND CHONDRODYSTROPHY, 498 PERIPHERAL ENTHESOPATHIES, 583 SYNOVITIS AND TENOSYNOVITIS, and 587 GANGLION</w:t>
      </w:r>
    </w:p>
    <w:p w14:paraId="73C59FF7" w14:textId="77777777" w:rsidR="00CE7380" w:rsidRPr="00CE7380" w:rsidRDefault="00CE7380" w:rsidP="00CE7380">
      <w:pPr>
        <w:numPr>
          <w:ilvl w:val="0"/>
          <w:numId w:val="5"/>
        </w:numPr>
        <w:rPr>
          <w:rFonts w:ascii="Calibri" w:hAnsi="Calibri" w:cs="Calibri"/>
          <w:sz w:val="24"/>
          <w:szCs w:val="24"/>
          <w:u w:val="single"/>
        </w:rPr>
      </w:pPr>
      <w:r w:rsidRPr="00CE7380">
        <w:rPr>
          <w:rFonts w:ascii="Calibri" w:hAnsi="Calibri" w:cs="Calibri"/>
          <w:sz w:val="24"/>
          <w:szCs w:val="24"/>
        </w:rPr>
        <w:t>Add CPT 20553 and 20553 to line 597 DISORDERS OF SOFT TISSUE</w:t>
      </w:r>
    </w:p>
    <w:p w14:paraId="7F96C01C" w14:textId="77777777" w:rsidR="00CE7380" w:rsidRPr="00CE7380" w:rsidRDefault="00CE7380" w:rsidP="00CE7380">
      <w:pPr>
        <w:numPr>
          <w:ilvl w:val="0"/>
          <w:numId w:val="5"/>
        </w:numPr>
        <w:rPr>
          <w:rFonts w:ascii="Calibri" w:hAnsi="Calibri" w:cs="Calibri"/>
          <w:sz w:val="24"/>
          <w:szCs w:val="24"/>
        </w:rPr>
      </w:pPr>
      <w:r w:rsidRPr="00CE7380">
        <w:rPr>
          <w:rFonts w:ascii="Calibri" w:hAnsi="Calibri" w:cs="Calibri"/>
          <w:sz w:val="24"/>
          <w:szCs w:val="24"/>
        </w:rPr>
        <w:t>Adopt a new guideline for trigger point injections as shown below</w:t>
      </w:r>
    </w:p>
    <w:p w14:paraId="5554FC44" w14:textId="77777777" w:rsidR="00CE7380" w:rsidRPr="00CE7380" w:rsidRDefault="00CE7380" w:rsidP="00CE7380">
      <w:pPr>
        <w:numPr>
          <w:ilvl w:val="0"/>
          <w:numId w:val="5"/>
        </w:numPr>
        <w:rPr>
          <w:rFonts w:ascii="Calibri" w:hAnsi="Calibri" w:cs="Calibri"/>
          <w:sz w:val="24"/>
          <w:szCs w:val="24"/>
        </w:rPr>
      </w:pPr>
      <w:r w:rsidRPr="00CE7380">
        <w:rPr>
          <w:rFonts w:ascii="Calibri" w:hAnsi="Calibri" w:cs="Calibri"/>
          <w:sz w:val="24"/>
          <w:szCs w:val="24"/>
        </w:rPr>
        <w:t>Placement and guideline will be converted to a unique code grouping for 2027 called CONDITIONS TREATABLE BY TRIGGER POINT INJECTIONS containing only ICD-10-CM M79.10 (Myalgia, unspecified site) and ICD-10-CM M79.18 (Myalgia, other site), CPT 20552 and 20553 and medical evaluation and treatment codes</w:t>
      </w:r>
    </w:p>
    <w:p w14:paraId="385E8D8D" w14:textId="77777777" w:rsidR="00CE7380" w:rsidRPr="00CE7380" w:rsidRDefault="00CE7380" w:rsidP="00CE7380">
      <w:pPr>
        <w:rPr>
          <w:rFonts w:ascii="Calibri" w:hAnsi="Calibri" w:cs="Calibri"/>
          <w:sz w:val="24"/>
          <w:szCs w:val="24"/>
        </w:rPr>
      </w:pPr>
    </w:p>
    <w:p w14:paraId="1E6933B0" w14:textId="77777777" w:rsidR="00CE7380" w:rsidRPr="00CE7380" w:rsidRDefault="00CE7380" w:rsidP="00CE7380">
      <w:pPr>
        <w:rPr>
          <w:rFonts w:ascii="Calibri" w:hAnsi="Calibri" w:cs="Calibri"/>
          <w:sz w:val="24"/>
          <w:szCs w:val="24"/>
        </w:rPr>
      </w:pPr>
    </w:p>
    <w:p w14:paraId="44F0BC22" w14:textId="77777777" w:rsidR="00CE7380" w:rsidRPr="00CE7380" w:rsidRDefault="00CE7380" w:rsidP="00CE7380">
      <w:pPr>
        <w:rPr>
          <w:rFonts w:ascii="Calibri" w:hAnsi="Calibri" w:cs="Calibri"/>
          <w:b/>
          <w:bCs/>
          <w:sz w:val="24"/>
          <w:szCs w:val="24"/>
        </w:rPr>
      </w:pPr>
      <w:r w:rsidRPr="00CE7380">
        <w:rPr>
          <w:rFonts w:ascii="Calibri" w:hAnsi="Calibri" w:cs="Calibri"/>
          <w:b/>
          <w:bCs/>
          <w:sz w:val="24"/>
          <w:szCs w:val="24"/>
        </w:rPr>
        <w:t>Guideline note XXX trigger point injections</w:t>
      </w:r>
    </w:p>
    <w:p w14:paraId="626E2BFB" w14:textId="77777777" w:rsidR="00CE7380" w:rsidRPr="00CE7380" w:rsidRDefault="00CE7380" w:rsidP="00CE7380">
      <w:pPr>
        <w:rPr>
          <w:rFonts w:ascii="Calibri" w:hAnsi="Calibri" w:cs="Calibri"/>
          <w:i/>
          <w:iCs/>
          <w:sz w:val="24"/>
          <w:szCs w:val="24"/>
        </w:rPr>
      </w:pPr>
      <w:r w:rsidRPr="00CE7380">
        <w:rPr>
          <w:rFonts w:ascii="Calibri" w:hAnsi="Calibri" w:cs="Calibri"/>
          <w:i/>
          <w:iCs/>
          <w:sz w:val="24"/>
          <w:szCs w:val="24"/>
        </w:rPr>
        <w:t>Lines 597</w:t>
      </w:r>
    </w:p>
    <w:p w14:paraId="379A2EE6" w14:textId="77777777" w:rsidR="00CE7380" w:rsidRPr="00CE7380" w:rsidRDefault="00CE7380" w:rsidP="00CE7380">
      <w:pPr>
        <w:rPr>
          <w:rFonts w:ascii="Calibri" w:hAnsi="Calibri" w:cs="Calibri"/>
          <w:sz w:val="24"/>
          <w:szCs w:val="24"/>
        </w:rPr>
      </w:pPr>
    </w:p>
    <w:p w14:paraId="31060AEB" w14:textId="77777777" w:rsidR="00CE7380" w:rsidRPr="00CE7380" w:rsidRDefault="00CE7380" w:rsidP="00CE7380">
      <w:pPr>
        <w:rPr>
          <w:rFonts w:ascii="Calibri" w:hAnsi="Calibri" w:cs="Calibri"/>
          <w:sz w:val="24"/>
          <w:szCs w:val="24"/>
        </w:rPr>
      </w:pPr>
      <w:r w:rsidRPr="00CE7380">
        <w:rPr>
          <w:rFonts w:ascii="Calibri" w:hAnsi="Calibri" w:cs="Calibri"/>
          <w:sz w:val="24"/>
          <w:szCs w:val="24"/>
        </w:rPr>
        <w:t>Initial treatment with trigger point injections (TPIs; CPT 20552 and 20553) is included on this line only when ALL of the following criteria are met:</w:t>
      </w:r>
    </w:p>
    <w:p w14:paraId="4FDD9949" w14:textId="77777777" w:rsidR="00CE7380" w:rsidRPr="00CE7380" w:rsidRDefault="00CE7380" w:rsidP="00CE7380">
      <w:pPr>
        <w:numPr>
          <w:ilvl w:val="0"/>
          <w:numId w:val="4"/>
        </w:numPr>
        <w:rPr>
          <w:rFonts w:ascii="Calibri" w:hAnsi="Calibri" w:cs="Calibri"/>
          <w:sz w:val="24"/>
          <w:szCs w:val="24"/>
        </w:rPr>
      </w:pPr>
      <w:r w:rsidRPr="00CE7380">
        <w:rPr>
          <w:rFonts w:ascii="Calibri" w:hAnsi="Calibri" w:cs="Calibri"/>
          <w:sz w:val="24"/>
          <w:szCs w:val="24"/>
        </w:rPr>
        <w:t>The patient has myofascial pain syndrome (ICD-10-CM M79.10 or ICD-10-CM M79.18) caused by trigger points, defined as meeting all of the following criteria:</w:t>
      </w:r>
    </w:p>
    <w:p w14:paraId="034E5D0A" w14:textId="77777777" w:rsidR="00CE7380" w:rsidRPr="00CE7380" w:rsidRDefault="00CE7380" w:rsidP="00CE7380">
      <w:pPr>
        <w:numPr>
          <w:ilvl w:val="3"/>
          <w:numId w:val="4"/>
        </w:numPr>
        <w:rPr>
          <w:rFonts w:ascii="Calibri" w:hAnsi="Calibri" w:cs="Calibri"/>
          <w:sz w:val="24"/>
          <w:szCs w:val="24"/>
        </w:rPr>
      </w:pPr>
      <w:r w:rsidRPr="00CE7380">
        <w:rPr>
          <w:rFonts w:ascii="Calibri" w:hAnsi="Calibri" w:cs="Calibri"/>
          <w:sz w:val="24"/>
          <w:szCs w:val="24"/>
        </w:rPr>
        <w:t>There is a focal area of pain in the skeletal muscle; AND</w:t>
      </w:r>
    </w:p>
    <w:p w14:paraId="7054021A" w14:textId="77777777" w:rsidR="00CE7380" w:rsidRPr="00CE7380" w:rsidRDefault="00CE7380" w:rsidP="00CE7380">
      <w:pPr>
        <w:numPr>
          <w:ilvl w:val="3"/>
          <w:numId w:val="4"/>
        </w:numPr>
        <w:rPr>
          <w:rFonts w:ascii="Calibri" w:hAnsi="Calibri" w:cs="Calibri"/>
          <w:sz w:val="24"/>
          <w:szCs w:val="24"/>
        </w:rPr>
      </w:pPr>
      <w:r w:rsidRPr="00CE7380">
        <w:rPr>
          <w:rFonts w:ascii="Calibri" w:hAnsi="Calibri" w:cs="Calibri"/>
          <w:sz w:val="24"/>
          <w:szCs w:val="24"/>
        </w:rPr>
        <w:t>There is clinical evidence of a trigger point defined as pain in a skeletal muscle that is associated with at least 2 of the following findings: the presence of a hyperirritable spot and/or taut band identified by palpation and possible referred pain </w:t>
      </w:r>
      <w:r w:rsidRPr="00CE7380">
        <w:rPr>
          <w:rFonts w:ascii="Calibri" w:hAnsi="Calibri" w:cs="Calibri"/>
          <w:b/>
          <w:bCs/>
          <w:sz w:val="24"/>
          <w:szCs w:val="24"/>
        </w:rPr>
        <w:t>AND</w:t>
      </w:r>
    </w:p>
    <w:p w14:paraId="61E18580" w14:textId="77777777" w:rsidR="00CE7380" w:rsidRPr="00CE7380" w:rsidRDefault="00CE7380" w:rsidP="00CE7380">
      <w:pPr>
        <w:numPr>
          <w:ilvl w:val="3"/>
          <w:numId w:val="4"/>
        </w:numPr>
        <w:rPr>
          <w:rFonts w:ascii="Calibri" w:hAnsi="Calibri" w:cs="Calibri"/>
          <w:sz w:val="24"/>
          <w:szCs w:val="24"/>
        </w:rPr>
      </w:pPr>
      <w:r w:rsidRPr="00CE7380">
        <w:rPr>
          <w:rFonts w:ascii="Calibri" w:hAnsi="Calibri" w:cs="Calibri"/>
          <w:sz w:val="24"/>
          <w:szCs w:val="24"/>
        </w:rPr>
        <w:lastRenderedPageBreak/>
        <w:t>The physical examination identifies a focal hypersensitive bundle or nodule of muscle fiber harder than normal consistency with or without a local twitch response and referred pain </w:t>
      </w:r>
      <w:r w:rsidRPr="00CE7380">
        <w:rPr>
          <w:rFonts w:ascii="Calibri" w:hAnsi="Calibri" w:cs="Calibri"/>
          <w:b/>
          <w:bCs/>
          <w:sz w:val="24"/>
          <w:szCs w:val="24"/>
        </w:rPr>
        <w:t>AND</w:t>
      </w:r>
    </w:p>
    <w:p w14:paraId="23CB5931" w14:textId="77777777" w:rsidR="00CE7380" w:rsidRPr="00CE7380" w:rsidRDefault="00CE7380" w:rsidP="00CE7380">
      <w:pPr>
        <w:numPr>
          <w:ilvl w:val="0"/>
          <w:numId w:val="4"/>
        </w:numPr>
        <w:rPr>
          <w:rFonts w:ascii="Calibri" w:hAnsi="Calibri" w:cs="Calibri"/>
          <w:sz w:val="24"/>
          <w:szCs w:val="24"/>
        </w:rPr>
      </w:pPr>
      <w:r w:rsidRPr="00CE7380">
        <w:rPr>
          <w:rFonts w:ascii="Calibri" w:hAnsi="Calibri" w:cs="Calibri"/>
          <w:sz w:val="24"/>
          <w:szCs w:val="24"/>
        </w:rPr>
        <w:t>The patient has failed to have pain improvement after 3 months of conservative treatments (including physical therapy, patient education, oral medications where clinically appropriate); AND</w:t>
      </w:r>
    </w:p>
    <w:p w14:paraId="4B297089" w14:textId="77777777" w:rsidR="00CE7380" w:rsidRPr="00CE7380" w:rsidRDefault="00CE7380" w:rsidP="00CE7380">
      <w:pPr>
        <w:numPr>
          <w:ilvl w:val="0"/>
          <w:numId w:val="4"/>
        </w:numPr>
        <w:rPr>
          <w:rFonts w:ascii="Calibri" w:hAnsi="Calibri" w:cs="Calibri"/>
          <w:sz w:val="24"/>
          <w:szCs w:val="24"/>
        </w:rPr>
      </w:pPr>
      <w:r w:rsidRPr="00CE7380">
        <w:rPr>
          <w:rFonts w:ascii="Calibri" w:hAnsi="Calibri" w:cs="Calibri"/>
          <w:sz w:val="24"/>
          <w:szCs w:val="24"/>
        </w:rPr>
        <w:t>Trigger point injections are part of an ongoing conservative treatment program and there is documentation in the medical record that patient is actively participating in a rehabilitation program, home exercise program or functional restoration program; AND</w:t>
      </w:r>
    </w:p>
    <w:p w14:paraId="0FCF1968" w14:textId="77777777" w:rsidR="00CE7380" w:rsidRPr="00CE7380" w:rsidRDefault="00CE7380" w:rsidP="00CE7380">
      <w:pPr>
        <w:numPr>
          <w:ilvl w:val="0"/>
          <w:numId w:val="4"/>
        </w:numPr>
        <w:rPr>
          <w:rFonts w:ascii="Calibri" w:hAnsi="Calibri" w:cs="Calibri"/>
          <w:sz w:val="24"/>
          <w:szCs w:val="24"/>
        </w:rPr>
      </w:pPr>
      <w:r w:rsidRPr="00CE7380">
        <w:rPr>
          <w:rFonts w:ascii="Calibri" w:hAnsi="Calibri" w:cs="Calibri"/>
          <w:sz w:val="24"/>
          <w:szCs w:val="24"/>
        </w:rPr>
        <w:t>The injection includes only anesthetics.</w:t>
      </w:r>
    </w:p>
    <w:p w14:paraId="170E51E6" w14:textId="77777777" w:rsidR="00CE7380" w:rsidRPr="00CE7380" w:rsidRDefault="00CE7380" w:rsidP="00CE7380">
      <w:pPr>
        <w:rPr>
          <w:rFonts w:ascii="Calibri" w:hAnsi="Calibri" w:cs="Calibri"/>
          <w:sz w:val="24"/>
          <w:szCs w:val="24"/>
        </w:rPr>
      </w:pPr>
    </w:p>
    <w:p w14:paraId="1B6890FD" w14:textId="77777777" w:rsidR="00CE7380" w:rsidRPr="00CE7380" w:rsidRDefault="00CE7380" w:rsidP="00CE7380">
      <w:pPr>
        <w:rPr>
          <w:rFonts w:ascii="Calibri" w:hAnsi="Calibri" w:cs="Calibri"/>
          <w:sz w:val="24"/>
          <w:szCs w:val="24"/>
        </w:rPr>
      </w:pPr>
      <w:r w:rsidRPr="00CE7380">
        <w:rPr>
          <w:rFonts w:ascii="Calibri" w:hAnsi="Calibri" w:cs="Calibri"/>
          <w:sz w:val="24"/>
          <w:szCs w:val="24"/>
        </w:rPr>
        <w:t>Repeat TPIs in previously injected trigger points are included on this line to treat myofascial pain syndrome when ALL of the following requirements are met:</w:t>
      </w:r>
    </w:p>
    <w:p w14:paraId="158F08BD" w14:textId="77777777" w:rsidR="00CE7380" w:rsidRPr="00CE7380" w:rsidRDefault="00CE7380" w:rsidP="00CE7380">
      <w:pPr>
        <w:numPr>
          <w:ilvl w:val="3"/>
          <w:numId w:val="4"/>
        </w:numPr>
        <w:rPr>
          <w:rFonts w:ascii="Calibri" w:hAnsi="Calibri" w:cs="Calibri"/>
          <w:sz w:val="24"/>
          <w:szCs w:val="24"/>
        </w:rPr>
      </w:pPr>
      <w:r w:rsidRPr="00CE7380">
        <w:rPr>
          <w:rFonts w:ascii="Calibri" w:hAnsi="Calibri" w:cs="Calibri"/>
          <w:sz w:val="24"/>
          <w:szCs w:val="24"/>
        </w:rPr>
        <w:t>There is a positive pain response from the most recent TPI defined as providing consistent minimum of 50% relief of pain after the TPI measured by the SAME pain scale (scales used to measure pain and/or disability must be documented in the medical record) at baseline and post-injection; AND</w:t>
      </w:r>
    </w:p>
    <w:p w14:paraId="2B4EF16F" w14:textId="77777777" w:rsidR="00CE7380" w:rsidRPr="00CE7380" w:rsidRDefault="00CE7380" w:rsidP="00CE7380">
      <w:pPr>
        <w:numPr>
          <w:ilvl w:val="3"/>
          <w:numId w:val="4"/>
        </w:numPr>
        <w:rPr>
          <w:rFonts w:ascii="Calibri" w:hAnsi="Calibri" w:cs="Calibri"/>
          <w:sz w:val="24"/>
          <w:szCs w:val="24"/>
        </w:rPr>
      </w:pPr>
      <w:r w:rsidRPr="00CE7380">
        <w:rPr>
          <w:rFonts w:ascii="Calibri" w:hAnsi="Calibri" w:cs="Calibri"/>
          <w:sz w:val="24"/>
          <w:szCs w:val="24"/>
        </w:rPr>
        <w:t>Consistent pain relief from the most recent previous TPI lasting at least 6 weeks</w:t>
      </w:r>
      <w:r w:rsidRPr="00CE7380">
        <w:rPr>
          <w:rFonts w:ascii="Calibri" w:hAnsi="Calibri" w:cs="Calibri"/>
          <w:sz w:val="24"/>
          <w:szCs w:val="24"/>
          <w:vertAlign w:val="superscript"/>
        </w:rPr>
        <w:t xml:space="preserve">; </w:t>
      </w:r>
      <w:r w:rsidRPr="00CE7380">
        <w:rPr>
          <w:rFonts w:ascii="Calibri" w:hAnsi="Calibri" w:cs="Calibri"/>
          <w:sz w:val="24"/>
          <w:szCs w:val="24"/>
        </w:rPr>
        <w:t>AND</w:t>
      </w:r>
    </w:p>
    <w:p w14:paraId="0E9100B3" w14:textId="77777777" w:rsidR="00CE7380" w:rsidRPr="00CE7380" w:rsidRDefault="00CE7380" w:rsidP="00CE7380">
      <w:pPr>
        <w:numPr>
          <w:ilvl w:val="3"/>
          <w:numId w:val="4"/>
        </w:numPr>
        <w:rPr>
          <w:rFonts w:ascii="Calibri" w:hAnsi="Calibri" w:cs="Calibri"/>
          <w:sz w:val="24"/>
          <w:szCs w:val="24"/>
        </w:rPr>
      </w:pPr>
      <w:r w:rsidRPr="00CE7380">
        <w:rPr>
          <w:rFonts w:ascii="Calibri" w:hAnsi="Calibri" w:cs="Calibri"/>
          <w:sz w:val="24"/>
          <w:szCs w:val="24"/>
        </w:rPr>
        <w:t>The myofascial pain has reoccurred and is causing objective functional limitations measured by a functional scale obtained at baseline and after TPI which demonstrated at least 50% improvement from the previous TPI; AND</w:t>
      </w:r>
    </w:p>
    <w:p w14:paraId="6BD4908B" w14:textId="77777777" w:rsidR="00CE7380" w:rsidRPr="00CE7380" w:rsidRDefault="00CE7380" w:rsidP="00CE7380">
      <w:pPr>
        <w:numPr>
          <w:ilvl w:val="3"/>
          <w:numId w:val="4"/>
        </w:numPr>
        <w:rPr>
          <w:rFonts w:ascii="Calibri" w:hAnsi="Calibri" w:cs="Calibri"/>
          <w:sz w:val="24"/>
          <w:szCs w:val="24"/>
        </w:rPr>
      </w:pPr>
      <w:r w:rsidRPr="00CE7380">
        <w:rPr>
          <w:rFonts w:ascii="Calibri" w:hAnsi="Calibri" w:cs="Calibri"/>
          <w:sz w:val="24"/>
          <w:szCs w:val="24"/>
        </w:rPr>
        <w:t>The patient is part of an ongoing conservative treatment program and documentation to support the patient is actively participating in a rehabilitation program, home exercise program or functional restoration program is in the medical record; AND</w:t>
      </w:r>
    </w:p>
    <w:p w14:paraId="54BA0334" w14:textId="77777777" w:rsidR="00CE7380" w:rsidRPr="00CE7380" w:rsidRDefault="00CE7380" w:rsidP="00CE7380">
      <w:pPr>
        <w:numPr>
          <w:ilvl w:val="0"/>
          <w:numId w:val="4"/>
        </w:numPr>
        <w:rPr>
          <w:rFonts w:ascii="Calibri" w:hAnsi="Calibri" w:cs="Calibri"/>
          <w:sz w:val="24"/>
          <w:szCs w:val="24"/>
        </w:rPr>
      </w:pPr>
      <w:r w:rsidRPr="00CE7380">
        <w:rPr>
          <w:rFonts w:ascii="Calibri" w:hAnsi="Calibri" w:cs="Calibri"/>
          <w:sz w:val="24"/>
          <w:szCs w:val="24"/>
        </w:rPr>
        <w:t>The injection includes only anesthetics.</w:t>
      </w:r>
    </w:p>
    <w:p w14:paraId="7F19D281" w14:textId="77777777" w:rsidR="00CE7380" w:rsidRPr="00CE7380" w:rsidRDefault="00CE7380" w:rsidP="00CE7380">
      <w:pPr>
        <w:numPr>
          <w:ilvl w:val="0"/>
          <w:numId w:val="4"/>
        </w:numPr>
        <w:rPr>
          <w:rFonts w:ascii="Calibri" w:hAnsi="Calibri" w:cs="Calibri"/>
          <w:sz w:val="24"/>
          <w:szCs w:val="24"/>
        </w:rPr>
      </w:pPr>
      <w:r w:rsidRPr="00CE7380">
        <w:rPr>
          <w:rFonts w:ascii="Calibri" w:hAnsi="Calibri" w:cs="Calibri"/>
          <w:sz w:val="24"/>
          <w:szCs w:val="24"/>
        </w:rPr>
        <w:t>No more than three (3) TPI sessions will be reimbursed per rolling 12 months</w:t>
      </w:r>
    </w:p>
    <w:p w14:paraId="1CAD9F4B" w14:textId="77777777" w:rsidR="00CE7380" w:rsidRPr="00CE7380" w:rsidRDefault="00CE7380" w:rsidP="00CE7380">
      <w:pPr>
        <w:rPr>
          <w:rFonts w:ascii="Calibri" w:hAnsi="Calibri" w:cs="Calibri"/>
          <w:sz w:val="24"/>
          <w:szCs w:val="24"/>
        </w:rPr>
      </w:pPr>
    </w:p>
    <w:p w14:paraId="4BC4C09C" w14:textId="77777777" w:rsidR="00CE7380" w:rsidRPr="00CE7380" w:rsidRDefault="00CE7380" w:rsidP="00CE7380">
      <w:pPr>
        <w:rPr>
          <w:rFonts w:ascii="Calibri" w:hAnsi="Calibri" w:cs="Calibri"/>
          <w:sz w:val="24"/>
          <w:szCs w:val="24"/>
        </w:rPr>
      </w:pPr>
    </w:p>
    <w:p w14:paraId="396C8AA6" w14:textId="77777777" w:rsidR="00CE7380" w:rsidRPr="00CE7380" w:rsidRDefault="00CE7380">
      <w:pPr>
        <w:rPr>
          <w:rFonts w:ascii="Calibri" w:hAnsi="Calibri" w:cs="Calibri"/>
          <w:sz w:val="24"/>
          <w:szCs w:val="24"/>
        </w:rPr>
      </w:pPr>
    </w:p>
    <w:sectPr w:rsidR="00CE7380" w:rsidRPr="00CE7380" w:rsidSect="00CE7380">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A2842" w14:textId="77777777" w:rsidR="007C47CC" w:rsidRDefault="007C47CC" w:rsidP="007C47CC">
      <w:pPr>
        <w:spacing w:after="0" w:line="240" w:lineRule="auto"/>
      </w:pPr>
      <w:r>
        <w:separator/>
      </w:r>
    </w:p>
  </w:endnote>
  <w:endnote w:type="continuationSeparator" w:id="0">
    <w:p w14:paraId="0DA23909" w14:textId="77777777" w:rsidR="007C47CC" w:rsidRDefault="007C47CC" w:rsidP="007C4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60BC6" w14:textId="77777777" w:rsidR="007C47CC" w:rsidRDefault="007C47CC" w:rsidP="007C47CC">
      <w:pPr>
        <w:spacing w:after="0" w:line="240" w:lineRule="auto"/>
      </w:pPr>
      <w:r>
        <w:separator/>
      </w:r>
    </w:p>
  </w:footnote>
  <w:footnote w:type="continuationSeparator" w:id="0">
    <w:p w14:paraId="7ECE2D8F" w14:textId="77777777" w:rsidR="007C47CC" w:rsidRDefault="007C47CC" w:rsidP="007C4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78B08" w14:textId="4A9A5108" w:rsidR="007C47CC" w:rsidRPr="00D63F0C" w:rsidRDefault="007C47CC" w:rsidP="007C47CC">
    <w:pPr>
      <w:jc w:val="center"/>
      <w:rPr>
        <w:rFonts w:ascii="Calibri" w:hAnsi="Calibri" w:cs="Calibri"/>
        <w:b/>
        <w:noProof/>
        <w:sz w:val="28"/>
        <w:szCs w:val="28"/>
      </w:rPr>
    </w:pPr>
    <w:r w:rsidRPr="00D63F0C">
      <w:rPr>
        <w:rFonts w:ascii="Calibri" w:hAnsi="Calibri" w:cs="Calibri"/>
        <w:b/>
        <w:noProof/>
        <w:sz w:val="28"/>
        <w:szCs w:val="28"/>
      </w:rPr>
      <w:t>Oregon Health Plan Prioritized List</w:t>
    </w:r>
  </w:p>
  <w:p w14:paraId="071DA8BF" w14:textId="77777777" w:rsidR="007C47CC" w:rsidRPr="00D63F0C" w:rsidRDefault="007C47CC" w:rsidP="007C47CC">
    <w:pPr>
      <w:jc w:val="center"/>
      <w:rPr>
        <w:rFonts w:ascii="Calibri" w:hAnsi="Calibri" w:cs="Calibri"/>
        <w:b/>
      </w:rPr>
    </w:pPr>
    <w:r w:rsidRPr="00D63F0C">
      <w:rPr>
        <w:rFonts w:ascii="Calibri" w:hAnsi="Calibri" w:cs="Calibri"/>
        <w:b/>
        <w:noProof/>
        <w:sz w:val="28"/>
        <w:szCs w:val="28"/>
      </w:rPr>
      <w:t>Guideline Note E2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C1081"/>
    <w:multiLevelType w:val="hybridMultilevel"/>
    <w:tmpl w:val="D46608CE"/>
    <w:lvl w:ilvl="0" w:tplc="FFFFFFFF">
      <w:start w:val="1"/>
      <w:numFmt w:val="decimal"/>
      <w:lvlText w:val="%1)"/>
      <w:lvlJc w:val="left"/>
      <w:pPr>
        <w:ind w:left="720" w:hanging="360"/>
      </w:pPr>
      <w:rPr>
        <w:rFonts w:hint="default"/>
        <w:strike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3A7FF7"/>
    <w:multiLevelType w:val="hybridMultilevel"/>
    <w:tmpl w:val="94D2EA5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F7639EA"/>
    <w:multiLevelType w:val="hybridMultilevel"/>
    <w:tmpl w:val="D46608CE"/>
    <w:lvl w:ilvl="0" w:tplc="3AA8A4E4">
      <w:start w:val="1"/>
      <w:numFmt w:val="decimal"/>
      <w:lvlText w:val="%1)"/>
      <w:lvlJc w:val="left"/>
      <w:pPr>
        <w:ind w:left="720" w:hanging="360"/>
      </w:pPr>
      <w:rPr>
        <w:rFonts w:hint="default"/>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521015"/>
    <w:multiLevelType w:val="hybridMultilevel"/>
    <w:tmpl w:val="2CAADDA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E303128">
      <w:start w:val="1"/>
      <w:numFmt w:val="lowerLetter"/>
      <w:lvlText w:val="%4)"/>
      <w:lvlJc w:val="left"/>
      <w:pPr>
        <w:ind w:left="2880" w:hanging="360"/>
      </w:pPr>
      <w:rPr>
        <w:rFonts w:asciiTheme="minorHAnsi" w:eastAsia="Times New Roman" w:hAnsiTheme="minorHAnsi" w:cstheme="minorHAns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7A202B"/>
    <w:multiLevelType w:val="multilevel"/>
    <w:tmpl w:val="075CAFDC"/>
    <w:lvl w:ilvl="0">
      <w:start w:val="1"/>
      <w:numFmt w:val="upperLetter"/>
      <w:lvlText w:val="%1)"/>
      <w:lvlJc w:val="left"/>
      <w:pPr>
        <w:tabs>
          <w:tab w:val="num" w:pos="720"/>
        </w:tabs>
        <w:ind w:left="720"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080" w:hanging="360"/>
      </w:pPr>
      <w:rPr>
        <w:rFonts w:ascii="Arial" w:hAnsi="Arial" w:hint="default"/>
        <w:b w:val="0"/>
        <w:i w:val="0"/>
        <w:sz w:val="16"/>
      </w:rPr>
    </w:lvl>
    <w:lvl w:ilvl="2">
      <w:start w:val="1"/>
      <w:numFmt w:val="lowerLetter"/>
      <w:lvlText w:val="%3)"/>
      <w:lvlJc w:val="left"/>
      <w:pPr>
        <w:tabs>
          <w:tab w:val="num" w:pos="1440"/>
        </w:tabs>
        <w:ind w:left="1440" w:hanging="360"/>
      </w:pPr>
      <w:rPr>
        <w:rFonts w:ascii="Arial" w:hAnsi="Arial" w:hint="default"/>
        <w:b w:val="0"/>
        <w:i w:val="0"/>
        <w:sz w:val="16"/>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782D20BD"/>
    <w:multiLevelType w:val="hybridMultilevel"/>
    <w:tmpl w:val="6D026D6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28975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9190227">
    <w:abstractNumId w:val="5"/>
  </w:num>
  <w:num w:numId="3" w16cid:durableId="996306424">
    <w:abstractNumId w:val="4"/>
  </w:num>
  <w:num w:numId="4" w16cid:durableId="1590651347">
    <w:abstractNumId w:val="3"/>
  </w:num>
  <w:num w:numId="5" w16cid:durableId="1256591198">
    <w:abstractNumId w:val="0"/>
  </w:num>
  <w:num w:numId="6" w16cid:durableId="63796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0660"/>
    <w:rsid w:val="000B0660"/>
    <w:rsid w:val="00126F48"/>
    <w:rsid w:val="001C6B8F"/>
    <w:rsid w:val="002867AF"/>
    <w:rsid w:val="004C6D7B"/>
    <w:rsid w:val="006859E5"/>
    <w:rsid w:val="00702C12"/>
    <w:rsid w:val="007A4FDF"/>
    <w:rsid w:val="007C47CC"/>
    <w:rsid w:val="00A5726F"/>
    <w:rsid w:val="00B07F8E"/>
    <w:rsid w:val="00B41826"/>
    <w:rsid w:val="00C32AFB"/>
    <w:rsid w:val="00CE7380"/>
    <w:rsid w:val="00E86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BD2EE"/>
  <w15:chartTrackingRefBased/>
  <w15:docId w15:val="{CE44088C-68BD-49F2-8938-5FC805F40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06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06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06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06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06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06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06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06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06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6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06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06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06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06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06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06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06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0660"/>
    <w:rPr>
      <w:rFonts w:eastAsiaTheme="majorEastAsia" w:cstheme="majorBidi"/>
      <w:color w:val="272727" w:themeColor="text1" w:themeTint="D8"/>
    </w:rPr>
  </w:style>
  <w:style w:type="paragraph" w:styleId="Title">
    <w:name w:val="Title"/>
    <w:basedOn w:val="Normal"/>
    <w:next w:val="Normal"/>
    <w:link w:val="TitleChar"/>
    <w:uiPriority w:val="10"/>
    <w:qFormat/>
    <w:rsid w:val="000B06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6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06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06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0660"/>
    <w:pPr>
      <w:spacing w:before="160"/>
      <w:jc w:val="center"/>
    </w:pPr>
    <w:rPr>
      <w:i/>
      <w:iCs/>
      <w:color w:val="404040" w:themeColor="text1" w:themeTint="BF"/>
    </w:rPr>
  </w:style>
  <w:style w:type="character" w:customStyle="1" w:styleId="QuoteChar">
    <w:name w:val="Quote Char"/>
    <w:basedOn w:val="DefaultParagraphFont"/>
    <w:link w:val="Quote"/>
    <w:uiPriority w:val="29"/>
    <w:rsid w:val="000B0660"/>
    <w:rPr>
      <w:i/>
      <w:iCs/>
      <w:color w:val="404040" w:themeColor="text1" w:themeTint="BF"/>
    </w:rPr>
  </w:style>
  <w:style w:type="paragraph" w:styleId="ListParagraph">
    <w:name w:val="List Paragraph"/>
    <w:basedOn w:val="Normal"/>
    <w:uiPriority w:val="34"/>
    <w:qFormat/>
    <w:rsid w:val="000B0660"/>
    <w:pPr>
      <w:ind w:left="720"/>
      <w:contextualSpacing/>
    </w:pPr>
  </w:style>
  <w:style w:type="character" w:styleId="IntenseEmphasis">
    <w:name w:val="Intense Emphasis"/>
    <w:basedOn w:val="DefaultParagraphFont"/>
    <w:uiPriority w:val="21"/>
    <w:qFormat/>
    <w:rsid w:val="000B0660"/>
    <w:rPr>
      <w:i/>
      <w:iCs/>
      <w:color w:val="0F4761" w:themeColor="accent1" w:themeShade="BF"/>
    </w:rPr>
  </w:style>
  <w:style w:type="paragraph" w:styleId="IntenseQuote">
    <w:name w:val="Intense Quote"/>
    <w:basedOn w:val="Normal"/>
    <w:next w:val="Normal"/>
    <w:link w:val="IntenseQuoteChar"/>
    <w:uiPriority w:val="30"/>
    <w:qFormat/>
    <w:rsid w:val="000B06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0660"/>
    <w:rPr>
      <w:i/>
      <w:iCs/>
      <w:color w:val="0F4761" w:themeColor="accent1" w:themeShade="BF"/>
    </w:rPr>
  </w:style>
  <w:style w:type="character" w:styleId="IntenseReference">
    <w:name w:val="Intense Reference"/>
    <w:basedOn w:val="DefaultParagraphFont"/>
    <w:uiPriority w:val="32"/>
    <w:qFormat/>
    <w:rsid w:val="000B0660"/>
    <w:rPr>
      <w:b/>
      <w:bCs/>
      <w:smallCaps/>
      <w:color w:val="0F4761" w:themeColor="accent1" w:themeShade="BF"/>
      <w:spacing w:val="5"/>
    </w:rPr>
  </w:style>
  <w:style w:type="character" w:styleId="Hyperlink">
    <w:name w:val="Hyperlink"/>
    <w:basedOn w:val="DefaultParagraphFont"/>
    <w:uiPriority w:val="99"/>
    <w:unhideWhenUsed/>
    <w:rsid w:val="00CE7380"/>
    <w:rPr>
      <w:color w:val="467886" w:themeColor="hyperlink"/>
      <w:u w:val="single"/>
    </w:rPr>
  </w:style>
  <w:style w:type="character" w:styleId="UnresolvedMention">
    <w:name w:val="Unresolved Mention"/>
    <w:basedOn w:val="DefaultParagraphFont"/>
    <w:uiPriority w:val="99"/>
    <w:semiHidden/>
    <w:unhideWhenUsed/>
    <w:rsid w:val="00CE7380"/>
    <w:rPr>
      <w:color w:val="605E5C"/>
      <w:shd w:val="clear" w:color="auto" w:fill="E1DFDD"/>
    </w:rPr>
  </w:style>
  <w:style w:type="paragraph" w:styleId="Header">
    <w:name w:val="header"/>
    <w:basedOn w:val="Normal"/>
    <w:link w:val="HeaderChar"/>
    <w:uiPriority w:val="99"/>
    <w:unhideWhenUsed/>
    <w:rsid w:val="007C4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7CC"/>
  </w:style>
  <w:style w:type="paragraph" w:styleId="Footer">
    <w:name w:val="footer"/>
    <w:basedOn w:val="Normal"/>
    <w:link w:val="FooterChar"/>
    <w:uiPriority w:val="99"/>
    <w:unhideWhenUsed/>
    <w:rsid w:val="007C47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1526-4637.2008.00526.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7759/cureus.43424" TargetMode="Externa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ldefense.com/v3/__https:/www.oregon.gov/oha/HPA/DSI-HERC/SearchablePLdocuments/GL-172-15777-Acellular-dermal-matrix-August-2019.docx__;!!Ogc0pmb6TgRBGQ!38mhp0z2tzXsDQFADQsvkmo-BbHasqbK9f3pDvhcfaI00lo5cXhp-ouNT-x4uXfa0ZU__KVkSrUfW-5povKEuaH9vXIX4xCrN4spTbQ$"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file://WPDHSFILL10.dhs.sdc.pvt/Shared08$/SLM01-OHPR%20HERC%20Public/DBIssues/2024/Trigger%20Point%20Injections-Issue00002445/VBBS%2010-10-2024/%20https/www.cms.gov/medicare-coverage-database/view/lcd.aspx?lcdid=34211&amp;ver=37&amp;bc=0" TargetMode="External"/><Relationship Id="rId4" Type="http://schemas.openxmlformats.org/officeDocument/2006/relationships/webSettings" Target="webSettings.xml"/><Relationship Id="rId9" Type="http://schemas.openxmlformats.org/officeDocument/2006/relationships/hyperlink" Target="https://doi.org/10.1097/brs.0b013e318190955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E8B8313507D54D8326F9AC36709E7F" ma:contentTypeVersion="18" ma:contentTypeDescription="Create a new document." ma:contentTypeScope="" ma:versionID="e3ff354594a46a5ab218b54240ee660b">
  <xsd:schema xmlns:xsd="http://www.w3.org/2001/XMLSchema" xmlns:xs="http://www.w3.org/2001/XMLSchema" xmlns:p="http://schemas.microsoft.com/office/2006/metadata/properties" xmlns:ns1="http://schemas.microsoft.com/sharepoint/v3" xmlns:ns2="59da1016-2a1b-4f8a-9768-d7a4932f6f16" xmlns:ns3="02aa3302-3726-4429-bc74-2da0b757c478" targetNamespace="http://schemas.microsoft.com/office/2006/metadata/properties" ma:root="true" ma:fieldsID="e0b65884941d366edd5a4e66bc6478bc" ns1:_="" ns2:_="" ns3:_="">
    <xsd:import namespace="http://schemas.microsoft.com/sharepoint/v3"/>
    <xsd:import namespace="59da1016-2a1b-4f8a-9768-d7a4932f6f16"/>
    <xsd:import namespace="02aa3302-3726-4429-bc74-2da0b757c478"/>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2:Document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Documents"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aa3302-3726-4429-bc74-2da0b757c478" elementFormDefault="qualified">
    <xsd:import namespace="http://schemas.microsoft.com/office/2006/documentManagement/types"/>
    <xsd:import namespace="http://schemas.microsoft.com/office/infopath/2007/PartnerControls"/>
    <xsd:element name="Meta_x0020_Description" ma:index="5" nillable="true" ma:displayName="Meta Description" ma:internalName="Meta_x0020_Description" ma:readOnly="false">
      <xsd:simpleType>
        <xsd:restriction base="dms:Text"/>
      </xsd:simpleType>
    </xsd:element>
    <xsd:element name="Meta_x0020_Keywords" ma:index="6"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02aa3302-3726-4429-bc74-2da0b757c478"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02aa3302-3726-4429-bc74-2da0b757c478" xsi:nil="true"/>
  </documentManagement>
</p:properties>
</file>

<file path=customXml/itemProps1.xml><?xml version="1.0" encoding="utf-8"?>
<ds:datastoreItem xmlns:ds="http://schemas.openxmlformats.org/officeDocument/2006/customXml" ds:itemID="{7EB41A07-A46E-4C72-B77B-03998CFFDBF9}"/>
</file>

<file path=customXml/itemProps2.xml><?xml version="1.0" encoding="utf-8"?>
<ds:datastoreItem xmlns:ds="http://schemas.openxmlformats.org/officeDocument/2006/customXml" ds:itemID="{AD29C1A5-6559-46F9-82CD-42B5F35CD6FB}"/>
</file>

<file path=customXml/itemProps3.xml><?xml version="1.0" encoding="utf-8"?>
<ds:datastoreItem xmlns:ds="http://schemas.openxmlformats.org/officeDocument/2006/customXml" ds:itemID="{D8920445-1E91-4170-B215-759146E2247E}"/>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Normal.dotm</Template>
  <TotalTime>33</TotalTime>
  <Pages>9</Pages>
  <Words>2800</Words>
  <Characters>15962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Malstrom Jessica</dc:creator>
  <cp:keywords/>
  <dc:description/>
  <cp:lastModifiedBy>Jason Gingerich</cp:lastModifiedBy>
  <cp:revision>7</cp:revision>
  <dcterms:created xsi:type="dcterms:W3CDTF">2025-07-16T19:18:00Z</dcterms:created>
  <dcterms:modified xsi:type="dcterms:W3CDTF">2025-07-23T21:29:00Z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0x0101000CE8B8313507D54D8326F9AC36709E7F</vt:lpwstr>
  </property>
</Properties>
</file>