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9BE1" w14:textId="77777777" w:rsidR="00DC1988" w:rsidRDefault="00DC1988" w:rsidP="00DC1ECE">
      <w:pPr>
        <w:autoSpaceDE w:val="0"/>
        <w:autoSpaceDN w:val="0"/>
        <w:adjustRightInd w:val="0"/>
        <w:spacing w:after="0" w:line="240" w:lineRule="auto"/>
        <w:rPr>
          <w:rFonts w:cstheme="minorHAnsi"/>
          <w:b/>
          <w:sz w:val="24"/>
          <w:szCs w:val="24"/>
        </w:rPr>
      </w:pPr>
      <w:r>
        <w:rPr>
          <w:rFonts w:cstheme="minorHAnsi"/>
          <w:b/>
          <w:sz w:val="24"/>
          <w:szCs w:val="24"/>
        </w:rPr>
        <w:t>Editor's note: On 1/1/2025, Guideline Notes 172 and 173 were replaced with Excluded Services Guidelines 1 and 2, which serve the same functions. References to Guidelines 172-173 can be treated interchangeably with Excluded Services Guidelines E1-E2 unless HERC has revised its decision since the original approval.</w:t>
      </w:r>
    </w:p>
    <w:p w14:paraId="5D23722C" w14:textId="77777777" w:rsidR="00DC1988" w:rsidRDefault="00DC1988" w:rsidP="00DC1ECE">
      <w:pPr>
        <w:autoSpaceDE w:val="0"/>
        <w:autoSpaceDN w:val="0"/>
        <w:adjustRightInd w:val="0"/>
        <w:spacing w:after="0" w:line="240" w:lineRule="auto"/>
        <w:rPr>
          <w:rFonts w:cstheme="minorHAnsi"/>
          <w:b/>
          <w:sz w:val="24"/>
          <w:szCs w:val="24"/>
        </w:rPr>
      </w:pPr>
    </w:p>
    <w:p w14:paraId="6F067D65" w14:textId="2475FACE" w:rsidR="000938C4" w:rsidRDefault="00D06FBC" w:rsidP="00DC1ECE">
      <w:pPr>
        <w:autoSpaceDE w:val="0"/>
        <w:autoSpaceDN w:val="0"/>
        <w:adjustRightInd w:val="0"/>
        <w:spacing w:after="0" w:line="240" w:lineRule="auto"/>
        <w:rPr>
          <w:rFonts w:cstheme="minorHAnsi"/>
          <w:b/>
          <w:sz w:val="24"/>
          <w:szCs w:val="24"/>
        </w:rPr>
      </w:pPr>
      <w:r w:rsidRPr="00D06FBC">
        <w:rPr>
          <w:rFonts w:cstheme="minorHAnsi"/>
          <w:b/>
          <w:sz w:val="24"/>
          <w:szCs w:val="24"/>
        </w:rPr>
        <w:t>96000-96004 Comprehensive computer-based motion analysis by video-taping and 3D kinematics | Dynamic surface electromyography</w:t>
      </w:r>
    </w:p>
    <w:p w14:paraId="2DC615F4" w14:textId="77777777" w:rsidR="00D06FBC" w:rsidRPr="003A7E4E" w:rsidRDefault="00D06FBC" w:rsidP="00DC1ECE">
      <w:pPr>
        <w:autoSpaceDE w:val="0"/>
        <w:autoSpaceDN w:val="0"/>
        <w:adjustRightInd w:val="0"/>
        <w:spacing w:after="0" w:line="240" w:lineRule="auto"/>
        <w:rPr>
          <w:rFonts w:cstheme="minorHAnsi"/>
          <w:b/>
          <w:sz w:val="24"/>
          <w:szCs w:val="24"/>
        </w:rPr>
      </w:pPr>
    </w:p>
    <w:p w14:paraId="67058C7E" w14:textId="753D114C" w:rsidR="00DC1ECE" w:rsidRDefault="003A7E4E" w:rsidP="003A7E4E">
      <w:pPr>
        <w:autoSpaceDE w:val="0"/>
        <w:autoSpaceDN w:val="0"/>
        <w:adjustRightInd w:val="0"/>
        <w:spacing w:after="0" w:line="240" w:lineRule="auto"/>
        <w:rPr>
          <w:rFonts w:cstheme="minorHAnsi"/>
          <w:b/>
          <w:bCs/>
          <w:sz w:val="24"/>
          <w:szCs w:val="24"/>
        </w:rPr>
      </w:pPr>
      <w:r w:rsidRPr="003A7E4E">
        <w:rPr>
          <w:rFonts w:cstheme="minorHAnsi"/>
          <w:b/>
          <w:bCs/>
          <w:sz w:val="24"/>
          <w:szCs w:val="24"/>
        </w:rPr>
        <w:t xml:space="preserve">Last reviewed at VbBS in </w:t>
      </w:r>
      <w:r w:rsidR="00391FAC">
        <w:rPr>
          <w:rFonts w:cstheme="minorHAnsi"/>
          <w:b/>
          <w:bCs/>
          <w:sz w:val="24"/>
          <w:szCs w:val="24"/>
        </w:rPr>
        <w:t>March</w:t>
      </w:r>
      <w:r w:rsidR="005D2CB4">
        <w:rPr>
          <w:rFonts w:cstheme="minorHAnsi"/>
          <w:b/>
          <w:bCs/>
          <w:sz w:val="24"/>
          <w:szCs w:val="24"/>
        </w:rPr>
        <w:t xml:space="preserve"> 202</w:t>
      </w:r>
      <w:r w:rsidR="00137A3A">
        <w:rPr>
          <w:rFonts w:cstheme="minorHAnsi"/>
          <w:b/>
          <w:bCs/>
          <w:sz w:val="24"/>
          <w:szCs w:val="24"/>
        </w:rPr>
        <w:t>2</w:t>
      </w:r>
      <w:r w:rsidRPr="003A7E4E">
        <w:rPr>
          <w:rFonts w:cstheme="minorHAnsi"/>
          <w:b/>
          <w:bCs/>
          <w:sz w:val="24"/>
          <w:szCs w:val="24"/>
        </w:rPr>
        <w:t xml:space="preserve">. Minutes indicate </w:t>
      </w:r>
      <w:r w:rsidR="000938C4">
        <w:rPr>
          <w:rFonts w:cstheme="minorHAnsi"/>
          <w:b/>
          <w:bCs/>
          <w:sz w:val="24"/>
          <w:szCs w:val="24"/>
        </w:rPr>
        <w:t>that the staff recommendation was accepted without significant discussion.</w:t>
      </w:r>
      <w:r w:rsidR="003C402A">
        <w:rPr>
          <w:rFonts w:cstheme="minorHAnsi"/>
          <w:b/>
          <w:bCs/>
          <w:sz w:val="24"/>
          <w:szCs w:val="24"/>
        </w:rPr>
        <w:t xml:space="preserve"> HERC approved the recommendations without change. </w:t>
      </w:r>
    </w:p>
    <w:p w14:paraId="3D9B0C72" w14:textId="00394317" w:rsidR="00391FAC" w:rsidRDefault="00391FAC" w:rsidP="003A7E4E">
      <w:pPr>
        <w:autoSpaceDE w:val="0"/>
        <w:autoSpaceDN w:val="0"/>
        <w:adjustRightInd w:val="0"/>
        <w:spacing w:after="0" w:line="240" w:lineRule="auto"/>
        <w:rPr>
          <w:rFonts w:cstheme="minorHAnsi"/>
          <w:b/>
          <w:bCs/>
          <w:sz w:val="24"/>
          <w:szCs w:val="24"/>
        </w:rPr>
      </w:pPr>
    </w:p>
    <w:p w14:paraId="186ABDDF" w14:textId="77777777" w:rsidR="00D06FBC" w:rsidRPr="00804A6D" w:rsidRDefault="00D06FBC" w:rsidP="00D06FBC">
      <w:pPr>
        <w:spacing w:after="0" w:line="240" w:lineRule="auto"/>
        <w:rPr>
          <w:rFonts w:cstheme="minorHAnsi"/>
          <w:u w:val="single"/>
        </w:rPr>
      </w:pPr>
      <w:r w:rsidRPr="00804A6D">
        <w:rPr>
          <w:rFonts w:cstheme="minorHAnsi"/>
          <w:u w:val="single"/>
        </w:rPr>
        <w:t>Evidence</w:t>
      </w:r>
    </w:p>
    <w:p w14:paraId="5202E3CF" w14:textId="77777777" w:rsidR="00D06FBC" w:rsidRPr="00804A6D" w:rsidRDefault="00D06FBC" w:rsidP="00D06FBC">
      <w:pPr>
        <w:spacing w:after="0" w:line="240" w:lineRule="auto"/>
        <w:rPr>
          <w:rFonts w:cstheme="minorHAnsi"/>
          <w:i/>
          <w:iCs/>
        </w:rPr>
      </w:pPr>
      <w:r w:rsidRPr="00804A6D">
        <w:rPr>
          <w:rFonts w:cstheme="minorHAnsi"/>
          <w:i/>
          <w:iCs/>
        </w:rPr>
        <w:t>Gait Analysis</w:t>
      </w:r>
    </w:p>
    <w:p w14:paraId="53EA6732" w14:textId="77777777" w:rsidR="00D06FBC" w:rsidRPr="00804A6D" w:rsidRDefault="00D06FBC" w:rsidP="00D06FBC">
      <w:pPr>
        <w:pStyle w:val="ListParagraph"/>
        <w:numPr>
          <w:ilvl w:val="0"/>
          <w:numId w:val="28"/>
        </w:numPr>
        <w:spacing w:after="0" w:line="240" w:lineRule="auto"/>
        <w:rPr>
          <w:rFonts w:cstheme="minorHAnsi"/>
        </w:rPr>
      </w:pPr>
      <w:r w:rsidRPr="00804A6D">
        <w:rPr>
          <w:rFonts w:cstheme="minorHAnsi"/>
          <w:b/>
          <w:bCs/>
        </w:rPr>
        <w:t>Narayanan 2012</w:t>
      </w:r>
      <w:r w:rsidRPr="00804A6D">
        <w:rPr>
          <w:rFonts w:cstheme="minorHAnsi"/>
        </w:rPr>
        <w:t xml:space="preserve"> review of management of children with cerebral palsy</w:t>
      </w:r>
    </w:p>
    <w:p w14:paraId="6285D1B0" w14:textId="77777777" w:rsidR="00D06FBC" w:rsidRPr="00804A6D" w:rsidRDefault="00D06FBC" w:rsidP="00D06FBC">
      <w:pPr>
        <w:pStyle w:val="ListParagraph"/>
        <w:numPr>
          <w:ilvl w:val="1"/>
          <w:numId w:val="28"/>
        </w:numPr>
        <w:spacing w:after="0" w:line="240" w:lineRule="auto"/>
        <w:rPr>
          <w:rFonts w:cstheme="minorHAnsi"/>
        </w:rPr>
      </w:pPr>
      <w:r w:rsidRPr="00804A6D">
        <w:rPr>
          <w:rFonts w:cstheme="minorHAnsi"/>
        </w:rPr>
        <w:t>The use of gait analysis to guide clinical (surgical) decision-making before multilevel orthopedic surgery remains an area of controversy among pediatric orthopedic surgeons.</w:t>
      </w:r>
      <w:r>
        <w:rPr>
          <w:rFonts w:cstheme="minorHAnsi"/>
        </w:rPr>
        <w:t xml:space="preserve"> </w:t>
      </w:r>
      <w:r w:rsidRPr="00804A6D">
        <w:rPr>
          <w:rFonts w:cstheme="minorHAnsi"/>
        </w:rPr>
        <w:t>There is good evidence that gait analysis does alter surgical decision-making at least some of the time.</w:t>
      </w:r>
      <w:r>
        <w:rPr>
          <w:rFonts w:cstheme="minorHAnsi"/>
        </w:rPr>
        <w:t xml:space="preserve"> </w:t>
      </w:r>
      <w:r w:rsidRPr="00804A6D">
        <w:rPr>
          <w:rFonts w:cstheme="minorHAnsi"/>
        </w:rPr>
        <w:t>However, there remain concerns about the reliability (reproducibility) of these decisions or whether implementing these recommendations would result in different, let alone better outcomes</w:t>
      </w:r>
    </w:p>
    <w:p w14:paraId="42CA35B0" w14:textId="77777777" w:rsidR="00D06FBC" w:rsidRPr="00804A6D" w:rsidRDefault="00D06FBC" w:rsidP="00D06FBC">
      <w:pPr>
        <w:pStyle w:val="ListParagraph"/>
        <w:numPr>
          <w:ilvl w:val="1"/>
          <w:numId w:val="28"/>
        </w:numPr>
        <w:spacing w:after="0" w:line="240" w:lineRule="auto"/>
        <w:rPr>
          <w:rFonts w:cstheme="minorHAnsi"/>
        </w:rPr>
      </w:pPr>
      <w:r w:rsidRPr="00804A6D">
        <w:rPr>
          <w:rFonts w:cstheme="minorHAnsi"/>
        </w:rPr>
        <w:t>A systematic review of the literature on the use of gait analysis in children with walking disorders reported that there was little published evidence that outcomes of surgery based on gait analysis are any better than outcomes of surgery based on observational analysis alone</w:t>
      </w:r>
    </w:p>
    <w:p w14:paraId="627A783A" w14:textId="77777777" w:rsidR="00D06FBC" w:rsidRPr="00804A6D" w:rsidRDefault="00D06FBC" w:rsidP="00D06FBC">
      <w:pPr>
        <w:pStyle w:val="ListParagraph"/>
        <w:numPr>
          <w:ilvl w:val="1"/>
          <w:numId w:val="28"/>
        </w:numPr>
        <w:spacing w:after="0" w:line="240" w:lineRule="auto"/>
        <w:rPr>
          <w:rFonts w:cstheme="minorHAnsi"/>
        </w:rPr>
      </w:pPr>
      <w:r w:rsidRPr="00804A6D">
        <w:rPr>
          <w:rFonts w:cstheme="minorHAnsi"/>
        </w:rPr>
        <w:t>Conclusion: insufficient evidence regarding the utility of gait analysis improving surgical outcomes</w:t>
      </w:r>
    </w:p>
    <w:p w14:paraId="0F633A5D" w14:textId="77777777" w:rsidR="00D06FBC" w:rsidRPr="00804A6D" w:rsidRDefault="00D06FBC" w:rsidP="00D06FBC">
      <w:pPr>
        <w:spacing w:after="0" w:line="240" w:lineRule="auto"/>
        <w:rPr>
          <w:rFonts w:cstheme="minorHAnsi"/>
          <w:i/>
          <w:iCs/>
        </w:rPr>
      </w:pPr>
      <w:r w:rsidRPr="00804A6D">
        <w:rPr>
          <w:rFonts w:cstheme="minorHAnsi"/>
          <w:i/>
          <w:iCs/>
        </w:rPr>
        <w:t>Surface EMG</w:t>
      </w:r>
    </w:p>
    <w:p w14:paraId="6CC2CDD6" w14:textId="77777777" w:rsidR="00D06FBC" w:rsidRPr="00804A6D" w:rsidRDefault="00D06FBC" w:rsidP="00D06FBC">
      <w:pPr>
        <w:pStyle w:val="ListParagraph"/>
        <w:numPr>
          <w:ilvl w:val="0"/>
          <w:numId w:val="29"/>
        </w:numPr>
        <w:spacing w:after="0" w:line="240" w:lineRule="auto"/>
        <w:rPr>
          <w:rFonts w:cstheme="minorHAnsi"/>
        </w:rPr>
      </w:pPr>
      <w:r w:rsidRPr="00804A6D">
        <w:rPr>
          <w:rFonts w:cstheme="minorHAnsi"/>
          <w:b/>
          <w:bCs/>
        </w:rPr>
        <w:t>Cappellini 2020</w:t>
      </w:r>
      <w:r w:rsidRPr="00804A6D">
        <w:rPr>
          <w:rFonts w:cstheme="minorHAnsi"/>
        </w:rPr>
        <w:t xml:space="preserve"> review of surface electromyography in cerebral palsy</w:t>
      </w:r>
    </w:p>
    <w:p w14:paraId="085F7299" w14:textId="77777777" w:rsidR="00D06FBC" w:rsidRPr="00804A6D" w:rsidRDefault="00D06FBC" w:rsidP="00D06FBC">
      <w:pPr>
        <w:pStyle w:val="ListParagraph"/>
        <w:numPr>
          <w:ilvl w:val="1"/>
          <w:numId w:val="29"/>
        </w:numPr>
        <w:spacing w:after="0" w:line="240" w:lineRule="auto"/>
        <w:rPr>
          <w:rFonts w:cstheme="minorHAnsi"/>
        </w:rPr>
      </w:pPr>
      <w:r w:rsidRPr="00804A6D">
        <w:rPr>
          <w:rFonts w:cstheme="minorHAnsi"/>
        </w:rPr>
        <w:t>Despite the uniqueness of the sEMG technology and the successes in clinical applications for planning and assessment of treatment of children with cerebral palsy, clinical application and practice in rehabilitation departments remain very limited because of many barriers.</w:t>
      </w:r>
    </w:p>
    <w:p w14:paraId="50BC01C4" w14:textId="77777777" w:rsidR="00D06FBC" w:rsidRPr="00804A6D" w:rsidRDefault="00D06FBC" w:rsidP="00D06FBC">
      <w:pPr>
        <w:spacing w:after="0" w:line="240" w:lineRule="auto"/>
        <w:rPr>
          <w:rFonts w:cstheme="minorHAnsi"/>
        </w:rPr>
      </w:pPr>
    </w:p>
    <w:p w14:paraId="579CA028" w14:textId="77777777" w:rsidR="00D06FBC" w:rsidRPr="00804A6D" w:rsidRDefault="00D06FBC" w:rsidP="00D06FBC">
      <w:pPr>
        <w:spacing w:after="0" w:line="240" w:lineRule="auto"/>
        <w:rPr>
          <w:rFonts w:cstheme="minorHAnsi"/>
        </w:rPr>
      </w:pPr>
    </w:p>
    <w:p w14:paraId="2EB90436" w14:textId="77777777" w:rsidR="00D06FBC" w:rsidRPr="00804A6D" w:rsidRDefault="00D06FBC" w:rsidP="00D06FBC">
      <w:pPr>
        <w:spacing w:after="0" w:line="240" w:lineRule="auto"/>
        <w:rPr>
          <w:rFonts w:cstheme="minorHAnsi"/>
          <w:u w:val="single"/>
        </w:rPr>
      </w:pPr>
      <w:r w:rsidRPr="00804A6D">
        <w:rPr>
          <w:rFonts w:cstheme="minorHAnsi"/>
          <w:u w:val="single"/>
        </w:rPr>
        <w:t>Other payer policies</w:t>
      </w:r>
    </w:p>
    <w:p w14:paraId="0AE351C1" w14:textId="77777777" w:rsidR="00D06FBC" w:rsidRPr="00804A6D" w:rsidRDefault="00D06FBC" w:rsidP="00D06FBC">
      <w:pPr>
        <w:pStyle w:val="ListParagraph"/>
        <w:numPr>
          <w:ilvl w:val="0"/>
          <w:numId w:val="27"/>
        </w:numPr>
        <w:spacing w:after="0" w:line="240" w:lineRule="auto"/>
        <w:rPr>
          <w:rFonts w:cstheme="minorHAnsi"/>
        </w:rPr>
      </w:pPr>
      <w:r w:rsidRPr="00804A6D">
        <w:rPr>
          <w:rFonts w:cstheme="minorHAnsi"/>
          <w:b/>
          <w:bCs/>
        </w:rPr>
        <w:t>Aetna 2021</w:t>
      </w:r>
      <w:r w:rsidRPr="00804A6D">
        <w:rPr>
          <w:rFonts w:cstheme="minorHAnsi"/>
        </w:rPr>
        <w:t xml:space="preserve">: </w:t>
      </w:r>
      <w:r w:rsidRPr="00804A6D">
        <w:rPr>
          <w:rFonts w:cstheme="minorHAnsi"/>
          <w:shd w:val="clear" w:color="auto" w:fill="FFFFFF"/>
        </w:rPr>
        <w:t>Aetna considers gait analysis (also known as motion analysis studies), dynamic electromyography or the use of an electrodynogram experimental and investigational for conditions that result in gait deviations and for all other indications because there is insufficient peer-reviewed medical literature demonstrating the clinical value of these technologies.</w:t>
      </w:r>
    </w:p>
    <w:p w14:paraId="4DC40D30" w14:textId="77777777" w:rsidR="00D06FBC" w:rsidRPr="00804A6D" w:rsidRDefault="00D06FBC" w:rsidP="00D06FBC">
      <w:pPr>
        <w:pStyle w:val="ListParagraph"/>
        <w:numPr>
          <w:ilvl w:val="0"/>
          <w:numId w:val="27"/>
        </w:numPr>
        <w:spacing w:after="0" w:line="240" w:lineRule="auto"/>
        <w:rPr>
          <w:rFonts w:cstheme="minorHAnsi"/>
        </w:rPr>
      </w:pPr>
      <w:r w:rsidRPr="00804A6D">
        <w:rPr>
          <w:rFonts w:cstheme="minorHAnsi"/>
          <w:b/>
          <w:bCs/>
          <w:shd w:val="clear" w:color="auto" w:fill="FFFFFF"/>
        </w:rPr>
        <w:t>Cigna 2021</w:t>
      </w:r>
      <w:r w:rsidRPr="00804A6D">
        <w:rPr>
          <w:rFonts w:cstheme="minorHAnsi"/>
          <w:shd w:val="clear" w:color="auto" w:fill="FFFFFF"/>
        </w:rPr>
        <w:t>:</w:t>
      </w:r>
    </w:p>
    <w:p w14:paraId="753ACD7D" w14:textId="77777777" w:rsidR="00D06FBC" w:rsidRPr="00804A6D" w:rsidRDefault="00D06FBC" w:rsidP="00D06FBC">
      <w:pPr>
        <w:pStyle w:val="ListParagraph"/>
        <w:numPr>
          <w:ilvl w:val="1"/>
          <w:numId w:val="27"/>
        </w:numPr>
        <w:spacing w:after="0" w:line="240" w:lineRule="auto"/>
        <w:rPr>
          <w:rFonts w:cstheme="minorHAnsi"/>
        </w:rPr>
      </w:pPr>
      <w:r w:rsidRPr="00804A6D">
        <w:rPr>
          <w:rFonts w:cstheme="minorHAnsi"/>
        </w:rPr>
        <w:t xml:space="preserve">Computerized gait analysis is considered medically necessary when BOTH of the following criteria are met: </w:t>
      </w:r>
    </w:p>
    <w:p w14:paraId="6BEA398E" w14:textId="77777777" w:rsidR="00D06FBC" w:rsidRPr="00804A6D" w:rsidRDefault="00D06FBC" w:rsidP="00D06FBC">
      <w:pPr>
        <w:pStyle w:val="ListParagraph"/>
        <w:numPr>
          <w:ilvl w:val="2"/>
          <w:numId w:val="27"/>
        </w:numPr>
        <w:spacing w:after="0" w:line="240" w:lineRule="auto"/>
        <w:rPr>
          <w:rFonts w:cstheme="minorHAnsi"/>
        </w:rPr>
      </w:pPr>
      <w:r w:rsidRPr="00804A6D">
        <w:rPr>
          <w:rFonts w:cstheme="minorHAnsi"/>
        </w:rPr>
        <w:t xml:space="preserve">A child or adolescent has a diagnosis of cerebral palsy. </w:t>
      </w:r>
    </w:p>
    <w:p w14:paraId="13AEF440" w14:textId="77777777" w:rsidR="00D06FBC" w:rsidRPr="00804A6D" w:rsidRDefault="00D06FBC" w:rsidP="00D06FBC">
      <w:pPr>
        <w:pStyle w:val="ListParagraph"/>
        <w:numPr>
          <w:ilvl w:val="2"/>
          <w:numId w:val="27"/>
        </w:numPr>
        <w:spacing w:after="0" w:line="240" w:lineRule="auto"/>
        <w:rPr>
          <w:rFonts w:cstheme="minorHAnsi"/>
        </w:rPr>
      </w:pPr>
      <w:r w:rsidRPr="00804A6D">
        <w:rPr>
          <w:rFonts w:cstheme="minorHAnsi"/>
        </w:rPr>
        <w:t xml:space="preserve">The procedure is performed as part of a preoperative assessment, and the results will be used in surgical planning. </w:t>
      </w:r>
    </w:p>
    <w:p w14:paraId="39DCF1E0" w14:textId="77777777" w:rsidR="00D06FBC" w:rsidRPr="00804A6D" w:rsidRDefault="00D06FBC" w:rsidP="00D06FBC">
      <w:pPr>
        <w:pStyle w:val="ListParagraph"/>
        <w:numPr>
          <w:ilvl w:val="1"/>
          <w:numId w:val="27"/>
        </w:numPr>
        <w:spacing w:after="0" w:line="240" w:lineRule="auto"/>
        <w:rPr>
          <w:rFonts w:cstheme="minorHAnsi"/>
        </w:rPr>
      </w:pPr>
      <w:r w:rsidRPr="00804A6D">
        <w:rPr>
          <w:rFonts w:cstheme="minorHAnsi"/>
        </w:rPr>
        <w:t>Gait analysis for any other indication is considered experimental, investigational or unproven</w:t>
      </w:r>
    </w:p>
    <w:p w14:paraId="6C37E1CF" w14:textId="77777777" w:rsidR="00D06FBC" w:rsidRPr="00804A6D" w:rsidRDefault="00D06FBC" w:rsidP="00D06FBC">
      <w:pPr>
        <w:pStyle w:val="ListParagraph"/>
        <w:numPr>
          <w:ilvl w:val="0"/>
          <w:numId w:val="27"/>
        </w:numPr>
        <w:spacing w:after="0" w:line="240" w:lineRule="auto"/>
        <w:rPr>
          <w:rFonts w:cstheme="minorHAnsi"/>
          <w:b/>
          <w:bCs/>
        </w:rPr>
      </w:pPr>
      <w:r w:rsidRPr="00804A6D">
        <w:rPr>
          <w:rFonts w:cstheme="minorHAnsi"/>
          <w:b/>
          <w:bCs/>
        </w:rPr>
        <w:lastRenderedPageBreak/>
        <w:t>Wellmark BCBS 2021</w:t>
      </w:r>
    </w:p>
    <w:p w14:paraId="36DEAE52" w14:textId="77777777" w:rsidR="00D06FBC" w:rsidRPr="00F17E26" w:rsidRDefault="00D06FBC" w:rsidP="00D06FBC">
      <w:pPr>
        <w:pStyle w:val="ListParagraph"/>
        <w:numPr>
          <w:ilvl w:val="1"/>
          <w:numId w:val="27"/>
        </w:numPr>
        <w:spacing w:after="0" w:line="240" w:lineRule="auto"/>
        <w:rPr>
          <w:rFonts w:cstheme="minorHAnsi"/>
        </w:rPr>
      </w:pPr>
      <w:r w:rsidRPr="00804A6D">
        <w:rPr>
          <w:rFonts w:cstheme="minorHAnsi"/>
          <w:shd w:val="clear" w:color="auto" w:fill="FFFFFF"/>
        </w:rPr>
        <w:t>Surface electromyography (sEMG) including but not limited to the following, for the evaluation of neuromuscular disorders and to evaluate abnormal patterns of electrical activity in the paraspinal muscles for any indication is considered </w:t>
      </w:r>
      <w:r w:rsidRPr="00804A6D">
        <w:rPr>
          <w:rStyle w:val="Strong"/>
          <w:rFonts w:cstheme="minorHAnsi"/>
          <w:shd w:val="clear" w:color="auto" w:fill="FFFFFF"/>
        </w:rPr>
        <w:t>investigational</w:t>
      </w:r>
      <w:r w:rsidRPr="00804A6D">
        <w:rPr>
          <w:rFonts w:cstheme="minorHAnsi"/>
          <w:shd w:val="clear" w:color="auto" w:fill="FFFFFF"/>
        </w:rPr>
        <w:t>. There is insufficient evidence in the medical literature to support the use of any type of surface electromyography (sEMG) as the diagnostic utility is unknown and the role in patient management has not been established. </w:t>
      </w:r>
    </w:p>
    <w:p w14:paraId="17D25DD4" w14:textId="77777777" w:rsidR="00D06FBC" w:rsidRDefault="00D06FBC" w:rsidP="00D06FBC">
      <w:pPr>
        <w:spacing w:after="0" w:line="240" w:lineRule="auto"/>
        <w:rPr>
          <w:rFonts w:cstheme="minorHAnsi"/>
        </w:rPr>
      </w:pPr>
    </w:p>
    <w:p w14:paraId="7C663FEA" w14:textId="77777777" w:rsidR="00D06FBC" w:rsidRDefault="00D06FBC" w:rsidP="00D06FBC">
      <w:pPr>
        <w:spacing w:after="0" w:line="240" w:lineRule="auto"/>
        <w:rPr>
          <w:rFonts w:cstheme="minorHAnsi"/>
        </w:rPr>
      </w:pPr>
    </w:p>
    <w:p w14:paraId="79AEF328" w14:textId="77777777" w:rsidR="00D06FBC" w:rsidRPr="00F17E26" w:rsidRDefault="00D06FBC" w:rsidP="00D06FBC">
      <w:pPr>
        <w:spacing w:after="0" w:line="240" w:lineRule="auto"/>
        <w:rPr>
          <w:rFonts w:cstheme="minorHAnsi"/>
          <w:u w:val="single"/>
        </w:rPr>
      </w:pPr>
      <w:r w:rsidRPr="00F17E26">
        <w:rPr>
          <w:rFonts w:cstheme="minorHAnsi"/>
          <w:u w:val="single"/>
        </w:rPr>
        <w:t>HERC staff summary</w:t>
      </w:r>
    </w:p>
    <w:p w14:paraId="47B34F2D" w14:textId="77777777" w:rsidR="00D06FBC" w:rsidRDefault="00D06FBC" w:rsidP="00D06FBC">
      <w:pPr>
        <w:spacing w:after="0" w:line="240" w:lineRule="auto"/>
        <w:rPr>
          <w:rFonts w:cstheme="minorHAnsi"/>
        </w:rPr>
      </w:pPr>
      <w:r>
        <w:rPr>
          <w:rFonts w:cstheme="minorHAnsi"/>
        </w:rPr>
        <w:t xml:space="preserve">There is very little evidence published on the clinical utility of either gait analysis or surface electromyography.  Most private insurers do not cover these tests, considering them experimental.  Surface electromyography appeared to be mistakenly removed from the Excluded file as the procedure codes were inaccurately thought to represent standard EMG testing. </w:t>
      </w:r>
    </w:p>
    <w:p w14:paraId="44F13EC0" w14:textId="77777777" w:rsidR="00D06FBC" w:rsidRDefault="00D06FBC" w:rsidP="00D06FBC">
      <w:pPr>
        <w:spacing w:after="0" w:line="240" w:lineRule="auto"/>
        <w:rPr>
          <w:rFonts w:cstheme="minorHAnsi"/>
        </w:rPr>
      </w:pPr>
    </w:p>
    <w:p w14:paraId="76011793" w14:textId="77777777" w:rsidR="00D06FBC" w:rsidRDefault="00D06FBC" w:rsidP="00D06FBC">
      <w:pPr>
        <w:spacing w:after="0" w:line="240" w:lineRule="auto"/>
        <w:rPr>
          <w:rFonts w:cstheme="minorHAnsi"/>
          <w:u w:val="single"/>
        </w:rPr>
      </w:pPr>
    </w:p>
    <w:p w14:paraId="22F25BB7" w14:textId="77777777" w:rsidR="00D06FBC" w:rsidRDefault="00D06FBC" w:rsidP="00D06FBC">
      <w:pPr>
        <w:spacing w:after="0" w:line="240" w:lineRule="auto"/>
        <w:rPr>
          <w:rFonts w:cstheme="minorHAnsi"/>
        </w:rPr>
      </w:pPr>
      <w:r w:rsidRPr="005D665B">
        <w:rPr>
          <w:rFonts w:cstheme="minorHAnsi"/>
          <w:u w:val="single"/>
        </w:rPr>
        <w:t>HERC staff recommendation</w:t>
      </w:r>
      <w:r>
        <w:rPr>
          <w:rFonts w:cstheme="minorHAnsi"/>
        </w:rPr>
        <w:t>:</w:t>
      </w:r>
    </w:p>
    <w:p w14:paraId="46B531F4" w14:textId="77777777" w:rsidR="00D06FBC" w:rsidRDefault="00D06FBC" w:rsidP="00D06FBC">
      <w:pPr>
        <w:pStyle w:val="ListParagraph"/>
        <w:numPr>
          <w:ilvl w:val="0"/>
          <w:numId w:val="30"/>
        </w:numPr>
        <w:spacing w:after="0" w:line="240" w:lineRule="auto"/>
        <w:rPr>
          <w:rFonts w:cstheme="minorHAnsi"/>
        </w:rPr>
      </w:pPr>
      <w:r>
        <w:rPr>
          <w:rFonts w:cstheme="minorHAnsi"/>
        </w:rPr>
        <w:t>Add CPT 96000-96004 to line 662/GN173</w:t>
      </w:r>
    </w:p>
    <w:p w14:paraId="304A3981" w14:textId="77777777" w:rsidR="00D06FBC" w:rsidRDefault="00D06FBC" w:rsidP="00D06FBC">
      <w:pPr>
        <w:pStyle w:val="ListParagraph"/>
        <w:numPr>
          <w:ilvl w:val="1"/>
          <w:numId w:val="30"/>
        </w:numPr>
        <w:spacing w:after="0" w:line="240" w:lineRule="auto"/>
        <w:rPr>
          <w:rFonts w:cstheme="minorHAnsi"/>
        </w:rPr>
      </w:pPr>
      <w:r>
        <w:rPr>
          <w:rFonts w:cstheme="minorHAnsi"/>
        </w:rPr>
        <w:t xml:space="preserve">Advise HSD to remove these codes from the Ancillary and Diagnostic Procedures files </w:t>
      </w:r>
    </w:p>
    <w:p w14:paraId="2A8CD7DE" w14:textId="77777777" w:rsidR="00D06FBC" w:rsidRDefault="00D06FBC" w:rsidP="00D06FBC">
      <w:pPr>
        <w:spacing w:after="0" w:line="240" w:lineRule="auto"/>
        <w:rPr>
          <w:rFonts w:cstheme="minorHAnsi"/>
          <w:b/>
          <w:bCs/>
        </w:rPr>
      </w:pPr>
    </w:p>
    <w:p w14:paraId="7842167E" w14:textId="0688D39C" w:rsidR="00D06FBC" w:rsidRPr="005D665B" w:rsidRDefault="00DC1988" w:rsidP="00D06FBC">
      <w:pPr>
        <w:spacing w:after="0" w:line="240" w:lineRule="auto"/>
        <w:rPr>
          <w:rFonts w:cstheme="minorHAnsi"/>
          <w:b/>
          <w:bCs/>
        </w:rPr>
      </w:pPr>
      <w:r>
        <w:rPr>
          <w:rFonts w:cstheme="minorHAnsi"/>
          <w:b/>
          <w:bCs/>
        </w:rPr>
        <w:t>EXCLUDED SERVICES GUIDELINE 2</w:t>
      </w:r>
      <w:r w:rsidR="00D06FBC" w:rsidRPr="005D665B">
        <w:rPr>
          <w:rFonts w:cstheme="minorHAnsi"/>
          <w:b/>
          <w:bCs/>
        </w:rPr>
        <w:t>, INTERVENTIONS THAT ARE UNPROVEN, HAVE NO CLINICALLY IMPORTANT BENEFIT OR HAVE HARMS THAT OUTWEIGH BENEFITS FOR CERTAIN CONDITIONS</w:t>
      </w:r>
    </w:p>
    <w:p w14:paraId="1A65DE7B" w14:textId="77777777" w:rsidR="00D06FBC" w:rsidRPr="00682CA6" w:rsidRDefault="00D06FBC" w:rsidP="00D06FBC">
      <w:pPr>
        <w:spacing w:after="0" w:line="240" w:lineRule="auto"/>
        <w:rPr>
          <w:rFonts w:cstheme="minorHAnsi"/>
          <w:i/>
          <w:iCs/>
        </w:rPr>
      </w:pPr>
      <w:r w:rsidRPr="00682CA6">
        <w:rPr>
          <w:rFonts w:cstheme="minorHAnsi"/>
          <w:i/>
          <w:iCs/>
        </w:rPr>
        <w:t>Line 662</w:t>
      </w:r>
    </w:p>
    <w:p w14:paraId="5114CE27" w14:textId="77777777" w:rsidR="00D06FBC" w:rsidRDefault="00D06FBC" w:rsidP="00D06FBC">
      <w:pPr>
        <w:spacing w:after="0" w:line="240" w:lineRule="auto"/>
        <w:rPr>
          <w:rFonts w:cstheme="minorHAnsi"/>
        </w:rPr>
      </w:pPr>
      <w:r w:rsidRPr="005D665B">
        <w:rPr>
          <w:rFonts w:cstheme="minorHAnsi"/>
        </w:rPr>
        <w:t>The following Interventions are prioritized on Line 662 CONDITIONS FOR WHICH CERTAIN INTERVENTIONS ARE UNPROVEN, HAVE NO CLINICALLY IMPORTANT BENEFIT OR HAVE HARMS THAT OUTWEIGH BENEFITS:</w:t>
      </w:r>
    </w:p>
    <w:p w14:paraId="26359439" w14:textId="77777777" w:rsidR="00D06FBC" w:rsidRDefault="00D06FBC" w:rsidP="00D06FBC">
      <w:pPr>
        <w:spacing w:after="0" w:line="240" w:lineRule="auto"/>
        <w:rPr>
          <w:rFonts w:cstheme="minorHAnsi"/>
        </w:rPr>
      </w:pPr>
    </w:p>
    <w:tbl>
      <w:tblPr>
        <w:tblStyle w:val="TableGrid"/>
        <w:tblW w:w="0" w:type="auto"/>
        <w:tblLook w:val="04A0" w:firstRow="1" w:lastRow="0" w:firstColumn="1" w:lastColumn="0" w:noHBand="0" w:noVBand="1"/>
      </w:tblPr>
      <w:tblGrid>
        <w:gridCol w:w="1608"/>
        <w:gridCol w:w="2476"/>
        <w:gridCol w:w="2466"/>
        <w:gridCol w:w="2080"/>
      </w:tblGrid>
      <w:tr w:rsidR="00D06FBC" w:rsidRPr="001406C7" w14:paraId="1944F09C" w14:textId="77777777" w:rsidTr="009269B2">
        <w:tc>
          <w:tcPr>
            <w:tcW w:w="1705" w:type="dxa"/>
          </w:tcPr>
          <w:p w14:paraId="70841151" w14:textId="77777777" w:rsidR="00D06FBC" w:rsidRPr="001406C7" w:rsidRDefault="00D06FBC" w:rsidP="009269B2">
            <w:pPr>
              <w:rPr>
                <w:rFonts w:cstheme="minorHAnsi"/>
              </w:rPr>
            </w:pPr>
            <w:r w:rsidRPr="001406C7">
              <w:rPr>
                <w:rStyle w:val="PageNumber"/>
                <w:rFonts w:cstheme="minorHAnsi"/>
                <w:b/>
              </w:rPr>
              <w:t>Procedure Code</w:t>
            </w:r>
          </w:p>
        </w:tc>
        <w:tc>
          <w:tcPr>
            <w:tcW w:w="2610" w:type="dxa"/>
          </w:tcPr>
          <w:p w14:paraId="15993CA0" w14:textId="77777777" w:rsidR="00D06FBC" w:rsidRPr="001406C7" w:rsidRDefault="00D06FBC" w:rsidP="009269B2">
            <w:pPr>
              <w:rPr>
                <w:rFonts w:cstheme="minorHAnsi"/>
              </w:rPr>
            </w:pPr>
            <w:r w:rsidRPr="001406C7">
              <w:rPr>
                <w:rStyle w:val="PageNumber"/>
                <w:rFonts w:cstheme="minorHAnsi"/>
                <w:b/>
              </w:rPr>
              <w:t>Intervention Description</w:t>
            </w:r>
          </w:p>
        </w:tc>
        <w:tc>
          <w:tcPr>
            <w:tcW w:w="2697" w:type="dxa"/>
          </w:tcPr>
          <w:p w14:paraId="32B784B1" w14:textId="77777777" w:rsidR="00D06FBC" w:rsidRPr="001406C7" w:rsidRDefault="00D06FBC" w:rsidP="009269B2">
            <w:pPr>
              <w:rPr>
                <w:rFonts w:cstheme="minorHAnsi"/>
              </w:rPr>
            </w:pPr>
            <w:r w:rsidRPr="001406C7">
              <w:rPr>
                <w:rStyle w:val="PageNumber"/>
                <w:rFonts w:cstheme="minorHAnsi"/>
                <w:b/>
              </w:rPr>
              <w:t>Rationale</w:t>
            </w:r>
          </w:p>
        </w:tc>
        <w:tc>
          <w:tcPr>
            <w:tcW w:w="2338" w:type="dxa"/>
          </w:tcPr>
          <w:p w14:paraId="456A477A" w14:textId="77777777" w:rsidR="00D06FBC" w:rsidRPr="001406C7" w:rsidRDefault="00D06FBC" w:rsidP="009269B2">
            <w:pPr>
              <w:rPr>
                <w:rFonts w:cstheme="minorHAnsi"/>
              </w:rPr>
            </w:pPr>
            <w:r w:rsidRPr="001406C7">
              <w:rPr>
                <w:rStyle w:val="PageNumber"/>
                <w:rFonts w:cstheme="minorHAnsi"/>
                <w:b/>
              </w:rPr>
              <w:t>Last Review</w:t>
            </w:r>
          </w:p>
        </w:tc>
      </w:tr>
      <w:tr w:rsidR="00D06FBC" w:rsidRPr="00D06FBC" w14:paraId="54185B4E" w14:textId="77777777" w:rsidTr="009269B2">
        <w:tc>
          <w:tcPr>
            <w:tcW w:w="1705" w:type="dxa"/>
          </w:tcPr>
          <w:p w14:paraId="04CF499F" w14:textId="77777777" w:rsidR="00D06FBC" w:rsidRPr="00D06FBC" w:rsidRDefault="00D06FBC" w:rsidP="009269B2">
            <w:pPr>
              <w:rPr>
                <w:rFonts w:cstheme="minorHAnsi"/>
              </w:rPr>
            </w:pPr>
            <w:r w:rsidRPr="00D06FBC">
              <w:rPr>
                <w:rFonts w:cstheme="minorHAnsi"/>
              </w:rPr>
              <w:t>96000-96004</w:t>
            </w:r>
          </w:p>
        </w:tc>
        <w:tc>
          <w:tcPr>
            <w:tcW w:w="2610" w:type="dxa"/>
          </w:tcPr>
          <w:p w14:paraId="1F480E0A" w14:textId="77777777" w:rsidR="00D06FBC" w:rsidRPr="00D06FBC" w:rsidRDefault="00D06FBC" w:rsidP="009269B2">
            <w:pPr>
              <w:rPr>
                <w:rFonts w:cstheme="minorHAnsi"/>
              </w:rPr>
            </w:pPr>
            <w:r w:rsidRPr="00D06FBC">
              <w:rPr>
                <w:rFonts w:cstheme="minorHAnsi"/>
              </w:rPr>
              <w:t xml:space="preserve">Comprehensive computer-based motion analysis by video-taping and 3D kinematics </w:t>
            </w:r>
          </w:p>
          <w:p w14:paraId="3F8C1F25" w14:textId="77777777" w:rsidR="00D06FBC" w:rsidRPr="00D06FBC" w:rsidRDefault="00D06FBC" w:rsidP="009269B2">
            <w:pPr>
              <w:rPr>
                <w:rFonts w:cstheme="minorHAnsi"/>
              </w:rPr>
            </w:pPr>
            <w:r w:rsidRPr="00D06FBC">
              <w:rPr>
                <w:rFonts w:cstheme="minorHAnsi"/>
              </w:rPr>
              <w:t>Dynamic surface electromyography</w:t>
            </w:r>
          </w:p>
        </w:tc>
        <w:tc>
          <w:tcPr>
            <w:tcW w:w="2697" w:type="dxa"/>
          </w:tcPr>
          <w:p w14:paraId="7D93A5A8" w14:textId="77777777" w:rsidR="00D06FBC" w:rsidRPr="00D06FBC" w:rsidRDefault="00D06FBC" w:rsidP="009269B2">
            <w:pPr>
              <w:rPr>
                <w:rFonts w:cstheme="minorHAnsi"/>
              </w:rPr>
            </w:pPr>
            <w:r w:rsidRPr="00D06FBC">
              <w:rPr>
                <w:rFonts w:cstheme="minorHAnsi"/>
              </w:rPr>
              <w:t>Insufficient evidence of effectiveness</w:t>
            </w:r>
          </w:p>
        </w:tc>
        <w:tc>
          <w:tcPr>
            <w:tcW w:w="2338" w:type="dxa"/>
          </w:tcPr>
          <w:p w14:paraId="2447085B" w14:textId="77777777" w:rsidR="00D06FBC" w:rsidRPr="00D06FBC" w:rsidRDefault="00D06FBC" w:rsidP="009269B2">
            <w:pPr>
              <w:rPr>
                <w:rFonts w:cstheme="minorHAnsi"/>
              </w:rPr>
            </w:pPr>
            <w:r w:rsidRPr="00D06FBC">
              <w:rPr>
                <w:rFonts w:cstheme="minorHAnsi"/>
              </w:rPr>
              <w:t>March 2022</w:t>
            </w:r>
          </w:p>
        </w:tc>
      </w:tr>
    </w:tbl>
    <w:p w14:paraId="4573ADC8" w14:textId="77777777" w:rsidR="00D06FBC" w:rsidRPr="005D665B" w:rsidRDefault="00D06FBC" w:rsidP="00D06FBC">
      <w:pPr>
        <w:spacing w:after="0" w:line="240" w:lineRule="auto"/>
        <w:rPr>
          <w:rFonts w:cstheme="minorHAnsi"/>
        </w:rPr>
      </w:pPr>
    </w:p>
    <w:p w14:paraId="2FCF7C62" w14:textId="77777777" w:rsidR="00391FAC" w:rsidRPr="003A7E4E" w:rsidRDefault="00391FAC" w:rsidP="003A7E4E">
      <w:pPr>
        <w:autoSpaceDE w:val="0"/>
        <w:autoSpaceDN w:val="0"/>
        <w:adjustRightInd w:val="0"/>
        <w:spacing w:after="0" w:line="240" w:lineRule="auto"/>
        <w:rPr>
          <w:rFonts w:cstheme="minorHAnsi"/>
          <w:b/>
          <w:sz w:val="24"/>
          <w:szCs w:val="24"/>
        </w:rPr>
      </w:pPr>
    </w:p>
    <w:sectPr w:rsidR="00391FAC" w:rsidRPr="003A7E4E" w:rsidSect="00A06407">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392A1" w14:textId="77777777" w:rsidR="00A65A2A" w:rsidRDefault="00A65A2A">
      <w:r>
        <w:separator/>
      </w:r>
    </w:p>
  </w:endnote>
  <w:endnote w:type="continuationSeparator" w:id="0">
    <w:p w14:paraId="76A279BA" w14:textId="77777777" w:rsidR="00A65A2A" w:rsidRDefault="00A6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vPSA337">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94F8" w14:textId="77777777" w:rsidR="00DC1988" w:rsidRDefault="00DC1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F762" w14:textId="77777777" w:rsidR="003E2BE9" w:rsidRPr="00146B0B" w:rsidRDefault="003E2BE9" w:rsidP="009D1C62">
    <w:pPr>
      <w:pStyle w:val="Footer"/>
    </w:pPr>
    <w:r>
      <w:tab/>
    </w:r>
    <w:r w:rsidR="00D941C7">
      <w:rPr>
        <w:noProof/>
      </w:rPr>
      <w:drawing>
        <wp:inline distT="0" distB="0" distL="0" distR="0" wp14:anchorId="539E99F8" wp14:editId="0685A4ED">
          <wp:extent cx="904875" cy="3619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1950"/>
                  </a:xfrm>
                  <a:prstGeom prst="rect">
                    <a:avLst/>
                  </a:prstGeom>
                  <a:noFill/>
                  <a:ln w="9525">
                    <a:noFill/>
                    <a:miter lim="800000"/>
                    <a:headEnd/>
                    <a:tailEnd/>
                  </a:ln>
                </pic:spPr>
              </pic:pic>
            </a:graphicData>
          </a:graphic>
        </wp:inline>
      </w:drawing>
    </w:r>
    <w:r>
      <w:tab/>
    </w:r>
    <w:r w:rsidR="00062D99">
      <w:fldChar w:fldCharType="begin"/>
    </w:r>
    <w:r>
      <w:instrText xml:space="preserve"> PAGE  </w:instrText>
    </w:r>
    <w:r w:rsidR="00062D99">
      <w:fldChar w:fldCharType="separate"/>
    </w:r>
    <w:r w:rsidR="001135E2">
      <w:rPr>
        <w:noProof/>
      </w:rPr>
      <w:t>1</w:t>
    </w:r>
    <w:r w:rsidR="00062D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4C2E6" w14:textId="77777777" w:rsidR="00DC1988" w:rsidRDefault="00DC1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BA0E7" w14:textId="77777777" w:rsidR="00A65A2A" w:rsidRDefault="00A65A2A">
      <w:r>
        <w:separator/>
      </w:r>
    </w:p>
  </w:footnote>
  <w:footnote w:type="continuationSeparator" w:id="0">
    <w:p w14:paraId="40FBCA96" w14:textId="77777777" w:rsidR="00A65A2A" w:rsidRDefault="00A6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FB88" w14:textId="77777777" w:rsidR="00DC1988" w:rsidRDefault="00DC1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E517" w14:textId="77777777" w:rsidR="00F11304" w:rsidRPr="00D17DC1" w:rsidRDefault="00BF2C88" w:rsidP="00D17DC1">
    <w:pPr>
      <w:jc w:val="center"/>
      <w:rPr>
        <w:b/>
        <w:noProof/>
        <w:sz w:val="28"/>
        <w:szCs w:val="28"/>
      </w:rPr>
    </w:pPr>
    <w:r w:rsidRPr="00D17DC1">
      <w:rPr>
        <w:b/>
        <w:noProof/>
        <w:sz w:val="28"/>
        <w:szCs w:val="28"/>
      </w:rPr>
      <w:t>Oregon Health Plan Prioritized List</w:t>
    </w:r>
  </w:p>
  <w:p w14:paraId="02229F4A" w14:textId="5F069B65" w:rsidR="00D17DC1" w:rsidRPr="00876447" w:rsidRDefault="00DC1988" w:rsidP="00D32460">
    <w:pPr>
      <w:jc w:val="center"/>
      <w:rPr>
        <w:rFonts w:asciiTheme="majorHAnsi" w:hAnsiTheme="majorHAnsi" w:cstheme="majorHAnsi"/>
        <w:b/>
      </w:rPr>
    </w:pPr>
    <w:r>
      <w:rPr>
        <w:b/>
        <w:noProof/>
        <w:sz w:val="28"/>
        <w:szCs w:val="28"/>
      </w:rPr>
      <w:t>Excluded Services Guideline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D174" w14:textId="77777777" w:rsidR="00DC1988" w:rsidRDefault="00DC1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367"/>
    <w:multiLevelType w:val="hybridMultilevel"/>
    <w:tmpl w:val="B8AAFF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6691E"/>
    <w:multiLevelType w:val="hybridMultilevel"/>
    <w:tmpl w:val="E5BA990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C1B5F"/>
    <w:multiLevelType w:val="hybridMultilevel"/>
    <w:tmpl w:val="6A522DB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83150"/>
    <w:multiLevelType w:val="hybridMultilevel"/>
    <w:tmpl w:val="09567BF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75061"/>
    <w:multiLevelType w:val="hybridMultilevel"/>
    <w:tmpl w:val="AD0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F6EAE"/>
    <w:multiLevelType w:val="hybridMultilevel"/>
    <w:tmpl w:val="C90EAE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623FF"/>
    <w:multiLevelType w:val="hybridMultilevel"/>
    <w:tmpl w:val="9B8CE428"/>
    <w:lvl w:ilvl="0" w:tplc="0409001B">
      <w:start w:val="1"/>
      <w:numFmt w:val="lowerRoman"/>
      <w:lvlText w:val="%1."/>
      <w:lvlJc w:val="right"/>
      <w:pPr>
        <w:ind w:left="1800" w:hanging="360"/>
      </w:pPr>
    </w:lvl>
    <w:lvl w:ilvl="1" w:tplc="0409000F">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31105EF3"/>
    <w:multiLevelType w:val="hybridMultilevel"/>
    <w:tmpl w:val="A3D4751C"/>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BD6E36"/>
    <w:multiLevelType w:val="hybridMultilevel"/>
    <w:tmpl w:val="99C46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906481"/>
    <w:multiLevelType w:val="hybridMultilevel"/>
    <w:tmpl w:val="035C359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76619"/>
    <w:multiLevelType w:val="hybridMultilevel"/>
    <w:tmpl w:val="9DDEC7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517F0"/>
    <w:multiLevelType w:val="hybridMultilevel"/>
    <w:tmpl w:val="1DFC8D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D143F"/>
    <w:multiLevelType w:val="hybridMultilevel"/>
    <w:tmpl w:val="4D9AA0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390B1B"/>
    <w:multiLevelType w:val="hybridMultilevel"/>
    <w:tmpl w:val="019635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53508DD"/>
    <w:multiLevelType w:val="hybridMultilevel"/>
    <w:tmpl w:val="742E95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7E4C0D"/>
    <w:multiLevelType w:val="hybridMultilevel"/>
    <w:tmpl w:val="61CAEA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51291"/>
    <w:multiLevelType w:val="hybridMultilevel"/>
    <w:tmpl w:val="37FC39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C4F1BB8"/>
    <w:multiLevelType w:val="hybridMultilevel"/>
    <w:tmpl w:val="02E427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767D6E"/>
    <w:multiLevelType w:val="hybridMultilevel"/>
    <w:tmpl w:val="76169C5C"/>
    <w:lvl w:ilvl="0" w:tplc="3AC878F4">
      <w:start w:val="1"/>
      <w:numFmt w:val="decimal"/>
      <w:lvlText w:val="%1)"/>
      <w:lvlJc w:val="left"/>
      <w:pPr>
        <w:ind w:left="720" w:hanging="360"/>
      </w:pPr>
      <w:rPr>
        <w:rFonts w:asciiTheme="minorHAnsi" w:hAnsiTheme="minorHAnsi" w:cs="AdvPSA337" w:hint="default"/>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86A6607"/>
    <w:multiLevelType w:val="hybridMultilevel"/>
    <w:tmpl w:val="9D9028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96D4562"/>
    <w:multiLevelType w:val="hybridMultilevel"/>
    <w:tmpl w:val="C83647C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03A3AB8"/>
    <w:multiLevelType w:val="hybridMultilevel"/>
    <w:tmpl w:val="F580F034"/>
    <w:lvl w:ilvl="0" w:tplc="507CF53E">
      <w:start w:val="1"/>
      <w:numFmt w:val="decimal"/>
      <w:lvlText w:val="%1)"/>
      <w:lvlJc w:val="left"/>
      <w:pPr>
        <w:tabs>
          <w:tab w:val="num" w:pos="720"/>
        </w:tabs>
        <w:ind w:left="720" w:hanging="360"/>
      </w:pPr>
      <w:rPr>
        <w:rFonts w:ascii="Arial" w:hAnsi="Arial" w:cs="Arial" w:hint="default"/>
        <w:color w:val="00008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08576CA"/>
    <w:multiLevelType w:val="hybridMultilevel"/>
    <w:tmpl w:val="AB100F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4B05897"/>
    <w:multiLevelType w:val="hybridMultilevel"/>
    <w:tmpl w:val="02E671A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F33F66"/>
    <w:multiLevelType w:val="hybridMultilevel"/>
    <w:tmpl w:val="E7C2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5D08EA"/>
    <w:multiLevelType w:val="hybridMultilevel"/>
    <w:tmpl w:val="E32CD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DB3760"/>
    <w:multiLevelType w:val="hybridMultilevel"/>
    <w:tmpl w:val="EB06F538"/>
    <w:lvl w:ilvl="0" w:tplc="54C46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2F382D"/>
    <w:multiLevelType w:val="hybridMultilevel"/>
    <w:tmpl w:val="F844EB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B4D15"/>
    <w:multiLevelType w:val="hybridMultilevel"/>
    <w:tmpl w:val="87D0E0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05077529">
    <w:abstractNumId w:val="21"/>
  </w:num>
  <w:num w:numId="2" w16cid:durableId="1758095265">
    <w:abstractNumId w:val="4"/>
  </w:num>
  <w:num w:numId="3" w16cid:durableId="1913851786">
    <w:abstractNumId w:val="20"/>
  </w:num>
  <w:num w:numId="4" w16cid:durableId="20769761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5227499">
    <w:abstractNumId w:val="14"/>
  </w:num>
  <w:num w:numId="6" w16cid:durableId="1027027163">
    <w:abstractNumId w:val="26"/>
  </w:num>
  <w:num w:numId="7" w16cid:durableId="6885328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23420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6714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26380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5474902">
    <w:abstractNumId w:val="10"/>
  </w:num>
  <w:num w:numId="12" w16cid:durableId="8774260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8911962">
    <w:abstractNumId w:val="6"/>
  </w:num>
  <w:num w:numId="14" w16cid:durableId="1652558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1800708">
    <w:abstractNumId w:val="6"/>
  </w:num>
  <w:num w:numId="16" w16cid:durableId="820000240">
    <w:abstractNumId w:val="8"/>
  </w:num>
  <w:num w:numId="17" w16cid:durableId="13547242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99496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0949844">
    <w:abstractNumId w:val="23"/>
  </w:num>
  <w:num w:numId="20" w16cid:durableId="809782935">
    <w:abstractNumId w:val="3"/>
  </w:num>
  <w:num w:numId="21" w16cid:durableId="1277759685">
    <w:abstractNumId w:val="24"/>
  </w:num>
  <w:num w:numId="22" w16cid:durableId="1869639856">
    <w:abstractNumId w:val="2"/>
  </w:num>
  <w:num w:numId="23" w16cid:durableId="851064023">
    <w:abstractNumId w:val="9"/>
  </w:num>
  <w:num w:numId="24" w16cid:durableId="1374504116">
    <w:abstractNumId w:val="1"/>
  </w:num>
  <w:num w:numId="25" w16cid:durableId="2035882053">
    <w:abstractNumId w:val="5"/>
  </w:num>
  <w:num w:numId="26" w16cid:durableId="1021130034">
    <w:abstractNumId w:val="0"/>
  </w:num>
  <w:num w:numId="27" w16cid:durableId="137698470">
    <w:abstractNumId w:val="17"/>
  </w:num>
  <w:num w:numId="28" w16cid:durableId="207954743">
    <w:abstractNumId w:val="27"/>
  </w:num>
  <w:num w:numId="29" w16cid:durableId="1525747384">
    <w:abstractNumId w:val="11"/>
  </w:num>
  <w:num w:numId="30" w16cid:durableId="10244760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2A"/>
    <w:rsid w:val="00006375"/>
    <w:rsid w:val="000114D4"/>
    <w:rsid w:val="00034DA2"/>
    <w:rsid w:val="00036EFB"/>
    <w:rsid w:val="00062D99"/>
    <w:rsid w:val="000938C4"/>
    <w:rsid w:val="000A5877"/>
    <w:rsid w:val="000E3E50"/>
    <w:rsid w:val="000E4EE6"/>
    <w:rsid w:val="00112E35"/>
    <w:rsid w:val="001135E2"/>
    <w:rsid w:val="00125B69"/>
    <w:rsid w:val="00137A3A"/>
    <w:rsid w:val="00146B0B"/>
    <w:rsid w:val="00161173"/>
    <w:rsid w:val="00174B84"/>
    <w:rsid w:val="00183961"/>
    <w:rsid w:val="001C1AC2"/>
    <w:rsid w:val="001E6492"/>
    <w:rsid w:val="001F2924"/>
    <w:rsid w:val="00211F7E"/>
    <w:rsid w:val="00241DFF"/>
    <w:rsid w:val="002567C3"/>
    <w:rsid w:val="002757D6"/>
    <w:rsid w:val="00286D7A"/>
    <w:rsid w:val="002C7FB2"/>
    <w:rsid w:val="002D4047"/>
    <w:rsid w:val="002E7B3E"/>
    <w:rsid w:val="002F4236"/>
    <w:rsid w:val="00313C24"/>
    <w:rsid w:val="00331577"/>
    <w:rsid w:val="00354F39"/>
    <w:rsid w:val="00362566"/>
    <w:rsid w:val="00381686"/>
    <w:rsid w:val="00391FAC"/>
    <w:rsid w:val="003A7E4E"/>
    <w:rsid w:val="003B3891"/>
    <w:rsid w:val="003B473D"/>
    <w:rsid w:val="003C402A"/>
    <w:rsid w:val="003E2BE9"/>
    <w:rsid w:val="003E3BC4"/>
    <w:rsid w:val="00424A46"/>
    <w:rsid w:val="00436596"/>
    <w:rsid w:val="00441A01"/>
    <w:rsid w:val="004571AF"/>
    <w:rsid w:val="004C739A"/>
    <w:rsid w:val="004D5309"/>
    <w:rsid w:val="004F3B62"/>
    <w:rsid w:val="004F5E4A"/>
    <w:rsid w:val="004F6524"/>
    <w:rsid w:val="00522960"/>
    <w:rsid w:val="0053244B"/>
    <w:rsid w:val="005359C7"/>
    <w:rsid w:val="0056337E"/>
    <w:rsid w:val="005A1767"/>
    <w:rsid w:val="005A1EEE"/>
    <w:rsid w:val="005B71A4"/>
    <w:rsid w:val="005D2CB4"/>
    <w:rsid w:val="005D7BF0"/>
    <w:rsid w:val="005F2AED"/>
    <w:rsid w:val="00605342"/>
    <w:rsid w:val="00660992"/>
    <w:rsid w:val="00681398"/>
    <w:rsid w:val="006943D6"/>
    <w:rsid w:val="006A5420"/>
    <w:rsid w:val="006C453D"/>
    <w:rsid w:val="006E21CB"/>
    <w:rsid w:val="00704160"/>
    <w:rsid w:val="00714D9B"/>
    <w:rsid w:val="00722829"/>
    <w:rsid w:val="0074542B"/>
    <w:rsid w:val="00752E2C"/>
    <w:rsid w:val="007574E8"/>
    <w:rsid w:val="00795889"/>
    <w:rsid w:val="00796202"/>
    <w:rsid w:val="007A65AA"/>
    <w:rsid w:val="007C1729"/>
    <w:rsid w:val="007C2859"/>
    <w:rsid w:val="007E68A1"/>
    <w:rsid w:val="00803C6B"/>
    <w:rsid w:val="0084178D"/>
    <w:rsid w:val="00844609"/>
    <w:rsid w:val="00845277"/>
    <w:rsid w:val="00866B12"/>
    <w:rsid w:val="008746C3"/>
    <w:rsid w:val="00876447"/>
    <w:rsid w:val="0089584D"/>
    <w:rsid w:val="008A0C70"/>
    <w:rsid w:val="008C4AA4"/>
    <w:rsid w:val="008D4987"/>
    <w:rsid w:val="00941AE1"/>
    <w:rsid w:val="009532AE"/>
    <w:rsid w:val="009604F0"/>
    <w:rsid w:val="009671B1"/>
    <w:rsid w:val="00976107"/>
    <w:rsid w:val="00985891"/>
    <w:rsid w:val="00994D5A"/>
    <w:rsid w:val="009D1C62"/>
    <w:rsid w:val="009E3767"/>
    <w:rsid w:val="009F2B34"/>
    <w:rsid w:val="00A06407"/>
    <w:rsid w:val="00A0644D"/>
    <w:rsid w:val="00A45839"/>
    <w:rsid w:val="00A65A2A"/>
    <w:rsid w:val="00A700F8"/>
    <w:rsid w:val="00AF1D55"/>
    <w:rsid w:val="00B26A1F"/>
    <w:rsid w:val="00B27B21"/>
    <w:rsid w:val="00B3781D"/>
    <w:rsid w:val="00B82B0C"/>
    <w:rsid w:val="00BB14B5"/>
    <w:rsid w:val="00BB5801"/>
    <w:rsid w:val="00BF2C88"/>
    <w:rsid w:val="00C16DF6"/>
    <w:rsid w:val="00C218BD"/>
    <w:rsid w:val="00C2263B"/>
    <w:rsid w:val="00C241EE"/>
    <w:rsid w:val="00C4079A"/>
    <w:rsid w:val="00C51C06"/>
    <w:rsid w:val="00C81805"/>
    <w:rsid w:val="00C92D56"/>
    <w:rsid w:val="00CC1C99"/>
    <w:rsid w:val="00CD746B"/>
    <w:rsid w:val="00CF4DA2"/>
    <w:rsid w:val="00D06FBC"/>
    <w:rsid w:val="00D17DC1"/>
    <w:rsid w:val="00D32460"/>
    <w:rsid w:val="00D34794"/>
    <w:rsid w:val="00D66FCA"/>
    <w:rsid w:val="00D941C7"/>
    <w:rsid w:val="00DC1988"/>
    <w:rsid w:val="00DC1ECE"/>
    <w:rsid w:val="00E25B1C"/>
    <w:rsid w:val="00E564BE"/>
    <w:rsid w:val="00EC3B5C"/>
    <w:rsid w:val="00F11304"/>
    <w:rsid w:val="00F24C6A"/>
    <w:rsid w:val="00F67650"/>
    <w:rsid w:val="00F95C19"/>
    <w:rsid w:val="00FA3367"/>
    <w:rsid w:val="00FB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47F54208"/>
  <w15:docId w15:val="{26359DDD-593A-40CF-8D0E-1B2677AA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367"/>
    <w:pPr>
      <w:spacing w:after="200" w:line="276" w:lineRule="auto"/>
    </w:pPr>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25B1C"/>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B5801"/>
    <w:pPr>
      <w:tabs>
        <w:tab w:val="center" w:pos="4320"/>
        <w:tab w:val="right" w:pos="8640"/>
      </w:tabs>
      <w:spacing w:after="0" w:line="240" w:lineRule="auto"/>
    </w:pPr>
    <w:rPr>
      <w:rFonts w:eastAsia="Times New Roman" w:cs="Times New Roman"/>
    </w:rPr>
  </w:style>
  <w:style w:type="character" w:customStyle="1" w:styleId="HeaderChar">
    <w:name w:val="Header Char"/>
    <w:basedOn w:val="DefaultParagraphFont"/>
    <w:link w:val="Header"/>
    <w:uiPriority w:val="99"/>
    <w:semiHidden/>
    <w:locked/>
    <w:rsid w:val="00062D99"/>
    <w:rPr>
      <w:rFonts w:ascii="Calibri" w:hAnsi="Calibri"/>
    </w:rPr>
  </w:style>
  <w:style w:type="paragraph" w:styleId="Footer">
    <w:name w:val="footer"/>
    <w:basedOn w:val="Normal"/>
    <w:link w:val="FooterChar"/>
    <w:uiPriority w:val="99"/>
    <w:rsid w:val="00BB5801"/>
    <w:pPr>
      <w:tabs>
        <w:tab w:val="center" w:pos="4320"/>
        <w:tab w:val="right" w:pos="8640"/>
      </w:tabs>
      <w:spacing w:after="0" w:line="240" w:lineRule="auto"/>
    </w:pPr>
    <w:rPr>
      <w:rFonts w:eastAsia="Times New Roman" w:cs="Times New Roman"/>
    </w:rPr>
  </w:style>
  <w:style w:type="character" w:customStyle="1" w:styleId="FooterChar">
    <w:name w:val="Footer Char"/>
    <w:basedOn w:val="DefaultParagraphFont"/>
    <w:link w:val="Footer"/>
    <w:uiPriority w:val="99"/>
    <w:locked/>
    <w:rsid w:val="006C453D"/>
    <w:rPr>
      <w:rFonts w:ascii="Calibri" w:hAnsi="Calibri"/>
      <w:sz w:val="22"/>
    </w:rPr>
  </w:style>
  <w:style w:type="character" w:styleId="PageNumber">
    <w:name w:val="page number"/>
    <w:basedOn w:val="DefaultParagraphFont"/>
    <w:rsid w:val="00BB5801"/>
    <w:rPr>
      <w:rFonts w:cs="Times New Roman"/>
    </w:rPr>
  </w:style>
  <w:style w:type="paragraph" w:styleId="ListParagraph">
    <w:name w:val="List Paragraph"/>
    <w:basedOn w:val="Normal"/>
    <w:uiPriority w:val="34"/>
    <w:qFormat/>
    <w:rsid w:val="001E6492"/>
    <w:pPr>
      <w:ind w:left="720"/>
      <w:contextualSpacing/>
    </w:pPr>
    <w:rPr>
      <w:rFonts w:eastAsia="Times New Roman" w:cs="Times New Roman"/>
    </w:rPr>
  </w:style>
  <w:style w:type="paragraph" w:styleId="BalloonText">
    <w:name w:val="Balloon Text"/>
    <w:basedOn w:val="Normal"/>
    <w:link w:val="BalloonTextChar"/>
    <w:uiPriority w:val="99"/>
    <w:rsid w:val="006C453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6C453D"/>
    <w:rPr>
      <w:rFonts w:ascii="Tahoma" w:hAnsi="Tahoma"/>
      <w:sz w:val="16"/>
    </w:rPr>
  </w:style>
  <w:style w:type="paragraph" w:styleId="NormalWeb">
    <w:name w:val="Normal (Web)"/>
    <w:basedOn w:val="Normal"/>
    <w:uiPriority w:val="99"/>
    <w:semiHidden/>
    <w:unhideWhenUsed/>
    <w:rsid w:val="00C16DF6"/>
    <w:pPr>
      <w:spacing w:before="100" w:beforeAutospacing="1" w:after="100" w:afterAutospacing="1" w:line="240" w:lineRule="auto"/>
    </w:pPr>
    <w:rPr>
      <w:rFonts w:ascii="Times New Roman" w:hAnsi="Times New Roman" w:cs="Times New Roman"/>
      <w:sz w:val="24"/>
      <w:szCs w:val="24"/>
    </w:rPr>
  </w:style>
  <w:style w:type="character" w:customStyle="1" w:styleId="CGBoxTextChar">
    <w:name w:val="CG Box Text Char"/>
    <w:basedOn w:val="DefaultParagraphFont"/>
    <w:link w:val="CGBoxText"/>
    <w:locked/>
    <w:rsid w:val="00C16DF6"/>
    <w:rPr>
      <w:rFonts w:ascii="Arial" w:hAnsi="Arial" w:cs="Arial"/>
      <w:color w:val="002060"/>
      <w:szCs w:val="24"/>
    </w:rPr>
  </w:style>
  <w:style w:type="paragraph" w:customStyle="1" w:styleId="CGBoxText">
    <w:name w:val="CG Box Text"/>
    <w:link w:val="CGBoxTextChar"/>
    <w:qFormat/>
    <w:rsid w:val="00C16DF6"/>
    <w:pPr>
      <w:spacing w:after="200"/>
    </w:pPr>
    <w:rPr>
      <w:rFonts w:ascii="Arial" w:hAnsi="Arial" w:cs="Arial"/>
      <w:color w:val="002060"/>
      <w:szCs w:val="24"/>
    </w:rPr>
  </w:style>
  <w:style w:type="character" w:styleId="Hyperlink">
    <w:name w:val="Hyperlink"/>
    <w:basedOn w:val="DefaultParagraphFont"/>
    <w:uiPriority w:val="99"/>
    <w:semiHidden/>
    <w:unhideWhenUsed/>
    <w:rsid w:val="00DC1ECE"/>
    <w:rPr>
      <w:strike w:val="0"/>
      <w:dstrike w:val="0"/>
      <w:color w:val="0000FF"/>
      <w:u w:val="none"/>
      <w:effect w:val="none"/>
    </w:rPr>
  </w:style>
  <w:style w:type="character" w:styleId="Strong">
    <w:name w:val="Strong"/>
    <w:basedOn w:val="DefaultParagraphFont"/>
    <w:uiPriority w:val="22"/>
    <w:qFormat/>
    <w:locked/>
    <w:rsid w:val="000938C4"/>
    <w:rPr>
      <w:b/>
      <w:bCs/>
    </w:rPr>
  </w:style>
  <w:style w:type="table" w:styleId="TableGrid">
    <w:name w:val="Table Grid"/>
    <w:basedOn w:val="TableNormal"/>
    <w:uiPriority w:val="39"/>
    <w:locked/>
    <w:rsid w:val="004F5E4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7754">
      <w:bodyDiv w:val="1"/>
      <w:marLeft w:val="0"/>
      <w:marRight w:val="0"/>
      <w:marTop w:val="0"/>
      <w:marBottom w:val="0"/>
      <w:divBdr>
        <w:top w:val="none" w:sz="0" w:space="0" w:color="auto"/>
        <w:left w:val="none" w:sz="0" w:space="0" w:color="auto"/>
        <w:bottom w:val="none" w:sz="0" w:space="0" w:color="auto"/>
        <w:right w:val="none" w:sz="0" w:space="0" w:color="auto"/>
      </w:divBdr>
    </w:div>
    <w:div w:id="290478740">
      <w:bodyDiv w:val="1"/>
      <w:marLeft w:val="0"/>
      <w:marRight w:val="0"/>
      <w:marTop w:val="0"/>
      <w:marBottom w:val="0"/>
      <w:divBdr>
        <w:top w:val="none" w:sz="0" w:space="0" w:color="auto"/>
        <w:left w:val="none" w:sz="0" w:space="0" w:color="auto"/>
        <w:bottom w:val="none" w:sz="0" w:space="0" w:color="auto"/>
        <w:right w:val="none" w:sz="0" w:space="0" w:color="auto"/>
      </w:divBdr>
    </w:div>
    <w:div w:id="424694709">
      <w:bodyDiv w:val="1"/>
      <w:marLeft w:val="0"/>
      <w:marRight w:val="0"/>
      <w:marTop w:val="0"/>
      <w:marBottom w:val="0"/>
      <w:divBdr>
        <w:top w:val="none" w:sz="0" w:space="0" w:color="auto"/>
        <w:left w:val="none" w:sz="0" w:space="0" w:color="auto"/>
        <w:bottom w:val="none" w:sz="0" w:space="0" w:color="auto"/>
        <w:right w:val="none" w:sz="0" w:space="0" w:color="auto"/>
      </w:divBdr>
    </w:div>
    <w:div w:id="472601986">
      <w:bodyDiv w:val="1"/>
      <w:marLeft w:val="0"/>
      <w:marRight w:val="0"/>
      <w:marTop w:val="0"/>
      <w:marBottom w:val="0"/>
      <w:divBdr>
        <w:top w:val="none" w:sz="0" w:space="0" w:color="auto"/>
        <w:left w:val="none" w:sz="0" w:space="0" w:color="auto"/>
        <w:bottom w:val="none" w:sz="0" w:space="0" w:color="auto"/>
        <w:right w:val="none" w:sz="0" w:space="0" w:color="auto"/>
      </w:divBdr>
    </w:div>
    <w:div w:id="768354473">
      <w:bodyDiv w:val="1"/>
      <w:marLeft w:val="0"/>
      <w:marRight w:val="0"/>
      <w:marTop w:val="0"/>
      <w:marBottom w:val="0"/>
      <w:divBdr>
        <w:top w:val="none" w:sz="0" w:space="0" w:color="auto"/>
        <w:left w:val="none" w:sz="0" w:space="0" w:color="auto"/>
        <w:bottom w:val="none" w:sz="0" w:space="0" w:color="auto"/>
        <w:right w:val="none" w:sz="0" w:space="0" w:color="auto"/>
      </w:divBdr>
    </w:div>
    <w:div w:id="953903602">
      <w:bodyDiv w:val="1"/>
      <w:marLeft w:val="0"/>
      <w:marRight w:val="0"/>
      <w:marTop w:val="0"/>
      <w:marBottom w:val="0"/>
      <w:divBdr>
        <w:top w:val="none" w:sz="0" w:space="0" w:color="auto"/>
        <w:left w:val="none" w:sz="0" w:space="0" w:color="auto"/>
        <w:bottom w:val="none" w:sz="0" w:space="0" w:color="auto"/>
        <w:right w:val="none" w:sz="0" w:space="0" w:color="auto"/>
      </w:divBdr>
    </w:div>
    <w:div w:id="1656372615">
      <w:bodyDiv w:val="1"/>
      <w:marLeft w:val="0"/>
      <w:marRight w:val="0"/>
      <w:marTop w:val="0"/>
      <w:marBottom w:val="0"/>
      <w:divBdr>
        <w:top w:val="none" w:sz="0" w:space="0" w:color="auto"/>
        <w:left w:val="none" w:sz="0" w:space="0" w:color="auto"/>
        <w:bottom w:val="none" w:sz="0" w:space="0" w:color="auto"/>
        <w:right w:val="none" w:sz="0" w:space="0" w:color="auto"/>
      </w:divBdr>
    </w:div>
    <w:div w:id="2001037107">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195137\AppData\Local\Microsoft\Windows\Temporary%20Internet%20Files\Content.MSO\150B0EB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Props1.xml><?xml version="1.0" encoding="utf-8"?>
<ds:datastoreItem xmlns:ds="http://schemas.openxmlformats.org/officeDocument/2006/customXml" ds:itemID="{6ADAD603-D203-4989-ADBC-8B79E2074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02aa3302-3726-4429-bc74-2da0b757c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0D509-DD36-4796-9DEF-F4F46699C468}">
  <ds:schemaRefs>
    <ds:schemaRef ds:uri="http://schemas.microsoft.com/sharepoint/v3/contenttype/forms"/>
  </ds:schemaRefs>
</ds:datastoreItem>
</file>

<file path=customXml/itemProps3.xml><?xml version="1.0" encoding="utf-8"?>
<ds:datastoreItem xmlns:ds="http://schemas.openxmlformats.org/officeDocument/2006/customXml" ds:itemID="{9E0DCFC2-BA29-4EC1-B974-50A70DF54C1E}">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microsoft.com/sharepoint/v4"/>
    <ds:schemaRef ds:uri="http://schemas.openxmlformats.org/package/2006/metadata/core-properties"/>
    <ds:schemaRef ds:uri="http://schemas.microsoft.com/sharepoint/v3"/>
    <ds:schemaRef ds:uri="http://www.w3.org/XML/1998/namespace"/>
    <ds:schemaRef ds:uri="59da1016-2a1b-4f8a-9768-d7a4932f6f16"/>
    <ds:schemaRef ds:uri="02aa3302-3726-4429-bc74-2da0b757c478"/>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150B0EBB.dotx</Template>
  <TotalTime>0</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 Gingerich</dc:creator>
  <cp:lastModifiedBy>Jason Gingerich</cp:lastModifiedBy>
  <cp:revision>2</cp:revision>
  <dcterms:created xsi:type="dcterms:W3CDTF">2025-07-03T22:54:00Z</dcterms:created>
  <dcterms:modified xsi:type="dcterms:W3CDTF">2025-07-03T22:54:00Z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ies>
</file>