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D8D5" w14:textId="77777777" w:rsidR="009C14BA" w:rsidRDefault="009C14BA" w:rsidP="00DC1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Editor's note: On 1/1/2025, Guideline Notes 172 and 173 were replaced with Excluded Services Guidelines 1 and 2, which serve the same functions. References to Guidelines 172-173 can be treated interchangeably with Excluded Services Guidelines E1-E2 unless HERC has revised its decision since the original approval.</w:t>
      </w:r>
    </w:p>
    <w:p w14:paraId="70C223DF" w14:textId="77777777" w:rsidR="009C14BA" w:rsidRDefault="009C14BA" w:rsidP="00DC1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6320B4A5" w14:textId="1AEC27DE" w:rsidR="000938C4" w:rsidRDefault="004855C0" w:rsidP="00DC1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4855C0">
        <w:rPr>
          <w:rFonts w:cstheme="minorHAnsi"/>
          <w:b/>
          <w:sz w:val="24"/>
          <w:szCs w:val="24"/>
        </w:rPr>
        <w:t xml:space="preserve">C9757 </w:t>
      </w:r>
      <w:r w:rsidR="00724B04">
        <w:rPr>
          <w:rFonts w:cstheme="minorHAnsi"/>
          <w:b/>
          <w:sz w:val="24"/>
          <w:szCs w:val="24"/>
        </w:rPr>
        <w:t xml:space="preserve">code </w:t>
      </w:r>
      <w:r w:rsidRPr="004855C0">
        <w:rPr>
          <w:rFonts w:cstheme="minorHAnsi"/>
          <w:b/>
          <w:sz w:val="24"/>
          <w:szCs w:val="24"/>
        </w:rPr>
        <w:t>Laminotomy with repair of annular defect with implantation of bone anchored annular closure device</w:t>
      </w:r>
    </w:p>
    <w:p w14:paraId="78BF0F9B" w14:textId="77777777" w:rsidR="004855C0" w:rsidRPr="003A7E4E" w:rsidRDefault="004855C0" w:rsidP="00DC1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14:paraId="54C69C34" w14:textId="77777777" w:rsidR="00DC1ECE" w:rsidRDefault="003A7E4E" w:rsidP="003A7E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A7E4E">
        <w:rPr>
          <w:rFonts w:cstheme="minorHAnsi"/>
          <w:b/>
          <w:bCs/>
          <w:sz w:val="24"/>
          <w:szCs w:val="24"/>
        </w:rPr>
        <w:t xml:space="preserve">Last reviewed at VbBS in </w:t>
      </w:r>
      <w:r w:rsidR="00B06C96">
        <w:rPr>
          <w:rFonts w:cstheme="minorHAnsi"/>
          <w:b/>
          <w:bCs/>
          <w:sz w:val="24"/>
          <w:szCs w:val="24"/>
        </w:rPr>
        <w:t>November</w:t>
      </w:r>
      <w:r w:rsidR="001135E2">
        <w:rPr>
          <w:rFonts w:cstheme="minorHAnsi"/>
          <w:b/>
          <w:bCs/>
          <w:sz w:val="24"/>
          <w:szCs w:val="24"/>
        </w:rPr>
        <w:t xml:space="preserve"> </w:t>
      </w:r>
      <w:r w:rsidR="00660992">
        <w:rPr>
          <w:rFonts w:cstheme="minorHAnsi"/>
          <w:b/>
          <w:bCs/>
          <w:sz w:val="24"/>
          <w:szCs w:val="24"/>
        </w:rPr>
        <w:t>201</w:t>
      </w:r>
      <w:r w:rsidR="00B06C96">
        <w:rPr>
          <w:rFonts w:cstheme="minorHAnsi"/>
          <w:b/>
          <w:bCs/>
          <w:sz w:val="24"/>
          <w:szCs w:val="24"/>
        </w:rPr>
        <w:t>9</w:t>
      </w:r>
      <w:r w:rsidRPr="003A7E4E">
        <w:rPr>
          <w:rFonts w:cstheme="minorHAnsi"/>
          <w:b/>
          <w:bCs/>
          <w:sz w:val="24"/>
          <w:szCs w:val="24"/>
        </w:rPr>
        <w:t xml:space="preserve">. Minutes indicate </w:t>
      </w:r>
      <w:r w:rsidR="000938C4">
        <w:rPr>
          <w:rFonts w:cstheme="minorHAnsi"/>
          <w:b/>
          <w:bCs/>
          <w:sz w:val="24"/>
          <w:szCs w:val="24"/>
        </w:rPr>
        <w:t>that the staff recommendation was accepted without significant discussion.</w:t>
      </w:r>
      <w:r w:rsidR="003C402A">
        <w:rPr>
          <w:rFonts w:cstheme="minorHAnsi"/>
          <w:b/>
          <w:bCs/>
          <w:sz w:val="24"/>
          <w:szCs w:val="24"/>
        </w:rPr>
        <w:t xml:space="preserve"> HERC approved the recommendations without change. </w:t>
      </w:r>
    </w:p>
    <w:p w14:paraId="62634A22" w14:textId="77777777" w:rsidR="00067F0C" w:rsidRDefault="00067F0C" w:rsidP="003A7E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61FF2FD" w14:textId="77777777" w:rsidR="003C1544" w:rsidRPr="008156C9" w:rsidRDefault="003C1544" w:rsidP="003C1544">
      <w:pPr>
        <w:pStyle w:val="ListParagraph"/>
        <w:numPr>
          <w:ilvl w:val="0"/>
          <w:numId w:val="27"/>
        </w:numPr>
        <w:spacing w:after="160" w:line="259" w:lineRule="auto"/>
        <w:rPr>
          <w:rFonts w:cstheme="minorHAnsi"/>
        </w:rPr>
      </w:pPr>
      <w:r w:rsidRPr="008156C9">
        <w:rPr>
          <w:rFonts w:cstheme="minorHAnsi"/>
        </w:rPr>
        <w:t>Annular closure devices</w:t>
      </w:r>
      <w:r w:rsidR="00C73CD4">
        <w:rPr>
          <w:rFonts w:cstheme="minorHAnsi"/>
        </w:rPr>
        <w:t>:</w:t>
      </w:r>
    </w:p>
    <w:p w14:paraId="62B99851" w14:textId="77777777" w:rsidR="003C1544" w:rsidRPr="008156C9" w:rsidRDefault="003C1544" w:rsidP="003C1544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</w:rPr>
      </w:pPr>
      <w:r w:rsidRPr="008156C9">
        <w:rPr>
          <w:rFonts w:cstheme="minorHAnsi"/>
        </w:rPr>
        <w:t xml:space="preserve">HCPCS </w:t>
      </w:r>
      <w:r w:rsidRPr="008156C9">
        <w:rPr>
          <w:rFonts w:cstheme="minorHAnsi"/>
          <w:b/>
          <w:bCs/>
        </w:rPr>
        <w:t>C9757</w:t>
      </w:r>
      <w:r w:rsidRPr="008156C9">
        <w:rPr>
          <w:rFonts w:cstheme="minorHAnsi"/>
        </w:rPr>
        <w:t xml:space="preserve"> Laminotomy (hemilaminectomy), with decompression of nerve root(s), including partial facetectomy, foraminotomy and excision of herniated intervertebral disc, and repair of annular defect with implantation of bone anchored annular closure device</w:t>
      </w:r>
    </w:p>
    <w:p w14:paraId="0515556A" w14:textId="77777777" w:rsidR="003C1544" w:rsidRPr="008156C9" w:rsidRDefault="003C1544" w:rsidP="003C1544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</w:rPr>
      </w:pPr>
      <w:r w:rsidRPr="008156C9">
        <w:rPr>
          <w:rFonts w:cstheme="minorHAnsi"/>
        </w:rPr>
        <w:t>Definition: T</w:t>
      </w:r>
      <w:r w:rsidRPr="008156C9">
        <w:rPr>
          <w:rFonts w:cstheme="minorHAnsi"/>
          <w:shd w:val="clear" w:color="auto" w:fill="FFFFFF"/>
        </w:rPr>
        <w:t>he Xclose</w:t>
      </w:r>
      <w:r w:rsidRPr="008156C9">
        <w:rPr>
          <w:rFonts w:cstheme="minorHAnsi"/>
          <w:vertAlign w:val="superscript"/>
        </w:rPr>
        <w:t>TM</w:t>
      </w:r>
      <w:r w:rsidRPr="008156C9">
        <w:rPr>
          <w:rFonts w:cstheme="minorHAnsi"/>
          <w:shd w:val="clear" w:color="auto" w:fill="FFFFFF"/>
        </w:rPr>
        <w:t xml:space="preserve"> Tissue Repair System (Anulex Technologies, Inc., Minnetonka, MN) is used as a method of soft tissue re-approximation of the anulus fibrosus after a lumbar discectomy procedure.  </w:t>
      </w:r>
    </w:p>
    <w:p w14:paraId="1E7A6BE6" w14:textId="77777777" w:rsidR="003C1544" w:rsidRPr="008156C9" w:rsidRDefault="003C1544" w:rsidP="003C1544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</w:rPr>
      </w:pPr>
      <w:r w:rsidRPr="008156C9">
        <w:rPr>
          <w:rFonts w:cstheme="minorHAnsi"/>
          <w:shd w:val="clear" w:color="auto" w:fill="FFFFFF"/>
        </w:rPr>
        <w:t>Evidence</w:t>
      </w:r>
      <w:r w:rsidR="00C73CD4">
        <w:rPr>
          <w:rFonts w:cstheme="minorHAnsi"/>
          <w:shd w:val="clear" w:color="auto" w:fill="FFFFFF"/>
        </w:rPr>
        <w:t>:</w:t>
      </w:r>
    </w:p>
    <w:p w14:paraId="598A065C" w14:textId="77777777" w:rsidR="003C1544" w:rsidRPr="008156C9" w:rsidRDefault="003C1544" w:rsidP="003C1544">
      <w:pPr>
        <w:pStyle w:val="ListParagraph"/>
        <w:numPr>
          <w:ilvl w:val="2"/>
          <w:numId w:val="27"/>
        </w:numPr>
        <w:spacing w:after="160" w:line="259" w:lineRule="auto"/>
        <w:rPr>
          <w:rFonts w:cstheme="minorHAnsi"/>
        </w:rPr>
      </w:pPr>
      <w:r w:rsidRPr="008156C9">
        <w:rPr>
          <w:rFonts w:cstheme="minorHAnsi"/>
          <w:b/>
          <w:bCs/>
          <w:shd w:val="clear" w:color="auto" w:fill="FFFFFF"/>
        </w:rPr>
        <w:t>Van den Brink 2019</w:t>
      </w:r>
      <w:r w:rsidRPr="008156C9">
        <w:rPr>
          <w:rFonts w:cstheme="minorHAnsi"/>
          <w:shd w:val="clear" w:color="auto" w:fill="FFFFFF"/>
        </w:rPr>
        <w:t>, RCT of annular closure device (ACD)</w:t>
      </w:r>
    </w:p>
    <w:p w14:paraId="1F22CCEB" w14:textId="77777777" w:rsidR="003C1544" w:rsidRPr="008156C9" w:rsidRDefault="003C1544" w:rsidP="003C1544">
      <w:pPr>
        <w:pStyle w:val="ListParagraph"/>
        <w:numPr>
          <w:ilvl w:val="3"/>
          <w:numId w:val="27"/>
        </w:numPr>
        <w:spacing w:after="160" w:line="259" w:lineRule="auto"/>
        <w:rPr>
          <w:rFonts w:cstheme="minorHAnsi"/>
        </w:rPr>
      </w:pPr>
      <w:r w:rsidRPr="008156C9">
        <w:rPr>
          <w:rFonts w:cstheme="minorHAnsi"/>
          <w:shd w:val="clear" w:color="auto" w:fill="FFFFFF"/>
        </w:rPr>
        <w:t xml:space="preserve">Study sponsored by Intrinsic Therapeutics </w:t>
      </w:r>
    </w:p>
    <w:p w14:paraId="151C1084" w14:textId="77777777" w:rsidR="003C1544" w:rsidRPr="008156C9" w:rsidRDefault="003C1544" w:rsidP="003C1544">
      <w:pPr>
        <w:pStyle w:val="ListParagraph"/>
        <w:numPr>
          <w:ilvl w:val="3"/>
          <w:numId w:val="27"/>
        </w:numPr>
        <w:spacing w:after="160" w:line="259" w:lineRule="auto"/>
        <w:rPr>
          <w:rFonts w:cstheme="minorHAnsi"/>
        </w:rPr>
      </w:pPr>
      <w:r w:rsidRPr="008156C9">
        <w:rPr>
          <w:rFonts w:cstheme="minorHAnsi"/>
          <w:shd w:val="clear" w:color="auto" w:fill="FFFFFF"/>
        </w:rPr>
        <w:t>N=554 patients (N=276 ACD, N=278 control)</w:t>
      </w:r>
    </w:p>
    <w:p w14:paraId="70B253D1" w14:textId="77777777" w:rsidR="003C1544" w:rsidRPr="008156C9" w:rsidRDefault="003C1544" w:rsidP="003C1544">
      <w:pPr>
        <w:pStyle w:val="ListParagraph"/>
        <w:numPr>
          <w:ilvl w:val="3"/>
          <w:numId w:val="27"/>
        </w:numPr>
        <w:spacing w:after="160" w:line="259" w:lineRule="auto"/>
        <w:rPr>
          <w:rFonts w:cstheme="minorHAnsi"/>
        </w:rPr>
      </w:pPr>
      <w:r w:rsidRPr="008156C9">
        <w:rPr>
          <w:rFonts w:cstheme="minorHAnsi"/>
          <w:shd w:val="clear" w:color="auto" w:fill="FFFFFF"/>
        </w:rPr>
        <w:t>ACD resulted in significantly fewer symptomatic reherniation (8.45 vs 17.35) and reoperation (6.7% vs 12.9%)</w:t>
      </w:r>
    </w:p>
    <w:p w14:paraId="04467E27" w14:textId="77777777" w:rsidR="003C1544" w:rsidRPr="008156C9" w:rsidRDefault="003C1544" w:rsidP="003C1544">
      <w:pPr>
        <w:pStyle w:val="ListParagraph"/>
        <w:numPr>
          <w:ilvl w:val="3"/>
          <w:numId w:val="27"/>
        </w:numPr>
        <w:spacing w:after="160" w:line="259" w:lineRule="auto"/>
        <w:rPr>
          <w:rFonts w:cstheme="minorHAnsi"/>
        </w:rPr>
      </w:pPr>
      <w:r w:rsidRPr="008156C9">
        <w:rPr>
          <w:rFonts w:cstheme="minorHAnsi"/>
          <w:shd w:val="clear" w:color="auto" w:fill="FFFFFF"/>
        </w:rPr>
        <w:t>No significant difference in adverse events</w:t>
      </w:r>
    </w:p>
    <w:p w14:paraId="1F625026" w14:textId="77777777" w:rsidR="003C1544" w:rsidRPr="008156C9" w:rsidRDefault="003C1544" w:rsidP="003C1544">
      <w:pPr>
        <w:pStyle w:val="ListParagraph"/>
        <w:numPr>
          <w:ilvl w:val="3"/>
          <w:numId w:val="27"/>
        </w:numPr>
        <w:spacing w:after="160" w:line="259" w:lineRule="auto"/>
        <w:rPr>
          <w:rFonts w:cstheme="minorHAnsi"/>
        </w:rPr>
      </w:pPr>
      <w:r w:rsidRPr="008156C9">
        <w:rPr>
          <w:rFonts w:cstheme="minorHAnsi"/>
          <w:shd w:val="clear" w:color="auto" w:fill="FFFFFF"/>
        </w:rPr>
        <w:t>Conclusions: among patients with large annular defects following limited lumbar discectomy, additional implantation of bone anchored ACD lowered the risk of reherniation and reoperation over 1 year follow up</w:t>
      </w:r>
    </w:p>
    <w:p w14:paraId="19A97B34" w14:textId="77777777" w:rsidR="003C1544" w:rsidRPr="008156C9" w:rsidRDefault="003C1544" w:rsidP="003C1544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</w:rPr>
      </w:pPr>
      <w:r w:rsidRPr="008156C9">
        <w:rPr>
          <w:rFonts w:cstheme="minorHAnsi"/>
          <w:shd w:val="clear" w:color="auto" w:fill="FFFFFF"/>
        </w:rPr>
        <w:t>Other payer policies</w:t>
      </w:r>
      <w:r w:rsidR="00C73CD4">
        <w:rPr>
          <w:rFonts w:cstheme="minorHAnsi"/>
          <w:shd w:val="clear" w:color="auto" w:fill="FFFFFF"/>
        </w:rPr>
        <w:t>:</w:t>
      </w:r>
    </w:p>
    <w:p w14:paraId="15E8329D" w14:textId="77777777" w:rsidR="003C1544" w:rsidRPr="008156C9" w:rsidRDefault="003C1544" w:rsidP="003C1544">
      <w:pPr>
        <w:pStyle w:val="ListParagraph"/>
        <w:numPr>
          <w:ilvl w:val="2"/>
          <w:numId w:val="27"/>
        </w:numPr>
        <w:spacing w:after="160" w:line="259" w:lineRule="auto"/>
        <w:rPr>
          <w:rFonts w:cstheme="minorHAnsi"/>
        </w:rPr>
      </w:pPr>
      <w:r w:rsidRPr="008156C9">
        <w:rPr>
          <w:rFonts w:cstheme="minorHAnsi"/>
          <w:b/>
          <w:bCs/>
          <w:shd w:val="clear" w:color="auto" w:fill="FFFFFF"/>
        </w:rPr>
        <w:t>Aetna 2019</w:t>
      </w:r>
      <w:r w:rsidRPr="008156C9">
        <w:rPr>
          <w:rFonts w:cstheme="minorHAnsi"/>
          <w:shd w:val="clear" w:color="auto" w:fill="FFFFFF"/>
        </w:rPr>
        <w:t xml:space="preserve"> </w:t>
      </w:r>
    </w:p>
    <w:p w14:paraId="07EA77C5" w14:textId="77777777" w:rsidR="003C1544" w:rsidRPr="008156C9" w:rsidRDefault="003C1544" w:rsidP="003C1544">
      <w:pPr>
        <w:pStyle w:val="ListParagraph"/>
        <w:numPr>
          <w:ilvl w:val="3"/>
          <w:numId w:val="27"/>
        </w:numPr>
        <w:spacing w:after="160" w:line="259" w:lineRule="auto"/>
        <w:rPr>
          <w:rFonts w:cstheme="minorHAnsi"/>
        </w:rPr>
      </w:pPr>
      <w:r w:rsidRPr="008156C9">
        <w:rPr>
          <w:rFonts w:cstheme="minorHAnsi"/>
          <w:shd w:val="clear" w:color="auto" w:fill="FFFFFF"/>
        </w:rPr>
        <w:t>Considers annulus repair devices (Xclose Tissue Repair System, Barricaid, Disc Annular Repair Technology (DART) System) experimental</w:t>
      </w:r>
    </w:p>
    <w:p w14:paraId="49018606" w14:textId="77777777" w:rsidR="003C1544" w:rsidRPr="008156C9" w:rsidRDefault="003C1544" w:rsidP="003C1544">
      <w:pPr>
        <w:pStyle w:val="ListParagraph"/>
        <w:numPr>
          <w:ilvl w:val="3"/>
          <w:numId w:val="27"/>
        </w:numPr>
        <w:spacing w:after="160" w:line="259" w:lineRule="auto"/>
        <w:rPr>
          <w:rFonts w:cstheme="minorHAnsi"/>
        </w:rPr>
      </w:pPr>
      <w:r w:rsidRPr="008156C9">
        <w:rPr>
          <w:rFonts w:cstheme="minorHAnsi"/>
          <w:shd w:val="clear" w:color="auto" w:fill="FFFFFF"/>
        </w:rPr>
        <w:t xml:space="preserve">There is insufficient evidence of the clinical effectiveness of the Xclose Tissue Repair System following a lumbar discectomy procedure. Randomized controlled studies are needed to determine whether closing the anulus following a lumbar discectomy procedure will result in improved clinical outcomes (i.e., decrease in re-herniation rates).  To evaluate the benefits of anulus fibrosis repair utilizing the Xclose Tissue Repair system, Anulex is sponsoring a prospective, controlled, randomized study that will compare discectomy patients who receive anular repair using the Xclose Tissue Repair System to those who receive a standard discectomy without using the </w:t>
      </w:r>
      <w:r w:rsidRPr="008156C9">
        <w:rPr>
          <w:rFonts w:cstheme="minorHAnsi"/>
          <w:shd w:val="clear" w:color="auto" w:fill="FFFFFF"/>
        </w:rPr>
        <w:lastRenderedPageBreak/>
        <w:t>Xclose.  However, results from this study have not yet been published in the peer-reviewed medical literature.</w:t>
      </w:r>
    </w:p>
    <w:p w14:paraId="5A7F7CA1" w14:textId="77777777" w:rsidR="003C1544" w:rsidRPr="008156C9" w:rsidRDefault="003C1544" w:rsidP="003C1544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</w:rPr>
      </w:pPr>
      <w:r w:rsidRPr="008156C9">
        <w:rPr>
          <w:rFonts w:cstheme="minorHAnsi"/>
          <w:shd w:val="clear" w:color="auto" w:fill="FFFFFF"/>
        </w:rPr>
        <w:t>HERC staff summary: annular repair devices have limited literature evaluating their effectiveness</w:t>
      </w:r>
    </w:p>
    <w:p w14:paraId="67DD0E45" w14:textId="77777777" w:rsidR="003C1544" w:rsidRPr="008156C9" w:rsidRDefault="003C1544" w:rsidP="003C1544">
      <w:pPr>
        <w:pStyle w:val="ListParagraph"/>
        <w:numPr>
          <w:ilvl w:val="1"/>
          <w:numId w:val="27"/>
        </w:numPr>
        <w:spacing w:after="160" w:line="259" w:lineRule="auto"/>
        <w:rPr>
          <w:rFonts w:cstheme="minorHAnsi"/>
        </w:rPr>
      </w:pPr>
      <w:r w:rsidRPr="008156C9">
        <w:rPr>
          <w:rFonts w:cstheme="minorHAnsi"/>
          <w:shd w:val="clear" w:color="auto" w:fill="FFFFFF"/>
        </w:rPr>
        <w:t>HERC staff recommendation:</w:t>
      </w:r>
    </w:p>
    <w:p w14:paraId="2679487B" w14:textId="77777777" w:rsidR="003C1544" w:rsidRPr="008156C9" w:rsidRDefault="003C1544" w:rsidP="003C1544">
      <w:pPr>
        <w:pStyle w:val="ListParagraph"/>
        <w:numPr>
          <w:ilvl w:val="2"/>
          <w:numId w:val="27"/>
        </w:numPr>
        <w:spacing w:after="160" w:line="259" w:lineRule="auto"/>
        <w:rPr>
          <w:rFonts w:cstheme="minorHAnsi"/>
        </w:rPr>
      </w:pPr>
      <w:r w:rsidRPr="008156C9">
        <w:rPr>
          <w:rFonts w:cstheme="minorHAnsi"/>
          <w:shd w:val="clear" w:color="auto" w:fill="FFFFFF"/>
        </w:rPr>
        <w:t xml:space="preserve">Add HCPCS </w:t>
      </w:r>
      <w:r w:rsidRPr="008156C9">
        <w:rPr>
          <w:rFonts w:cstheme="minorHAnsi"/>
          <w:b/>
          <w:bCs/>
        </w:rPr>
        <w:t>C9757</w:t>
      </w:r>
      <w:r w:rsidRPr="008156C9">
        <w:rPr>
          <w:rFonts w:cstheme="minorHAnsi"/>
        </w:rPr>
        <w:t xml:space="preserve"> (Laminotomy (hemilaminectomy), with decompression of nerve root(s), including partial facetectomy, foraminotomy and excision of herniated intervertebral disc, and repair of annular defect with implantation of bone anchored annular closure device)</w:t>
      </w:r>
      <w:r w:rsidRPr="008156C9">
        <w:rPr>
          <w:rFonts w:cstheme="minorHAnsi"/>
          <w:shd w:val="clear" w:color="auto" w:fill="FFFFFF"/>
        </w:rPr>
        <w:t xml:space="preserve"> to line 662/GN173</w:t>
      </w:r>
    </w:p>
    <w:p w14:paraId="15DE613D" w14:textId="77777777" w:rsidR="003C1544" w:rsidRPr="008156C9" w:rsidRDefault="003C1544" w:rsidP="003C1544">
      <w:pPr>
        <w:pStyle w:val="ListParagraph"/>
        <w:rPr>
          <w:rFonts w:cstheme="minorHAnsi"/>
        </w:rPr>
      </w:pPr>
    </w:p>
    <w:p w14:paraId="0F4530BD" w14:textId="6B21A0A2" w:rsidR="003C1544" w:rsidRPr="008156C9" w:rsidRDefault="009C14BA" w:rsidP="004A6953">
      <w:pPr>
        <w:pStyle w:val="ListParagraph"/>
        <w:autoSpaceDE w:val="0"/>
        <w:autoSpaceDN w:val="0"/>
        <w:adjustRightInd w:val="0"/>
        <w:spacing w:after="100" w:line="240" w:lineRule="auto"/>
        <w:contextualSpacing w:val="0"/>
        <w:rPr>
          <w:rFonts w:cstheme="minorHAnsi"/>
          <w:b/>
        </w:rPr>
      </w:pPr>
      <w:r>
        <w:rPr>
          <w:rFonts w:cstheme="minorHAnsi"/>
          <w:b/>
        </w:rPr>
        <w:t>EXCLUDED SERVICES GUIDELINE 2</w:t>
      </w:r>
      <w:r w:rsidR="003C1544" w:rsidRPr="008156C9">
        <w:rPr>
          <w:rFonts w:cstheme="minorHAnsi"/>
          <w:b/>
        </w:rPr>
        <w:t>, INTERVENTIONS THAT ARE UNPROVEN, HAVE NO CLINICALLY IMPORTANT BENEFIT OR HAVE HARMS THAT OUTWEIGH BENEFITS FOR CERTAIN CONDITIONS</w:t>
      </w:r>
    </w:p>
    <w:p w14:paraId="6C6B7263" w14:textId="77777777" w:rsidR="003C1544" w:rsidRPr="008156C9" w:rsidRDefault="003C1544" w:rsidP="004A6953">
      <w:pPr>
        <w:pStyle w:val="ListParagraph"/>
        <w:autoSpaceDE w:val="0"/>
        <w:autoSpaceDN w:val="0"/>
        <w:adjustRightInd w:val="0"/>
        <w:spacing w:after="100" w:line="240" w:lineRule="auto"/>
        <w:contextualSpacing w:val="0"/>
        <w:rPr>
          <w:rFonts w:cstheme="minorHAnsi"/>
          <w:i/>
        </w:rPr>
      </w:pPr>
      <w:r w:rsidRPr="008156C9">
        <w:rPr>
          <w:rFonts w:cstheme="minorHAnsi"/>
          <w:i/>
        </w:rPr>
        <w:t>Line 662</w:t>
      </w:r>
    </w:p>
    <w:p w14:paraId="711034DA" w14:textId="77777777" w:rsidR="003C1544" w:rsidRPr="008156C9" w:rsidRDefault="003C1544" w:rsidP="004A6953">
      <w:pPr>
        <w:pStyle w:val="ListParagraph"/>
        <w:autoSpaceDE w:val="0"/>
        <w:autoSpaceDN w:val="0"/>
        <w:adjustRightInd w:val="0"/>
        <w:spacing w:after="100" w:line="240" w:lineRule="auto"/>
        <w:contextualSpacing w:val="0"/>
        <w:rPr>
          <w:rFonts w:cstheme="minorHAnsi"/>
        </w:rPr>
      </w:pPr>
      <w:r w:rsidRPr="008156C9">
        <w:rPr>
          <w:rFonts w:cstheme="minorHAnsi"/>
        </w:rPr>
        <w:t>The following Interventions are prioritized on Line 662 CONDITIONS FOR WHICH CERTAIN INTERVENTIONS ARE UNPROVEN, HAVE NO CLINICALLY IMPORTANT BENEFIT OR HAVE HARMS THAT OUTWEIGH BENEFITS:</w:t>
      </w:r>
    </w:p>
    <w:tbl>
      <w:tblPr>
        <w:tblStyle w:val="TableGrid"/>
        <w:tblW w:w="8208" w:type="dxa"/>
        <w:tblInd w:w="720" w:type="dxa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1566"/>
      </w:tblGrid>
      <w:tr w:rsidR="003C1544" w:rsidRPr="008156C9" w14:paraId="4FBBCA25" w14:textId="77777777" w:rsidTr="00C40A9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C876D3" w14:textId="77777777" w:rsidR="003C1544" w:rsidRPr="008156C9" w:rsidRDefault="003C1544" w:rsidP="00C40A99">
            <w:pPr>
              <w:rPr>
                <w:rStyle w:val="PageNumber"/>
                <w:rFonts w:cstheme="minorHAnsi"/>
              </w:rPr>
            </w:pPr>
            <w:r w:rsidRPr="008156C9">
              <w:rPr>
                <w:rStyle w:val="PageNumber"/>
                <w:rFonts w:cstheme="minorHAnsi"/>
              </w:rPr>
              <w:t>Procedure Code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833838" w14:textId="77777777" w:rsidR="003C1544" w:rsidRPr="008156C9" w:rsidRDefault="003C1544" w:rsidP="00C40A99">
            <w:pPr>
              <w:rPr>
                <w:rStyle w:val="PageNumber"/>
                <w:rFonts w:cstheme="minorHAnsi"/>
              </w:rPr>
            </w:pPr>
            <w:r w:rsidRPr="008156C9">
              <w:rPr>
                <w:rStyle w:val="PageNumber"/>
                <w:rFonts w:cstheme="minorHAnsi"/>
              </w:rPr>
              <w:t>Intervention Description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10A5B2" w14:textId="77777777" w:rsidR="003C1544" w:rsidRPr="008156C9" w:rsidRDefault="003C1544" w:rsidP="00C40A99">
            <w:pPr>
              <w:rPr>
                <w:rStyle w:val="PageNumber"/>
                <w:rFonts w:cstheme="minorHAnsi"/>
              </w:rPr>
            </w:pPr>
            <w:r w:rsidRPr="008156C9">
              <w:rPr>
                <w:rStyle w:val="PageNumber"/>
                <w:rFonts w:cstheme="minorHAnsi"/>
              </w:rPr>
              <w:t>Rationale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B15FFA" w14:textId="77777777" w:rsidR="003C1544" w:rsidRPr="008156C9" w:rsidRDefault="003C1544" w:rsidP="00C40A99">
            <w:pPr>
              <w:rPr>
                <w:rStyle w:val="PageNumber"/>
                <w:rFonts w:cstheme="minorHAnsi"/>
              </w:rPr>
            </w:pPr>
            <w:r w:rsidRPr="008156C9">
              <w:rPr>
                <w:rStyle w:val="PageNumber"/>
                <w:rFonts w:cstheme="minorHAnsi"/>
              </w:rPr>
              <w:t>Last Review</w:t>
            </w:r>
          </w:p>
        </w:tc>
      </w:tr>
      <w:tr w:rsidR="003C1544" w:rsidRPr="008156C9" w14:paraId="555EA720" w14:textId="77777777" w:rsidTr="00C40A9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BC7D" w14:textId="77777777" w:rsidR="003C1544" w:rsidRPr="008156C9" w:rsidRDefault="003C1544" w:rsidP="00C40A99">
            <w:pPr>
              <w:rPr>
                <w:rStyle w:val="PageNumber"/>
                <w:rFonts w:cstheme="minorHAnsi"/>
              </w:rPr>
            </w:pPr>
            <w:r w:rsidRPr="008156C9">
              <w:rPr>
                <w:rStyle w:val="PageNumber"/>
                <w:rFonts w:cstheme="minorHAnsi"/>
              </w:rPr>
              <w:t>C9757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F974" w14:textId="77777777" w:rsidR="003C1544" w:rsidRPr="008156C9" w:rsidRDefault="003C1544" w:rsidP="00C40A99">
            <w:pPr>
              <w:rPr>
                <w:rStyle w:val="PageNumber"/>
                <w:rFonts w:cstheme="minorHAnsi"/>
              </w:rPr>
            </w:pPr>
            <w:r w:rsidRPr="008156C9">
              <w:rPr>
                <w:rFonts w:cstheme="minorHAnsi"/>
              </w:rPr>
              <w:t>Laminotomy with repair of annular defect with implantation of bone anchored annular closure device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9C4C" w14:textId="77777777" w:rsidR="003C1544" w:rsidRPr="008156C9" w:rsidRDefault="003C1544" w:rsidP="00C40A99">
            <w:pPr>
              <w:rPr>
                <w:rStyle w:val="PageNumber"/>
                <w:rFonts w:cstheme="minorHAnsi"/>
              </w:rPr>
            </w:pPr>
            <w:r w:rsidRPr="008156C9">
              <w:rPr>
                <w:rStyle w:val="PageNumber"/>
                <w:rFonts w:cstheme="minorHAnsi"/>
              </w:rPr>
              <w:t>Insufficient evidence of effectiveness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028D" w14:textId="77777777" w:rsidR="003C1544" w:rsidRPr="008156C9" w:rsidRDefault="003C1544" w:rsidP="00C40A99">
            <w:pPr>
              <w:rPr>
                <w:rStyle w:val="PageNumber"/>
                <w:rFonts w:cstheme="minorHAnsi"/>
              </w:rPr>
            </w:pPr>
            <w:r w:rsidRPr="008156C9">
              <w:rPr>
                <w:rStyle w:val="PageNumber"/>
                <w:rFonts w:cstheme="minorHAnsi"/>
              </w:rPr>
              <w:t>November, 2019</w:t>
            </w:r>
          </w:p>
        </w:tc>
      </w:tr>
    </w:tbl>
    <w:p w14:paraId="2B3E508A" w14:textId="77777777" w:rsidR="003C1544" w:rsidRPr="008156C9" w:rsidRDefault="003C1544" w:rsidP="003C1544">
      <w:pPr>
        <w:rPr>
          <w:rFonts w:cstheme="minorHAnsi"/>
        </w:rPr>
      </w:pPr>
    </w:p>
    <w:p w14:paraId="10A496C7" w14:textId="77777777" w:rsidR="00067F0C" w:rsidRPr="003A7E4E" w:rsidRDefault="00067F0C" w:rsidP="003A7E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sectPr w:rsidR="00067F0C" w:rsidRPr="003A7E4E" w:rsidSect="00A064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40CF6" w14:textId="77777777" w:rsidR="00A65A2A" w:rsidRDefault="00A65A2A">
      <w:r>
        <w:separator/>
      </w:r>
    </w:p>
  </w:endnote>
  <w:endnote w:type="continuationSeparator" w:id="0">
    <w:p w14:paraId="3FD76376" w14:textId="77777777" w:rsidR="00A65A2A" w:rsidRDefault="00A6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PSA33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E84E" w14:textId="77777777" w:rsidR="009C14BA" w:rsidRDefault="009C14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B6003" w14:textId="77777777" w:rsidR="003E2BE9" w:rsidRPr="00146B0B" w:rsidRDefault="003E2BE9" w:rsidP="009D1C62">
    <w:pPr>
      <w:pStyle w:val="Footer"/>
    </w:pPr>
    <w:r>
      <w:tab/>
    </w:r>
    <w:r w:rsidR="00D941C7">
      <w:rPr>
        <w:noProof/>
      </w:rPr>
      <w:drawing>
        <wp:inline distT="0" distB="0" distL="0" distR="0" wp14:anchorId="36316D11" wp14:editId="2131FC18">
          <wp:extent cx="904875" cy="361950"/>
          <wp:effectExtent l="19050" t="0" r="9525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062D99">
      <w:fldChar w:fldCharType="begin"/>
    </w:r>
    <w:r>
      <w:instrText xml:space="preserve"> PAGE  </w:instrText>
    </w:r>
    <w:r w:rsidR="00062D99">
      <w:fldChar w:fldCharType="separate"/>
    </w:r>
    <w:r w:rsidR="001135E2">
      <w:rPr>
        <w:noProof/>
      </w:rPr>
      <w:t>1</w:t>
    </w:r>
    <w:r w:rsidR="00062D99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036C" w14:textId="77777777" w:rsidR="009C14BA" w:rsidRDefault="009C1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1621" w14:textId="77777777" w:rsidR="00A65A2A" w:rsidRDefault="00A65A2A">
      <w:r>
        <w:separator/>
      </w:r>
    </w:p>
  </w:footnote>
  <w:footnote w:type="continuationSeparator" w:id="0">
    <w:p w14:paraId="596C1A14" w14:textId="77777777" w:rsidR="00A65A2A" w:rsidRDefault="00A65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0BB1" w14:textId="77777777" w:rsidR="009C14BA" w:rsidRDefault="009C14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ADC5" w14:textId="77777777" w:rsidR="00F11304" w:rsidRPr="00D17DC1" w:rsidRDefault="00BF2C88" w:rsidP="00D17DC1">
    <w:pPr>
      <w:jc w:val="center"/>
      <w:rPr>
        <w:b/>
        <w:noProof/>
        <w:sz w:val="28"/>
        <w:szCs w:val="28"/>
      </w:rPr>
    </w:pPr>
    <w:r w:rsidRPr="00D17DC1">
      <w:rPr>
        <w:b/>
        <w:noProof/>
        <w:sz w:val="28"/>
        <w:szCs w:val="28"/>
      </w:rPr>
      <w:t>Oregon Health Plan Prioritized List</w:t>
    </w:r>
  </w:p>
  <w:p w14:paraId="636A606A" w14:textId="64200298" w:rsidR="00D17DC1" w:rsidRPr="00876447" w:rsidRDefault="009C14BA" w:rsidP="00D32460">
    <w:pPr>
      <w:jc w:val="center"/>
      <w:rPr>
        <w:rFonts w:asciiTheme="majorHAnsi" w:hAnsiTheme="majorHAnsi" w:cstheme="majorHAnsi"/>
        <w:b/>
      </w:rPr>
    </w:pPr>
    <w:r>
      <w:rPr>
        <w:b/>
        <w:noProof/>
        <w:sz w:val="28"/>
        <w:szCs w:val="28"/>
      </w:rPr>
      <w:t>Excluded Services Guideline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2E0C" w14:textId="77777777" w:rsidR="009C14BA" w:rsidRDefault="009C1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367"/>
    <w:multiLevelType w:val="hybridMultilevel"/>
    <w:tmpl w:val="B8AAFF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3511"/>
    <w:multiLevelType w:val="hybridMultilevel"/>
    <w:tmpl w:val="42007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691E"/>
    <w:multiLevelType w:val="hybridMultilevel"/>
    <w:tmpl w:val="E5BA99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C1B5F"/>
    <w:multiLevelType w:val="hybridMultilevel"/>
    <w:tmpl w:val="6A522D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3150"/>
    <w:multiLevelType w:val="hybridMultilevel"/>
    <w:tmpl w:val="09567B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75061"/>
    <w:multiLevelType w:val="hybridMultilevel"/>
    <w:tmpl w:val="AD0E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F6EAE"/>
    <w:multiLevelType w:val="hybridMultilevel"/>
    <w:tmpl w:val="C90EAE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623FF"/>
    <w:multiLevelType w:val="hybridMultilevel"/>
    <w:tmpl w:val="9B8CE42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105EF3"/>
    <w:multiLevelType w:val="hybridMultilevel"/>
    <w:tmpl w:val="A3D475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D6E36"/>
    <w:multiLevelType w:val="hybridMultilevel"/>
    <w:tmpl w:val="99C46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906481"/>
    <w:multiLevelType w:val="hybridMultilevel"/>
    <w:tmpl w:val="035C3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76619"/>
    <w:multiLevelType w:val="hybridMultilevel"/>
    <w:tmpl w:val="9DDEC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D143F"/>
    <w:multiLevelType w:val="hybridMultilevel"/>
    <w:tmpl w:val="4D9AA0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90B1B"/>
    <w:multiLevelType w:val="hybridMultilevel"/>
    <w:tmpl w:val="019635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508DD"/>
    <w:multiLevelType w:val="hybridMultilevel"/>
    <w:tmpl w:val="742E95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B51291"/>
    <w:multiLevelType w:val="hybridMultilevel"/>
    <w:tmpl w:val="37FC39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67D6E"/>
    <w:multiLevelType w:val="hybridMultilevel"/>
    <w:tmpl w:val="76169C5C"/>
    <w:lvl w:ilvl="0" w:tplc="3AC878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dvPSA337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A6607"/>
    <w:multiLevelType w:val="hybridMultilevel"/>
    <w:tmpl w:val="9D9028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6D4562"/>
    <w:multiLevelType w:val="hybridMultilevel"/>
    <w:tmpl w:val="C83647C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3A3AB8"/>
    <w:multiLevelType w:val="hybridMultilevel"/>
    <w:tmpl w:val="F580F034"/>
    <w:lvl w:ilvl="0" w:tplc="507CF5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8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08576CA"/>
    <w:multiLevelType w:val="hybridMultilevel"/>
    <w:tmpl w:val="AB100F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05897"/>
    <w:multiLevelType w:val="hybridMultilevel"/>
    <w:tmpl w:val="02E671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3F66"/>
    <w:multiLevelType w:val="hybridMultilevel"/>
    <w:tmpl w:val="E7C2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D08EA"/>
    <w:multiLevelType w:val="hybridMultilevel"/>
    <w:tmpl w:val="E32CD1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DB3760"/>
    <w:multiLevelType w:val="hybridMultilevel"/>
    <w:tmpl w:val="EB06F538"/>
    <w:lvl w:ilvl="0" w:tplc="54C46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5B4D15"/>
    <w:multiLevelType w:val="hybridMultilevel"/>
    <w:tmpl w:val="87D0E0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23884">
    <w:abstractNumId w:val="19"/>
  </w:num>
  <w:num w:numId="2" w16cid:durableId="544877353">
    <w:abstractNumId w:val="5"/>
  </w:num>
  <w:num w:numId="3" w16cid:durableId="476847981">
    <w:abstractNumId w:val="18"/>
  </w:num>
  <w:num w:numId="4" w16cid:durableId="9005970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5835834">
    <w:abstractNumId w:val="14"/>
  </w:num>
  <w:num w:numId="6" w16cid:durableId="1008409448">
    <w:abstractNumId w:val="24"/>
  </w:num>
  <w:num w:numId="7" w16cid:durableId="16550647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8433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31551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88932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6170873">
    <w:abstractNumId w:val="11"/>
  </w:num>
  <w:num w:numId="12" w16cid:durableId="5057541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6848390">
    <w:abstractNumId w:val="7"/>
  </w:num>
  <w:num w:numId="14" w16cid:durableId="698966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52929">
    <w:abstractNumId w:val="7"/>
  </w:num>
  <w:num w:numId="16" w16cid:durableId="1140876403">
    <w:abstractNumId w:val="9"/>
  </w:num>
  <w:num w:numId="17" w16cid:durableId="16203801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11794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0527739">
    <w:abstractNumId w:val="21"/>
  </w:num>
  <w:num w:numId="20" w16cid:durableId="824467960">
    <w:abstractNumId w:val="4"/>
  </w:num>
  <w:num w:numId="21" w16cid:durableId="132716988">
    <w:abstractNumId w:val="22"/>
  </w:num>
  <w:num w:numId="22" w16cid:durableId="878398028">
    <w:abstractNumId w:val="3"/>
  </w:num>
  <w:num w:numId="23" w16cid:durableId="1109007348">
    <w:abstractNumId w:val="10"/>
  </w:num>
  <w:num w:numId="24" w16cid:durableId="420758256">
    <w:abstractNumId w:val="2"/>
  </w:num>
  <w:num w:numId="25" w16cid:durableId="147017022">
    <w:abstractNumId w:val="6"/>
  </w:num>
  <w:num w:numId="26" w16cid:durableId="1199931387">
    <w:abstractNumId w:val="0"/>
  </w:num>
  <w:num w:numId="27" w16cid:durableId="77000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2A"/>
    <w:rsid w:val="00006375"/>
    <w:rsid w:val="000114D4"/>
    <w:rsid w:val="00034DA2"/>
    <w:rsid w:val="00036EFB"/>
    <w:rsid w:val="00062D99"/>
    <w:rsid w:val="00067F0C"/>
    <w:rsid w:val="000938C4"/>
    <w:rsid w:val="000A5877"/>
    <w:rsid w:val="000E3E50"/>
    <w:rsid w:val="000E4EE6"/>
    <w:rsid w:val="00112E35"/>
    <w:rsid w:val="001135E2"/>
    <w:rsid w:val="00125B69"/>
    <w:rsid w:val="00134E76"/>
    <w:rsid w:val="00146B0B"/>
    <w:rsid w:val="00161173"/>
    <w:rsid w:val="00174B84"/>
    <w:rsid w:val="00183961"/>
    <w:rsid w:val="001C1AC2"/>
    <w:rsid w:val="001E6492"/>
    <w:rsid w:val="001F2924"/>
    <w:rsid w:val="00211F7E"/>
    <w:rsid w:val="00241DFF"/>
    <w:rsid w:val="002567C3"/>
    <w:rsid w:val="002757D6"/>
    <w:rsid w:val="00286D7A"/>
    <w:rsid w:val="002C7FB2"/>
    <w:rsid w:val="002D4047"/>
    <w:rsid w:val="002E7B3E"/>
    <w:rsid w:val="002F4236"/>
    <w:rsid w:val="00313C24"/>
    <w:rsid w:val="00331577"/>
    <w:rsid w:val="00354F39"/>
    <w:rsid w:val="00362566"/>
    <w:rsid w:val="00381686"/>
    <w:rsid w:val="003A7E4E"/>
    <w:rsid w:val="003B3891"/>
    <w:rsid w:val="003B473D"/>
    <w:rsid w:val="003C1544"/>
    <w:rsid w:val="003C402A"/>
    <w:rsid w:val="003E2BE9"/>
    <w:rsid w:val="003E3BC4"/>
    <w:rsid w:val="00424A46"/>
    <w:rsid w:val="00436596"/>
    <w:rsid w:val="00441A01"/>
    <w:rsid w:val="004571AF"/>
    <w:rsid w:val="004855C0"/>
    <w:rsid w:val="004A6953"/>
    <w:rsid w:val="004C739A"/>
    <w:rsid w:val="004D5309"/>
    <w:rsid w:val="004F3B62"/>
    <w:rsid w:val="004F5E4A"/>
    <w:rsid w:val="004F6524"/>
    <w:rsid w:val="00522960"/>
    <w:rsid w:val="0053244B"/>
    <w:rsid w:val="005359C7"/>
    <w:rsid w:val="0056337E"/>
    <w:rsid w:val="005A1767"/>
    <w:rsid w:val="005A1EEE"/>
    <w:rsid w:val="005B71A4"/>
    <w:rsid w:val="005D7BF0"/>
    <w:rsid w:val="005F2AED"/>
    <w:rsid w:val="00605342"/>
    <w:rsid w:val="00660992"/>
    <w:rsid w:val="006943D6"/>
    <w:rsid w:val="006A5420"/>
    <w:rsid w:val="006C453D"/>
    <w:rsid w:val="006E21CB"/>
    <w:rsid w:val="00704160"/>
    <w:rsid w:val="00714D9B"/>
    <w:rsid w:val="00722829"/>
    <w:rsid w:val="00724B04"/>
    <w:rsid w:val="0074542B"/>
    <w:rsid w:val="00752E2C"/>
    <w:rsid w:val="007574E8"/>
    <w:rsid w:val="00795889"/>
    <w:rsid w:val="00796202"/>
    <w:rsid w:val="007A65AA"/>
    <w:rsid w:val="007C1729"/>
    <w:rsid w:val="007C2859"/>
    <w:rsid w:val="007E68A1"/>
    <w:rsid w:val="00803C6B"/>
    <w:rsid w:val="0084178D"/>
    <w:rsid w:val="00844609"/>
    <w:rsid w:val="00845277"/>
    <w:rsid w:val="00866B12"/>
    <w:rsid w:val="008746C3"/>
    <w:rsid w:val="00876447"/>
    <w:rsid w:val="0089584D"/>
    <w:rsid w:val="008A0C70"/>
    <w:rsid w:val="008C4AA4"/>
    <w:rsid w:val="008D4987"/>
    <w:rsid w:val="00941AE1"/>
    <w:rsid w:val="009532AE"/>
    <w:rsid w:val="009604F0"/>
    <w:rsid w:val="009671B1"/>
    <w:rsid w:val="00976107"/>
    <w:rsid w:val="00985891"/>
    <w:rsid w:val="00994D5A"/>
    <w:rsid w:val="009C14BA"/>
    <w:rsid w:val="009D1C62"/>
    <w:rsid w:val="009E3767"/>
    <w:rsid w:val="009F2B34"/>
    <w:rsid w:val="00A06407"/>
    <w:rsid w:val="00A0644D"/>
    <w:rsid w:val="00A45839"/>
    <w:rsid w:val="00A65A2A"/>
    <w:rsid w:val="00A700F8"/>
    <w:rsid w:val="00AF1D55"/>
    <w:rsid w:val="00B03BD3"/>
    <w:rsid w:val="00B06C96"/>
    <w:rsid w:val="00B26A1F"/>
    <w:rsid w:val="00B3781D"/>
    <w:rsid w:val="00B82B0C"/>
    <w:rsid w:val="00BB14B5"/>
    <w:rsid w:val="00BB5801"/>
    <w:rsid w:val="00BF2C88"/>
    <w:rsid w:val="00C16DF6"/>
    <w:rsid w:val="00C218BD"/>
    <w:rsid w:val="00C2263B"/>
    <w:rsid w:val="00C241EE"/>
    <w:rsid w:val="00C4079A"/>
    <w:rsid w:val="00C51C06"/>
    <w:rsid w:val="00C73CD4"/>
    <w:rsid w:val="00C81805"/>
    <w:rsid w:val="00C92D56"/>
    <w:rsid w:val="00CC1C99"/>
    <w:rsid w:val="00CD746B"/>
    <w:rsid w:val="00CF4DA2"/>
    <w:rsid w:val="00D17DC1"/>
    <w:rsid w:val="00D32460"/>
    <w:rsid w:val="00D34794"/>
    <w:rsid w:val="00D66FCA"/>
    <w:rsid w:val="00D941C7"/>
    <w:rsid w:val="00DC1ECE"/>
    <w:rsid w:val="00E25B1C"/>
    <w:rsid w:val="00E564BE"/>
    <w:rsid w:val="00EC3B5C"/>
    <w:rsid w:val="00F11304"/>
    <w:rsid w:val="00F24C6A"/>
    <w:rsid w:val="00F67650"/>
    <w:rsid w:val="00F95C19"/>
    <w:rsid w:val="00FA3367"/>
    <w:rsid w:val="00FB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5A9D9947"/>
  <w15:docId w15:val="{26359DDD-593A-40CF-8D0E-1B2677AA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367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25B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BB5801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2D99"/>
    <w:rPr>
      <w:rFonts w:ascii="Calibri" w:hAnsi="Calibri"/>
    </w:rPr>
  </w:style>
  <w:style w:type="paragraph" w:styleId="Footer">
    <w:name w:val="footer"/>
    <w:basedOn w:val="Normal"/>
    <w:link w:val="FooterChar"/>
    <w:uiPriority w:val="99"/>
    <w:rsid w:val="00BB5801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453D"/>
    <w:rPr>
      <w:rFonts w:ascii="Calibri" w:hAnsi="Calibri"/>
      <w:sz w:val="22"/>
    </w:rPr>
  </w:style>
  <w:style w:type="character" w:styleId="PageNumber">
    <w:name w:val="page number"/>
    <w:basedOn w:val="DefaultParagraphFont"/>
    <w:rsid w:val="00BB5801"/>
    <w:rPr>
      <w:rFonts w:cs="Times New Roman"/>
    </w:rPr>
  </w:style>
  <w:style w:type="paragraph" w:styleId="ListParagraph">
    <w:name w:val="List Paragraph"/>
    <w:basedOn w:val="Normal"/>
    <w:uiPriority w:val="1"/>
    <w:qFormat/>
    <w:rsid w:val="001E6492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6C453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C453D"/>
    <w:rPr>
      <w:rFonts w:ascii="Tahoma" w:hAnsi="Tahoma"/>
      <w:sz w:val="16"/>
    </w:rPr>
  </w:style>
  <w:style w:type="paragraph" w:styleId="NormalWeb">
    <w:name w:val="Normal (Web)"/>
    <w:basedOn w:val="Normal"/>
    <w:uiPriority w:val="99"/>
    <w:semiHidden/>
    <w:unhideWhenUsed/>
    <w:rsid w:val="00C16D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GBoxTextChar">
    <w:name w:val="CG Box Text Char"/>
    <w:basedOn w:val="DefaultParagraphFont"/>
    <w:link w:val="CGBoxText"/>
    <w:locked/>
    <w:rsid w:val="00C16DF6"/>
    <w:rPr>
      <w:rFonts w:ascii="Arial" w:hAnsi="Arial" w:cs="Arial"/>
      <w:color w:val="002060"/>
      <w:szCs w:val="24"/>
    </w:rPr>
  </w:style>
  <w:style w:type="paragraph" w:customStyle="1" w:styleId="CGBoxText">
    <w:name w:val="CG Box Text"/>
    <w:link w:val="CGBoxTextChar"/>
    <w:qFormat/>
    <w:rsid w:val="00C16DF6"/>
    <w:pPr>
      <w:spacing w:after="200"/>
    </w:pPr>
    <w:rPr>
      <w:rFonts w:ascii="Arial" w:hAnsi="Arial" w:cs="Arial"/>
      <w:color w:val="00206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C1ECE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locked/>
    <w:rsid w:val="000938C4"/>
    <w:rPr>
      <w:b/>
      <w:bCs/>
    </w:rPr>
  </w:style>
  <w:style w:type="table" w:styleId="TableGrid">
    <w:name w:val="Table Grid"/>
    <w:basedOn w:val="TableNormal"/>
    <w:locked/>
    <w:rsid w:val="004F5E4A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195137\AppData\Local\Microsoft\Windows\Temporary%20Internet%20Files\Content.MSO\150B0EB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https://www.oregon.gov/oha/HPA/DSI-HERC/SearchablePLdocuments/GL-173-C9757-Laminotomy-repair-annular-defect-bone-anchored-annular-closure-device.docx</Url>
      <Description>GL-173-C9757-Laminotomy-repair-annular-defect-bone-anchored-annular-closure-device.docx</Description>
    </URL>
    <IACategory xmlns="59da1016-2a1b-4f8a-9768-d7a4932f6f16" xsi:nil="true"/>
    <IASubtopic xmlns="59da1016-2a1b-4f8a-9768-d7a4932f6f16" xsi:nil="true"/>
    <DocumentExpirationDate xmlns="59da1016-2a1b-4f8a-9768-d7a4932f6f16" xsi:nil="true"/>
    <Meta_x0020_Keywords xmlns="02aa3302-3726-4429-bc74-2da0b757c478" xsi:nil="true"/>
    <IATopic xmlns="59da1016-2a1b-4f8a-9768-d7a4932f6f16" xsi:nil="true"/>
    <Meta_x0020_Description xmlns="02aa3302-3726-4429-bc74-2da0b757c4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8B8313507D54D8326F9AC36709E7F" ma:contentTypeVersion="18" ma:contentTypeDescription="Create a new document." ma:contentTypeScope="" ma:versionID="e3ff354594a46a5ab218b54240ee660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2aa3302-3726-4429-bc74-2da0b757c478" targetNamespace="http://schemas.microsoft.com/office/2006/metadata/properties" ma:root="true" ma:fieldsID="e0b65884941d366edd5a4e66bc6478bc" ns1:_="" ns2:_="" ns3:_="">
    <xsd:import namespace="http://schemas.microsoft.com/sharepoint/v3"/>
    <xsd:import namespace="59da1016-2a1b-4f8a-9768-d7a4932f6f16"/>
    <xsd:import namespace="02aa3302-3726-4429-bc74-2da0b757c47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2:Document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a3302-3726-4429-bc74-2da0b757c47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0D509-DD36-4796-9DEF-F4F46699C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DCFC2-BA29-4EC1-B974-50A70DF54C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da1016-2a1b-4f8a-9768-d7a4932f6f16"/>
    <ds:schemaRef ds:uri="02aa3302-3726-4429-bc74-2da0b757c478"/>
  </ds:schemaRefs>
</ds:datastoreItem>
</file>

<file path=customXml/itemProps3.xml><?xml version="1.0" encoding="utf-8"?>
<ds:datastoreItem xmlns:ds="http://schemas.openxmlformats.org/officeDocument/2006/customXml" ds:itemID="{33382BDC-81F2-4741-B190-C9B4A7248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02aa3302-3726-4429-bc74-2da0b757c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150B0EBB.dotx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Gingerich</dc:creator>
  <cp:lastModifiedBy>Jason Gingerich</cp:lastModifiedBy>
  <cp:revision>2</cp:revision>
  <dcterms:created xsi:type="dcterms:W3CDTF">2025-07-03T22:58:00Z</dcterms:created>
  <dcterms:modified xsi:type="dcterms:W3CDTF">2025-07-03T22:58:00Z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0x0101000CE8B8313507D54D8326F9AC36709E7F</vt:lpwstr>
  </property>
  <property fmtid="{D5CDD505-2E9C-101B-9397-08002B2CF9AE}" pid="3" name="WorkflowChangePath">
    <vt:lpwstr>49790272-483e-4247-9aa2-045ff6165ac0,2;</vt:lpwstr>
  </property>
</Properties>
</file>