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7B31" w14:textId="77777777" w:rsidR="003F1B98" w:rsidRDefault="003F1B98" w:rsidP="00BF17A5">
      <w:pPr>
        <w:pStyle w:val="ListParagraph"/>
        <w:ind w:left="0"/>
        <w:rPr>
          <w:b/>
          <w:color w:val="000000"/>
          <w:u w:val="single"/>
        </w:rPr>
      </w:pPr>
      <w:r>
        <w:rPr>
          <w:b/>
          <w:color w:val="000000"/>
          <w:u w:val="single"/>
        </w:rPr>
        <w:t>Editor's note: On 1/1/2025, Guideline Notes 172 and 173 were replaced with Excluded Services Guidelines 1 and 2, which serve the same functions. References to Guidelines 172-173 can be treated interchangeably with Excluded Services Guidelines E1-E2 unless HERC has revised its decision since the original approval.</w:t>
      </w:r>
    </w:p>
    <w:p w14:paraId="5809F7E3" w14:textId="77777777" w:rsidR="003F1B98" w:rsidRDefault="003F1B98" w:rsidP="00BF17A5">
      <w:pPr>
        <w:pStyle w:val="ListParagraph"/>
        <w:ind w:left="0"/>
        <w:rPr>
          <w:b/>
          <w:color w:val="000000"/>
          <w:u w:val="single"/>
        </w:rPr>
      </w:pPr>
    </w:p>
    <w:p w14:paraId="173EB1CC" w14:textId="0480B0C4" w:rsidR="00BF17A5" w:rsidRDefault="00BF17A5" w:rsidP="00BF17A5">
      <w:pPr>
        <w:pStyle w:val="ListParagraph"/>
        <w:ind w:left="0"/>
        <w:rPr>
          <w:b/>
          <w:color w:val="000000"/>
          <w:u w:val="single"/>
        </w:rPr>
      </w:pPr>
    </w:p>
    <w:p w14:paraId="5B379252" w14:textId="5C9B0E67" w:rsidR="00D46FF0" w:rsidRDefault="00D46FF0" w:rsidP="00D03EAC">
      <w:pPr>
        <w:autoSpaceDE w:val="0"/>
        <w:autoSpaceDN w:val="0"/>
        <w:adjustRightInd w:val="0"/>
        <w:rPr>
          <w:rFonts w:ascii="Arial" w:hAnsi="Arial" w:cs="Arial"/>
          <w:b/>
        </w:rPr>
      </w:pPr>
      <w:r w:rsidRPr="00D46FF0">
        <w:rPr>
          <w:rFonts w:ascii="Arial" w:hAnsi="Arial" w:cs="Arial"/>
          <w:b/>
        </w:rPr>
        <w:t xml:space="preserve">In January 2018, these codes were moved to </w:t>
      </w:r>
      <w:r w:rsidR="003F1B98">
        <w:rPr>
          <w:rFonts w:ascii="Arial" w:hAnsi="Arial" w:cs="Arial"/>
          <w:b/>
        </w:rPr>
        <w:t>Excluded Services Guideline 2</w:t>
      </w:r>
      <w:r w:rsidRPr="00D46FF0">
        <w:rPr>
          <w:rFonts w:ascii="Arial" w:hAnsi="Arial" w:cs="Arial"/>
          <w:b/>
        </w:rPr>
        <w:t>.</w:t>
      </w:r>
    </w:p>
    <w:p w14:paraId="7DF5469D" w14:textId="77777777" w:rsidR="00D46FF0" w:rsidRDefault="00D46FF0" w:rsidP="00D03EAC">
      <w:pPr>
        <w:autoSpaceDE w:val="0"/>
        <w:autoSpaceDN w:val="0"/>
        <w:adjustRightInd w:val="0"/>
        <w:rPr>
          <w:rFonts w:ascii="Arial" w:hAnsi="Arial" w:cs="Arial"/>
          <w:b/>
        </w:rPr>
      </w:pPr>
    </w:p>
    <w:p w14:paraId="45A2F011" w14:textId="77777777" w:rsidR="00D03EAC" w:rsidRPr="00805766" w:rsidRDefault="009A0FBD" w:rsidP="00D03EAC">
      <w:pPr>
        <w:autoSpaceDE w:val="0"/>
        <w:autoSpaceDN w:val="0"/>
        <w:adjustRightInd w:val="0"/>
        <w:rPr>
          <w:rFonts w:ascii="Arial" w:hAnsi="Arial" w:cs="Arial"/>
        </w:rPr>
      </w:pPr>
      <w:r>
        <w:rPr>
          <w:rFonts w:ascii="Arial" w:hAnsi="Arial" w:cs="Arial"/>
          <w:b/>
        </w:rPr>
        <w:t xml:space="preserve">Last review was in March, 2015 at VbBS and HERC. </w:t>
      </w:r>
      <w:r w:rsidR="00F02E20" w:rsidRPr="009A0FBD">
        <w:rPr>
          <w:rFonts w:ascii="Arial" w:hAnsi="Arial" w:cs="Arial"/>
        </w:rPr>
        <w:t xml:space="preserve">VbBS minutes indicate that </w:t>
      </w:r>
      <w:r w:rsidR="00805766">
        <w:rPr>
          <w:rFonts w:ascii="Arial" w:hAnsi="Arial" w:cs="Arial"/>
        </w:rPr>
        <w:t>t</w:t>
      </w:r>
      <w:r w:rsidR="00F02E20" w:rsidRPr="009A0FBD">
        <w:rPr>
          <w:rFonts w:ascii="Arial" w:hAnsi="Arial" w:cs="Arial"/>
        </w:rPr>
        <w:t xml:space="preserve">he percutaneous interventions for cervical spine </w:t>
      </w:r>
      <w:r w:rsidR="00F02E20">
        <w:rPr>
          <w:rFonts w:ascii="Arial" w:hAnsi="Arial" w:cs="Arial"/>
        </w:rPr>
        <w:t xml:space="preserve">pain </w:t>
      </w:r>
      <w:r w:rsidR="00805766">
        <w:rPr>
          <w:rFonts w:ascii="Arial" w:hAnsi="Arial" w:cs="Arial"/>
        </w:rPr>
        <w:t xml:space="preserve">(including radiofrequency neurotomy, facet injections and epidural steroid injections) </w:t>
      </w:r>
      <w:r w:rsidR="00F02E20">
        <w:rPr>
          <w:rFonts w:ascii="Arial" w:hAnsi="Arial" w:cs="Arial"/>
        </w:rPr>
        <w:t>as well as lumbar epidural steroid injections were discussed in some detail. Due to the weak level of evidence, the subcommittee did not want to add coverage for cervical epidural</w:t>
      </w:r>
      <w:r w:rsidR="00805766">
        <w:rPr>
          <w:rFonts w:ascii="Arial" w:hAnsi="Arial" w:cs="Arial"/>
        </w:rPr>
        <w:t xml:space="preserve"> </w:t>
      </w:r>
      <w:r w:rsidR="00F02E20">
        <w:rPr>
          <w:rFonts w:ascii="Arial" w:hAnsi="Arial" w:cs="Arial"/>
        </w:rPr>
        <w:t xml:space="preserve">steroid injections or for cervical radiofrequency neurotomy. </w:t>
      </w:r>
      <w:r w:rsidR="00D03EAC">
        <w:rPr>
          <w:rFonts w:ascii="Arial" w:hAnsi="Arial" w:cs="Arial"/>
        </w:rPr>
        <w:t>HERC minutes from the same day indicate HERC’s decision to place 64633-64634 (radiofrequency neurotomy, cervical/thoracic) and 64690-64692 (facet joint injections to the cervical spine) on what has been known as the Services Recommended for Noncoverage table. 64479-64480 (transforaminal injections to the cervical spine) were already noncovered services and remained so.</w:t>
      </w:r>
    </w:p>
    <w:p w14:paraId="16E09FE8" w14:textId="77777777" w:rsidR="00BF17A5" w:rsidRPr="00805766" w:rsidRDefault="00BF17A5" w:rsidP="00805766">
      <w:pPr>
        <w:autoSpaceDE w:val="0"/>
        <w:autoSpaceDN w:val="0"/>
        <w:adjustRightInd w:val="0"/>
        <w:rPr>
          <w:rFonts w:ascii="Arial" w:hAnsi="Arial" w:cs="Arial"/>
        </w:rPr>
      </w:pPr>
    </w:p>
    <w:p w14:paraId="4263580E" w14:textId="77777777" w:rsidR="00BF17A5" w:rsidRDefault="00BF17A5" w:rsidP="00BF17A5">
      <w:pPr>
        <w:pStyle w:val="ListParagraph"/>
        <w:ind w:left="0"/>
        <w:rPr>
          <w:rFonts w:ascii="Arial" w:hAnsi="Arial" w:cs="Arial"/>
          <w:b/>
          <w:color w:val="000000"/>
          <w:sz w:val="22"/>
          <w:szCs w:val="22"/>
          <w:u w:val="single"/>
        </w:rPr>
      </w:pPr>
    </w:p>
    <w:p w14:paraId="7835E394" w14:textId="77777777" w:rsidR="00F02E20" w:rsidRDefault="00A358BE" w:rsidP="00BF17A5">
      <w:pPr>
        <w:pStyle w:val="ListParagraph"/>
        <w:ind w:left="0"/>
        <w:rPr>
          <w:rFonts w:ascii="Arial" w:hAnsi="Arial" w:cs="Arial"/>
          <w:b/>
          <w:color w:val="000000"/>
          <w:sz w:val="22"/>
          <w:szCs w:val="22"/>
          <w:u w:val="single"/>
        </w:rPr>
      </w:pPr>
      <w:r>
        <w:rPr>
          <w:rFonts w:ascii="Arial" w:hAnsi="Arial" w:cs="Arial"/>
          <w:b/>
          <w:color w:val="000000"/>
          <w:sz w:val="22"/>
          <w:szCs w:val="22"/>
          <w:u w:val="single"/>
        </w:rPr>
        <w:t>Excerpted</w:t>
      </w:r>
      <w:r w:rsidR="00F02E20">
        <w:rPr>
          <w:rFonts w:ascii="Arial" w:hAnsi="Arial" w:cs="Arial"/>
          <w:b/>
          <w:color w:val="000000"/>
          <w:sz w:val="22"/>
          <w:szCs w:val="22"/>
          <w:u w:val="single"/>
        </w:rPr>
        <w:t xml:space="preserve"> from the March, 2015 VbBS meeting materials:</w:t>
      </w:r>
    </w:p>
    <w:p w14:paraId="4668A472" w14:textId="77777777" w:rsidR="00F02E20" w:rsidRDefault="00F02E20" w:rsidP="00F02E20">
      <w:pPr>
        <w:rPr>
          <w:rFonts w:ascii="Arial" w:hAnsi="Arial" w:cs="Arial"/>
          <w:sz w:val="22"/>
          <w:szCs w:val="22"/>
        </w:rPr>
      </w:pPr>
      <w:r>
        <w:rPr>
          <w:rFonts w:ascii="Arial" w:hAnsi="Arial" w:cs="Arial"/>
          <w:u w:val="single"/>
        </w:rPr>
        <w:t>Question</w:t>
      </w:r>
      <w:r>
        <w:rPr>
          <w:rFonts w:ascii="Arial" w:hAnsi="Arial" w:cs="Arial"/>
        </w:rPr>
        <w:t>: How should the HTAS Coverage Guidance regarding percutaneous interventions for cervical spine pain be applied to the Prioritized List?</w:t>
      </w:r>
    </w:p>
    <w:p w14:paraId="377970AC" w14:textId="77777777" w:rsidR="00F02E20" w:rsidRDefault="00F02E20" w:rsidP="00F02E20">
      <w:pPr>
        <w:rPr>
          <w:rFonts w:ascii="Arial" w:hAnsi="Arial" w:cs="Arial"/>
        </w:rPr>
      </w:pPr>
    </w:p>
    <w:p w14:paraId="48E4465C" w14:textId="77777777" w:rsidR="00F02E20" w:rsidRDefault="00F02E20" w:rsidP="00F02E20">
      <w:pPr>
        <w:rPr>
          <w:rFonts w:ascii="Arial" w:hAnsi="Arial" w:cs="Arial"/>
        </w:rPr>
      </w:pPr>
      <w:r>
        <w:rPr>
          <w:rFonts w:ascii="Arial" w:hAnsi="Arial" w:cs="Arial"/>
          <w:u w:val="single"/>
        </w:rPr>
        <w:t>Question source</w:t>
      </w:r>
      <w:r>
        <w:rPr>
          <w:rFonts w:ascii="Arial" w:hAnsi="Arial" w:cs="Arial"/>
        </w:rPr>
        <w:t>: Health Technology Assessment Subcommittee</w:t>
      </w:r>
    </w:p>
    <w:p w14:paraId="786C0305" w14:textId="77777777" w:rsidR="00F02E20" w:rsidRDefault="00F02E20" w:rsidP="00F02E20">
      <w:pPr>
        <w:rPr>
          <w:rFonts w:ascii="Arial" w:hAnsi="Arial" w:cs="Arial"/>
        </w:rPr>
      </w:pPr>
    </w:p>
    <w:p w14:paraId="62BCE195" w14:textId="77777777" w:rsidR="00F02E20" w:rsidRDefault="00F02E20" w:rsidP="00F02E20">
      <w:pPr>
        <w:rPr>
          <w:rFonts w:ascii="Arial" w:hAnsi="Arial" w:cs="Arial"/>
        </w:rPr>
      </w:pPr>
      <w:r>
        <w:rPr>
          <w:rFonts w:ascii="Arial" w:hAnsi="Arial" w:cs="Arial"/>
          <w:u w:val="single"/>
        </w:rPr>
        <w:t>Issue</w:t>
      </w:r>
      <w:r>
        <w:rPr>
          <w:rFonts w:ascii="Arial" w:hAnsi="Arial" w:cs="Arial"/>
        </w:rPr>
        <w:t>: HTAS approved a new Coverage Guidance at their July, 2014 meeting, and it is pending final approval by HERC at their March, 2015 meeting.  The summary of the coverage guidance is shown below.</w:t>
      </w:r>
    </w:p>
    <w:p w14:paraId="0326FA42" w14:textId="77777777" w:rsidR="00F02E20" w:rsidRDefault="00F02E20" w:rsidP="00F02E20">
      <w:pPr>
        <w:rPr>
          <w:rFonts w:ascii="Arial" w:hAnsi="Arial" w:cs="Arial"/>
        </w:rPr>
      </w:pPr>
    </w:p>
    <w:p w14:paraId="095B6363" w14:textId="77777777" w:rsidR="00F02E20" w:rsidRDefault="00F02E20" w:rsidP="00F02E20">
      <w:pPr>
        <w:rPr>
          <w:rFonts w:ascii="Arial" w:hAnsi="Arial" w:cs="Arial"/>
        </w:rPr>
      </w:pPr>
      <w:r>
        <w:rPr>
          <w:rFonts w:ascii="Arial" w:hAnsi="Arial" w:cs="Arial"/>
        </w:rPr>
        <w:t>This coverage guidance was discussed at the August</w:t>
      </w:r>
      <w:r w:rsidR="00A358BE">
        <w:rPr>
          <w:rFonts w:ascii="Arial" w:hAnsi="Arial" w:cs="Arial"/>
        </w:rPr>
        <w:t>,</w:t>
      </w:r>
      <w:r>
        <w:rPr>
          <w:rFonts w:ascii="Arial" w:hAnsi="Arial" w:cs="Arial"/>
        </w:rPr>
        <w:t xml:space="preserve"> </w:t>
      </w:r>
      <w:r w:rsidR="00A358BE">
        <w:rPr>
          <w:rFonts w:ascii="Arial" w:hAnsi="Arial" w:cs="Arial"/>
        </w:rPr>
        <w:t xml:space="preserve">2014 </w:t>
      </w:r>
      <w:r>
        <w:rPr>
          <w:rFonts w:ascii="Arial" w:hAnsi="Arial" w:cs="Arial"/>
        </w:rPr>
        <w:t>VBBS and HERC meetings, and again at the November, 2014 VBBS and HERC meetings, and finally again at the January 2015 VBBS and HERC meetings.  No decision was reached on how to incorporate this coverage guidance into the Prioritized List.  This topic was referred to the Back Lines Reorganization Taskforce for review and advice.  The Taskforce considered these issues and made recommendations on coverage as part of the Back Line Reorganization proposal. The Taskforce did not strongly recommend either epidural steroid injections or radiofrequency neurotomy be added for coverage. The Taskforce felt that if coverage was included for these procedures, such coverage should be second line therapy. Based on the Taskforce deliberations, HERC staff has created coverage options in the recommendations below</w:t>
      </w:r>
    </w:p>
    <w:p w14:paraId="1200834B" w14:textId="77777777" w:rsidR="00F02E20" w:rsidRDefault="00F02E20" w:rsidP="00F02E20">
      <w:pPr>
        <w:rPr>
          <w:rFonts w:ascii="Arial" w:hAnsi="Arial" w:cs="Arial"/>
        </w:rPr>
      </w:pPr>
      <w:r>
        <w:rPr>
          <w:rFonts w:ascii="Arial" w:hAnsi="Arial" w:cs="Arial"/>
        </w:rPr>
        <w:t xml:space="preserve">Note that the recommendations for lumbar epidural steroid injections are included here, as they were included in the Taskforce deliberations.  Currently, lumbar epidural steroid injections are covered for low back pain with the current version of the guideline. The Taskforce did not feel that cervical and lumbar epidural steroid injections were so clinically and physiologically different that coverage should be different for these two modalities.  However, the evidence of benefit is better for lumbar injections (moderate strength of evidence for radicular </w:t>
      </w:r>
      <w:r>
        <w:rPr>
          <w:rFonts w:ascii="Arial" w:hAnsi="Arial" w:cs="Arial"/>
        </w:rPr>
        <w:lastRenderedPageBreak/>
        <w:t xml:space="preserve">pain; insufficient evidence for non-radicular pain) than for cervical (very low level of evidence). </w:t>
      </w:r>
    </w:p>
    <w:p w14:paraId="38B992CD" w14:textId="77777777" w:rsidR="00F02E20" w:rsidRDefault="00F02E20" w:rsidP="00F02E20">
      <w:pPr>
        <w:rPr>
          <w:rFonts w:ascii="Arial" w:hAnsi="Arial" w:cs="Arial"/>
        </w:rPr>
      </w:pPr>
    </w:p>
    <w:p w14:paraId="4241A6C4" w14:textId="77777777" w:rsidR="00F02E20" w:rsidRDefault="00F02E20" w:rsidP="00F02E20">
      <w:pPr>
        <w:rPr>
          <w:rFonts w:ascii="Arial" w:eastAsia="Calibri" w:hAnsi="Arial" w:cs="Arial"/>
          <w:color w:val="002060"/>
          <w:u w:val="single"/>
        </w:rPr>
      </w:pPr>
      <w:r>
        <w:br w:type="page"/>
      </w:r>
    </w:p>
    <w:p w14:paraId="6BA778BA" w14:textId="77777777" w:rsidR="00F02E20" w:rsidRDefault="00F02E20" w:rsidP="00F02E20">
      <w:pPr>
        <w:pStyle w:val="CGHeadingbox"/>
      </w:pPr>
      <w:r>
        <w:lastRenderedPageBreak/>
        <w:t>HERC COVERAGE GUIDANCE</w:t>
      </w:r>
    </w:p>
    <w:p w14:paraId="12CF7B5F" w14:textId="77777777" w:rsidR="00F02E20" w:rsidRDefault="00F02E20" w:rsidP="00F02E20">
      <w:pPr>
        <w:rPr>
          <w:rFonts w:ascii="Arial" w:hAnsi="Arial"/>
          <w:color w:val="002060"/>
        </w:rPr>
      </w:pPr>
      <w:r>
        <w:rPr>
          <w:rFonts w:ascii="Arial" w:hAnsi="Arial"/>
          <w:color w:val="002060"/>
        </w:rPr>
        <w:t>Therapeutic cervical spinal epidural injections are recommended for coverage for cervical spine pain with radiculopathy of six weeks duration (</w:t>
      </w:r>
      <w:r>
        <w:rPr>
          <w:rFonts w:ascii="Arial" w:hAnsi="Arial"/>
          <w:i/>
          <w:color w:val="002060"/>
        </w:rPr>
        <w:t>weak recommendation</w:t>
      </w:r>
      <w:r>
        <w:rPr>
          <w:rFonts w:ascii="Arial" w:hAnsi="Arial"/>
          <w:color w:val="002060"/>
        </w:rPr>
        <w:t>) only when all of the following criteria are met:</w:t>
      </w:r>
    </w:p>
    <w:p w14:paraId="3CBCB278" w14:textId="77777777" w:rsidR="00F02E20" w:rsidRDefault="00F02E20" w:rsidP="00F02E20">
      <w:pPr>
        <w:numPr>
          <w:ilvl w:val="0"/>
          <w:numId w:val="7"/>
        </w:numPr>
        <w:spacing w:line="276" w:lineRule="auto"/>
        <w:rPr>
          <w:rFonts w:ascii="Arial" w:hAnsi="Arial" w:cs="Arial"/>
          <w:color w:val="002060"/>
          <w:szCs w:val="22"/>
        </w:rPr>
      </w:pPr>
      <w:r>
        <w:rPr>
          <w:rFonts w:ascii="Arial" w:hAnsi="Arial" w:cs="Arial"/>
          <w:color w:val="002060"/>
        </w:rPr>
        <w:t xml:space="preserve">documented neuroforaminal stenosis (without infection or neoplasia) </w:t>
      </w:r>
    </w:p>
    <w:p w14:paraId="2E177FF5" w14:textId="77777777" w:rsidR="00F02E20" w:rsidRDefault="00F02E20" w:rsidP="00F02E20">
      <w:pPr>
        <w:numPr>
          <w:ilvl w:val="0"/>
          <w:numId w:val="7"/>
        </w:numPr>
        <w:spacing w:line="276" w:lineRule="auto"/>
        <w:rPr>
          <w:rFonts w:ascii="Arial" w:hAnsi="Arial" w:cs="Arial"/>
          <w:color w:val="002060"/>
        </w:rPr>
      </w:pPr>
      <w:r>
        <w:rPr>
          <w:rFonts w:ascii="Arial" w:hAnsi="Arial" w:cs="Arial"/>
          <w:color w:val="002060"/>
        </w:rPr>
        <w:t>radicular pain in a corresponding dermatomal distribution,</w:t>
      </w:r>
    </w:p>
    <w:p w14:paraId="5694B617" w14:textId="77777777" w:rsidR="00F02E20" w:rsidRDefault="00F02E20" w:rsidP="00F02E20">
      <w:pPr>
        <w:numPr>
          <w:ilvl w:val="0"/>
          <w:numId w:val="7"/>
        </w:numPr>
        <w:rPr>
          <w:rFonts w:ascii="Arial" w:hAnsi="Arial" w:cstheme="minorBidi"/>
          <w:color w:val="002060"/>
        </w:rPr>
      </w:pPr>
      <w:r>
        <w:rPr>
          <w:rFonts w:ascii="Arial" w:hAnsi="Arial"/>
          <w:color w:val="002060"/>
        </w:rPr>
        <w:t xml:space="preserve">pain is intractable and conservative therapy has failed, </w:t>
      </w:r>
    </w:p>
    <w:p w14:paraId="221A7343" w14:textId="77777777" w:rsidR="00F02E20" w:rsidRDefault="00F02E20" w:rsidP="00F02E20">
      <w:pPr>
        <w:numPr>
          <w:ilvl w:val="0"/>
          <w:numId w:val="7"/>
        </w:numPr>
        <w:rPr>
          <w:rFonts w:ascii="Arial" w:hAnsi="Arial"/>
          <w:color w:val="002060"/>
        </w:rPr>
      </w:pPr>
      <w:r>
        <w:rPr>
          <w:rFonts w:ascii="Arial" w:hAnsi="Arial"/>
          <w:color w:val="002060"/>
        </w:rPr>
        <w:t xml:space="preserve">fluoroscopic guidance or CT guidance is utilized, </w:t>
      </w:r>
    </w:p>
    <w:p w14:paraId="6BC4A22F" w14:textId="77777777" w:rsidR="00F02E20" w:rsidRDefault="00F02E20" w:rsidP="00F02E20">
      <w:pPr>
        <w:numPr>
          <w:ilvl w:val="0"/>
          <w:numId w:val="7"/>
        </w:numPr>
        <w:rPr>
          <w:rFonts w:ascii="Arial" w:hAnsi="Arial"/>
          <w:color w:val="002060"/>
        </w:rPr>
      </w:pPr>
      <w:r>
        <w:rPr>
          <w:rFonts w:ascii="Arial" w:hAnsi="Arial"/>
          <w:color w:val="002060"/>
        </w:rPr>
        <w:t xml:space="preserve">interlaminar approach is utilized, </w:t>
      </w:r>
    </w:p>
    <w:p w14:paraId="718EE4E6" w14:textId="77777777" w:rsidR="00F02E20" w:rsidRDefault="00F02E20" w:rsidP="00F02E20">
      <w:pPr>
        <w:numPr>
          <w:ilvl w:val="0"/>
          <w:numId w:val="7"/>
        </w:numPr>
        <w:rPr>
          <w:rFonts w:ascii="Arial" w:hAnsi="Arial"/>
          <w:color w:val="002060"/>
        </w:rPr>
      </w:pPr>
      <w:r>
        <w:rPr>
          <w:rFonts w:ascii="Arial" w:hAnsi="Arial"/>
          <w:color w:val="002060"/>
        </w:rPr>
        <w:t xml:space="preserve">no more than two injections without clinically meaningful improvement in pain and function, and </w:t>
      </w:r>
    </w:p>
    <w:p w14:paraId="11F04744" w14:textId="77777777" w:rsidR="00F02E20" w:rsidRDefault="00F02E20" w:rsidP="00F02E20">
      <w:pPr>
        <w:numPr>
          <w:ilvl w:val="0"/>
          <w:numId w:val="7"/>
        </w:numPr>
        <w:rPr>
          <w:rFonts w:ascii="Arial" w:hAnsi="Arial"/>
          <w:color w:val="002060"/>
        </w:rPr>
      </w:pPr>
      <w:r>
        <w:rPr>
          <w:rFonts w:ascii="Arial" w:hAnsi="Arial"/>
          <w:color w:val="002060"/>
        </w:rPr>
        <w:t>maximum of three injections in six months.</w:t>
      </w:r>
    </w:p>
    <w:p w14:paraId="49EAAAFC" w14:textId="77777777" w:rsidR="00F02E20" w:rsidRDefault="00F02E20" w:rsidP="00F02E20">
      <w:pPr>
        <w:rPr>
          <w:rFonts w:ascii="Arial" w:hAnsi="Arial"/>
          <w:color w:val="002060"/>
        </w:rPr>
      </w:pPr>
    </w:p>
    <w:p w14:paraId="4AAE50A0" w14:textId="77777777" w:rsidR="00F02E20" w:rsidRDefault="00F02E20" w:rsidP="00F02E20">
      <w:pPr>
        <w:rPr>
          <w:rFonts w:ascii="Arial" w:hAnsi="Arial"/>
          <w:color w:val="002060"/>
        </w:rPr>
      </w:pPr>
      <w:r>
        <w:rPr>
          <w:rFonts w:ascii="Arial" w:hAnsi="Arial"/>
          <w:color w:val="002060"/>
        </w:rPr>
        <w:t>Epidural steroid injections of the cervical spine are not recommended for coverage</w:t>
      </w:r>
      <w:r>
        <w:rPr>
          <w:rFonts w:ascii="Arial" w:hAnsi="Arial"/>
          <w:i/>
          <w:color w:val="002060"/>
        </w:rPr>
        <w:t xml:space="preserve"> (strong recommendation)</w:t>
      </w:r>
      <w:r>
        <w:rPr>
          <w:rFonts w:ascii="Arial" w:hAnsi="Arial"/>
          <w:color w:val="002060"/>
        </w:rPr>
        <w:t xml:space="preserve"> for other types of neck pain or for headache.</w:t>
      </w:r>
    </w:p>
    <w:p w14:paraId="1C57E41E" w14:textId="77777777" w:rsidR="00F02E20" w:rsidRDefault="00F02E20" w:rsidP="00F02E20">
      <w:pPr>
        <w:rPr>
          <w:rFonts w:ascii="Arial" w:hAnsi="Arial"/>
          <w:color w:val="002060"/>
        </w:rPr>
      </w:pPr>
    </w:p>
    <w:p w14:paraId="72D70C24" w14:textId="77777777" w:rsidR="00F02E20" w:rsidRDefault="00F02E20" w:rsidP="00F02E20">
      <w:pPr>
        <w:rPr>
          <w:rFonts w:ascii="Arial" w:hAnsi="Arial"/>
          <w:color w:val="002060"/>
        </w:rPr>
      </w:pPr>
      <w:r>
        <w:rPr>
          <w:rFonts w:ascii="Arial" w:hAnsi="Arial"/>
          <w:color w:val="002060"/>
        </w:rPr>
        <w:t>Therapeutic cervical intraarticular facet joint injections and therapeutic cervical medial branch blocks are not recommended for coverage for facet joint pain (</w:t>
      </w:r>
      <w:r>
        <w:rPr>
          <w:rFonts w:ascii="Arial" w:hAnsi="Arial"/>
          <w:i/>
          <w:color w:val="002060"/>
        </w:rPr>
        <w:t>strong recommendation</w:t>
      </w:r>
      <w:r>
        <w:rPr>
          <w:rFonts w:ascii="Arial" w:hAnsi="Arial"/>
          <w:color w:val="002060"/>
        </w:rPr>
        <w:t>).</w:t>
      </w:r>
    </w:p>
    <w:p w14:paraId="3EF9B897" w14:textId="77777777" w:rsidR="00F02E20" w:rsidRDefault="00F02E20" w:rsidP="00F02E20">
      <w:pPr>
        <w:rPr>
          <w:rFonts w:ascii="Arial" w:hAnsi="Arial"/>
          <w:color w:val="002060"/>
        </w:rPr>
      </w:pPr>
      <w:r>
        <w:rPr>
          <w:rFonts w:ascii="Arial" w:hAnsi="Arial"/>
          <w:color w:val="002060"/>
        </w:rPr>
        <w:t xml:space="preserve">Facet joint radiofrequency neurotomy is recommended for coverage </w:t>
      </w:r>
      <w:r>
        <w:rPr>
          <w:rFonts w:ascii="Arial" w:hAnsi="Arial"/>
          <w:i/>
          <w:color w:val="002060"/>
        </w:rPr>
        <w:t>(weak recommendation)</w:t>
      </w:r>
      <w:r>
        <w:rPr>
          <w:rFonts w:ascii="Arial" w:hAnsi="Arial"/>
          <w:color w:val="002060"/>
        </w:rPr>
        <w:t xml:space="preserve"> only when all the following criteria are met: </w:t>
      </w:r>
    </w:p>
    <w:p w14:paraId="0D2B47E9" w14:textId="77777777" w:rsidR="00F02E20" w:rsidRDefault="00F02E20" w:rsidP="00F02E20">
      <w:pPr>
        <w:numPr>
          <w:ilvl w:val="0"/>
          <w:numId w:val="8"/>
        </w:numPr>
        <w:rPr>
          <w:rFonts w:ascii="Arial" w:hAnsi="Arial"/>
          <w:color w:val="002060"/>
        </w:rPr>
      </w:pPr>
      <w:r>
        <w:rPr>
          <w:rFonts w:ascii="Arial" w:hAnsi="Arial"/>
          <w:color w:val="002060"/>
        </w:rPr>
        <w:t xml:space="preserve">at least 3 months of moderate to severe pain with functional  impairment, </w:t>
      </w:r>
    </w:p>
    <w:p w14:paraId="50725AF5" w14:textId="77777777" w:rsidR="00F02E20" w:rsidRDefault="00F02E20" w:rsidP="00F02E20">
      <w:pPr>
        <w:numPr>
          <w:ilvl w:val="0"/>
          <w:numId w:val="8"/>
        </w:numPr>
        <w:rPr>
          <w:rFonts w:ascii="Arial" w:hAnsi="Arial"/>
          <w:color w:val="002060"/>
        </w:rPr>
      </w:pPr>
      <w:r>
        <w:rPr>
          <w:rFonts w:ascii="Arial" w:hAnsi="Arial"/>
          <w:color w:val="002060"/>
        </w:rPr>
        <w:t xml:space="preserve">pain is predominantly axial and not associated with radiculopathy, </w:t>
      </w:r>
    </w:p>
    <w:p w14:paraId="4E185460" w14:textId="77777777" w:rsidR="00F02E20" w:rsidRDefault="00F02E20" w:rsidP="00F02E20">
      <w:pPr>
        <w:numPr>
          <w:ilvl w:val="0"/>
          <w:numId w:val="8"/>
        </w:numPr>
        <w:rPr>
          <w:rFonts w:ascii="Arial" w:hAnsi="Arial"/>
          <w:color w:val="002060"/>
        </w:rPr>
      </w:pPr>
      <w:r>
        <w:rPr>
          <w:rFonts w:ascii="Arial" w:hAnsi="Arial"/>
          <w:color w:val="002060"/>
        </w:rPr>
        <w:t xml:space="preserve">conservative therapy has failed, and </w:t>
      </w:r>
    </w:p>
    <w:p w14:paraId="1669CBE2" w14:textId="77777777" w:rsidR="00F02E20" w:rsidRDefault="00F02E20" w:rsidP="00F02E20">
      <w:pPr>
        <w:numPr>
          <w:ilvl w:val="0"/>
          <w:numId w:val="8"/>
        </w:numPr>
        <w:rPr>
          <w:rFonts w:ascii="Arial" w:hAnsi="Arial"/>
          <w:color w:val="002060"/>
        </w:rPr>
      </w:pPr>
      <w:r>
        <w:rPr>
          <w:rFonts w:ascii="Arial" w:eastAsia="Calibri" w:hAnsi="Arial" w:cs="Arial"/>
          <w:color w:val="002060"/>
          <w:szCs w:val="20"/>
        </w:rPr>
        <w:t>complete or nearly complete pain relief (80% or greater) following fluoroscopically guided, low-volume local anesthetic blocks of the medial branch nerves, performed on two separate occasions</w:t>
      </w:r>
      <w:r>
        <w:rPr>
          <w:rFonts w:ascii="Arial" w:hAnsi="Arial"/>
          <w:color w:val="002060"/>
        </w:rPr>
        <w:t xml:space="preserve"> using two commonly-used agents with different anticipated durations of action.</w:t>
      </w:r>
    </w:p>
    <w:p w14:paraId="73BF4AE1" w14:textId="77777777" w:rsidR="00F02E20" w:rsidRDefault="00F02E20" w:rsidP="00F02E20">
      <w:pPr>
        <w:rPr>
          <w:rFonts w:ascii="Arial" w:hAnsi="Arial" w:cs="Arial"/>
          <w:szCs w:val="22"/>
          <w:u w:val="single"/>
        </w:rPr>
      </w:pPr>
    </w:p>
    <w:p w14:paraId="0CA89945" w14:textId="77777777" w:rsidR="00A358BE" w:rsidRDefault="00A358BE" w:rsidP="00F02E20">
      <w:pPr>
        <w:rPr>
          <w:rFonts w:ascii="Arial" w:hAnsi="Arial" w:cs="Arial"/>
          <w:szCs w:val="22"/>
          <w:u w:val="single"/>
        </w:rPr>
      </w:pPr>
    </w:p>
    <w:p w14:paraId="3B0CA589" w14:textId="77777777" w:rsidR="00A358BE" w:rsidRDefault="00A358BE" w:rsidP="00F02E20">
      <w:pPr>
        <w:rPr>
          <w:rFonts w:ascii="Arial" w:hAnsi="Arial" w:cs="Arial"/>
          <w:szCs w:val="22"/>
          <w:u w:val="single"/>
        </w:rPr>
      </w:pPr>
    </w:p>
    <w:p w14:paraId="6F375ED2" w14:textId="77777777" w:rsidR="00A358BE" w:rsidRDefault="00A358BE" w:rsidP="00F02E20">
      <w:pPr>
        <w:rPr>
          <w:rFonts w:ascii="Arial" w:hAnsi="Arial" w:cs="Arial"/>
          <w:szCs w:val="22"/>
          <w:u w:val="single"/>
        </w:rPr>
      </w:pPr>
    </w:p>
    <w:sectPr w:rsidR="00A358BE" w:rsidSect="00A06407">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0A07" w14:textId="77777777" w:rsidR="00265063" w:rsidRDefault="00265063">
      <w:r>
        <w:separator/>
      </w:r>
    </w:p>
  </w:endnote>
  <w:endnote w:type="continuationSeparator" w:id="0">
    <w:p w14:paraId="280069BC" w14:textId="77777777" w:rsidR="00265063" w:rsidRDefault="0026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EAE1" w14:textId="77777777" w:rsidR="00D46FF0" w:rsidRDefault="00D46F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6662" w14:textId="77777777" w:rsidR="003E2BE9" w:rsidRPr="00146B0B" w:rsidRDefault="003E2BE9" w:rsidP="009D1C62">
    <w:pPr>
      <w:pStyle w:val="Footer"/>
    </w:pPr>
    <w:r>
      <w:tab/>
    </w:r>
    <w:r w:rsidR="00D941C7">
      <w:rPr>
        <w:noProof/>
      </w:rPr>
      <w:drawing>
        <wp:inline distT="0" distB="0" distL="0" distR="0" wp14:anchorId="0725BC84" wp14:editId="4DBDDA63">
          <wp:extent cx="904875" cy="3619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361950"/>
                  </a:xfrm>
                  <a:prstGeom prst="rect">
                    <a:avLst/>
                  </a:prstGeom>
                  <a:noFill/>
                  <a:ln w="9525">
                    <a:noFill/>
                    <a:miter lim="800000"/>
                    <a:headEnd/>
                    <a:tailEnd/>
                  </a:ln>
                </pic:spPr>
              </pic:pic>
            </a:graphicData>
          </a:graphic>
        </wp:inline>
      </w:drawing>
    </w:r>
    <w:r>
      <w:tab/>
    </w:r>
    <w:r w:rsidR="00062D99">
      <w:fldChar w:fldCharType="begin"/>
    </w:r>
    <w:r>
      <w:instrText xml:space="preserve"> PAGE  </w:instrText>
    </w:r>
    <w:r w:rsidR="00062D99">
      <w:fldChar w:fldCharType="separate"/>
    </w:r>
    <w:r w:rsidR="00D15CCD">
      <w:rPr>
        <w:noProof/>
      </w:rPr>
      <w:t>1</w:t>
    </w:r>
    <w:r w:rsidR="00062D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B721" w14:textId="77777777" w:rsidR="00D46FF0" w:rsidRDefault="00D4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B019C" w14:textId="77777777" w:rsidR="00265063" w:rsidRDefault="00265063">
      <w:r>
        <w:separator/>
      </w:r>
    </w:p>
  </w:footnote>
  <w:footnote w:type="continuationSeparator" w:id="0">
    <w:p w14:paraId="16EB0F19" w14:textId="77777777" w:rsidR="00265063" w:rsidRDefault="00265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D29F" w14:textId="77777777" w:rsidR="00D46FF0" w:rsidRDefault="00D46F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9637" w14:textId="77777777" w:rsidR="00F11304" w:rsidRPr="00D17DC1" w:rsidRDefault="00BF2C88" w:rsidP="00D17DC1">
    <w:pPr>
      <w:jc w:val="center"/>
      <w:rPr>
        <w:b/>
        <w:noProof/>
        <w:sz w:val="28"/>
        <w:szCs w:val="28"/>
      </w:rPr>
    </w:pPr>
    <w:r w:rsidRPr="00D17DC1">
      <w:rPr>
        <w:b/>
        <w:noProof/>
        <w:sz w:val="28"/>
        <w:szCs w:val="28"/>
      </w:rPr>
      <w:t>Oregon Health Plan Prioritized List</w:t>
    </w:r>
  </w:p>
  <w:p w14:paraId="79F2930B" w14:textId="12FB3D3E" w:rsidR="00D17DC1" w:rsidRPr="00876447" w:rsidRDefault="003F1B98" w:rsidP="00D32460">
    <w:pPr>
      <w:jc w:val="center"/>
      <w:rPr>
        <w:rFonts w:asciiTheme="majorHAnsi" w:hAnsiTheme="majorHAnsi" w:cstheme="majorHAnsi"/>
        <w:b/>
      </w:rPr>
    </w:pPr>
    <w:r>
      <w:rPr>
        <w:b/>
        <w:noProof/>
        <w:sz w:val="28"/>
        <w:szCs w:val="28"/>
      </w:rPr>
      <w:t>Excluded Services Guideline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5B69" w14:textId="77777777" w:rsidR="00D46FF0" w:rsidRDefault="00D46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78D1"/>
    <w:multiLevelType w:val="multilevel"/>
    <w:tmpl w:val="D05852F6"/>
    <w:lvl w:ilvl="0">
      <w:start w:val="1"/>
      <w:numFmt w:val="decimal"/>
      <w:lvlText w:val="%1)"/>
      <w:lvlJc w:val="left"/>
      <w:pPr>
        <w:tabs>
          <w:tab w:val="num" w:pos="720"/>
        </w:tabs>
        <w:ind w:left="720" w:hanging="360"/>
      </w:pPr>
      <w:rPr>
        <w:b w:val="0"/>
        <w:i w:val="0"/>
        <w:sz w:val="16"/>
      </w:rPr>
    </w:lvl>
    <w:lvl w:ilvl="1">
      <w:start w:val="1"/>
      <w:numFmt w:val="decimal"/>
      <w:lvlText w:val="%2)"/>
      <w:lvlJc w:val="left"/>
      <w:pPr>
        <w:tabs>
          <w:tab w:val="num" w:pos="1080"/>
        </w:tabs>
        <w:ind w:left="1080" w:hanging="360"/>
      </w:pPr>
      <w:rPr>
        <w:rFonts w:ascii="Arial" w:hAnsi="Arial" w:cs="Times New Roman" w:hint="default"/>
        <w:b w:val="0"/>
        <w:i w:val="0"/>
        <w:sz w:val="22"/>
        <w:szCs w:val="22"/>
      </w:rPr>
    </w:lvl>
    <w:lvl w:ilvl="2">
      <w:start w:val="1"/>
      <w:numFmt w:val="lowerLetter"/>
      <w:lvlText w:val="%3)"/>
      <w:lvlJc w:val="left"/>
      <w:pPr>
        <w:tabs>
          <w:tab w:val="num" w:pos="1440"/>
        </w:tabs>
        <w:ind w:left="1440" w:hanging="360"/>
      </w:pPr>
      <w:rPr>
        <w:rFonts w:ascii="Arial" w:hAnsi="Arial" w:cs="Times New Roman" w:hint="default"/>
        <w:b w:val="0"/>
        <w:i w:val="0"/>
        <w:sz w:val="16"/>
      </w:rPr>
    </w:lvl>
    <w:lvl w:ilvl="3">
      <w:start w:val="1"/>
      <w:numFmt w:val="lowerRoman"/>
      <w:lvlText w:val="%4)"/>
      <w:lvlJc w:val="left"/>
      <w:pPr>
        <w:tabs>
          <w:tab w:val="num" w:pos="1800"/>
        </w:tabs>
        <w:ind w:left="1800" w:hanging="360"/>
      </w:pPr>
      <w:rPr>
        <w:rFonts w:ascii="Arial" w:hAnsi="Arial" w:cs="Times New Roman" w:hint="default"/>
        <w:b w:val="0"/>
        <w:i w:val="0"/>
        <w:sz w:val="16"/>
      </w:rPr>
    </w:lvl>
    <w:lvl w:ilvl="4">
      <w:start w:val="1"/>
      <w:numFmt w:val="lowerLetter"/>
      <w:lvlText w:val="(%5)"/>
      <w:lvlJc w:val="left"/>
      <w:pPr>
        <w:tabs>
          <w:tab w:val="num" w:pos="2160"/>
        </w:tabs>
        <w:ind w:left="2160" w:hanging="360"/>
      </w:pPr>
      <w:rPr>
        <w:rFonts w:ascii="Courier New" w:hAnsi="Courier New" w:cs="Times New Roman" w:hint="default"/>
        <w:b/>
        <w:i w:val="0"/>
        <w:sz w:val="16"/>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376E88"/>
    <w:multiLevelType w:val="hybridMultilevel"/>
    <w:tmpl w:val="636201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C75061"/>
    <w:multiLevelType w:val="hybridMultilevel"/>
    <w:tmpl w:val="AD0E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7D32"/>
    <w:multiLevelType w:val="hybridMultilevel"/>
    <w:tmpl w:val="25127A8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9C5E62"/>
    <w:multiLevelType w:val="hybridMultilevel"/>
    <w:tmpl w:val="60EE23C8"/>
    <w:lvl w:ilvl="0" w:tplc="035C2E0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7B0E92"/>
    <w:multiLevelType w:val="hybridMultilevel"/>
    <w:tmpl w:val="84AC3F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927B97"/>
    <w:multiLevelType w:val="hybridMultilevel"/>
    <w:tmpl w:val="6A165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22F734D"/>
    <w:multiLevelType w:val="hybridMultilevel"/>
    <w:tmpl w:val="E54669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6D4562"/>
    <w:multiLevelType w:val="hybridMultilevel"/>
    <w:tmpl w:val="C83647C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B4B6E68"/>
    <w:multiLevelType w:val="hybridMultilevel"/>
    <w:tmpl w:val="D6306A08"/>
    <w:lvl w:ilvl="0" w:tplc="0586433C">
      <w:start w:val="1"/>
      <w:numFmt w:val="bullet"/>
      <w:pStyle w:val="HSCBullet1"/>
      <w:lvlText w:val=""/>
      <w:lvlJc w:val="left"/>
      <w:pPr>
        <w:tabs>
          <w:tab w:val="num" w:pos="360"/>
        </w:tabs>
        <w:ind w:left="360"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3A3AB8"/>
    <w:multiLevelType w:val="hybridMultilevel"/>
    <w:tmpl w:val="F580F034"/>
    <w:lvl w:ilvl="0" w:tplc="507CF53E">
      <w:start w:val="1"/>
      <w:numFmt w:val="decimal"/>
      <w:lvlText w:val="%1)"/>
      <w:lvlJc w:val="left"/>
      <w:pPr>
        <w:tabs>
          <w:tab w:val="num" w:pos="720"/>
        </w:tabs>
        <w:ind w:left="720" w:hanging="360"/>
      </w:pPr>
      <w:rPr>
        <w:rFonts w:ascii="Arial" w:hAnsi="Arial" w:cs="Arial" w:hint="default"/>
        <w:color w:val="00008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72D821A6"/>
    <w:multiLevelType w:val="hybridMultilevel"/>
    <w:tmpl w:val="96C0E666"/>
    <w:lvl w:ilvl="0" w:tplc="BC78E870">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5D08EA"/>
    <w:multiLevelType w:val="hybridMultilevel"/>
    <w:tmpl w:val="E32CD1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C2F64D7"/>
    <w:multiLevelType w:val="hybridMultilevel"/>
    <w:tmpl w:val="9C04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7764064">
    <w:abstractNumId w:val="10"/>
  </w:num>
  <w:num w:numId="2" w16cid:durableId="842741428">
    <w:abstractNumId w:val="2"/>
  </w:num>
  <w:num w:numId="3" w16cid:durableId="1886092675">
    <w:abstractNumId w:val="8"/>
  </w:num>
  <w:num w:numId="4" w16cid:durableId="12127675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38439">
    <w:abstractNumId w:val="11"/>
  </w:num>
  <w:num w:numId="6" w16cid:durableId="770324041">
    <w:abstractNumId w:val="9"/>
  </w:num>
  <w:num w:numId="7" w16cid:durableId="1632633761">
    <w:abstractNumId w:val="6"/>
  </w:num>
  <w:num w:numId="8" w16cid:durableId="1265772333">
    <w:abstractNumId w:val="13"/>
  </w:num>
  <w:num w:numId="9" w16cid:durableId="290673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5983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480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876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0166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9487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63"/>
    <w:rsid w:val="000114D4"/>
    <w:rsid w:val="00034DA2"/>
    <w:rsid w:val="00062D99"/>
    <w:rsid w:val="000A5877"/>
    <w:rsid w:val="000E4EE6"/>
    <w:rsid w:val="000E6ABA"/>
    <w:rsid w:val="00112E35"/>
    <w:rsid w:val="00125B69"/>
    <w:rsid w:val="00146B0B"/>
    <w:rsid w:val="00161173"/>
    <w:rsid w:val="00174B84"/>
    <w:rsid w:val="001C1AC2"/>
    <w:rsid w:val="001E6492"/>
    <w:rsid w:val="001F2924"/>
    <w:rsid w:val="00241DFF"/>
    <w:rsid w:val="002567C3"/>
    <w:rsid w:val="00265063"/>
    <w:rsid w:val="002C7FB2"/>
    <w:rsid w:val="002E7B3E"/>
    <w:rsid w:val="002F4236"/>
    <w:rsid w:val="00313C24"/>
    <w:rsid w:val="00347591"/>
    <w:rsid w:val="00362566"/>
    <w:rsid w:val="003B3891"/>
    <w:rsid w:val="003B473D"/>
    <w:rsid w:val="003E2BE9"/>
    <w:rsid w:val="003E3BC4"/>
    <w:rsid w:val="003F1B98"/>
    <w:rsid w:val="00424A46"/>
    <w:rsid w:val="00441A01"/>
    <w:rsid w:val="004571AF"/>
    <w:rsid w:val="004C739A"/>
    <w:rsid w:val="004D5309"/>
    <w:rsid w:val="004F6524"/>
    <w:rsid w:val="00512F8B"/>
    <w:rsid w:val="00522960"/>
    <w:rsid w:val="0053244B"/>
    <w:rsid w:val="005359C7"/>
    <w:rsid w:val="0056337E"/>
    <w:rsid w:val="005A1108"/>
    <w:rsid w:val="005A1767"/>
    <w:rsid w:val="005A1EEE"/>
    <w:rsid w:val="005B71A4"/>
    <w:rsid w:val="005F2AED"/>
    <w:rsid w:val="00660609"/>
    <w:rsid w:val="006A5420"/>
    <w:rsid w:val="006C453D"/>
    <w:rsid w:val="00704160"/>
    <w:rsid w:val="00706804"/>
    <w:rsid w:val="0074542B"/>
    <w:rsid w:val="00752E2C"/>
    <w:rsid w:val="00795889"/>
    <w:rsid w:val="00796202"/>
    <w:rsid w:val="007C2859"/>
    <w:rsid w:val="007E68A1"/>
    <w:rsid w:val="00803C6B"/>
    <w:rsid w:val="00805766"/>
    <w:rsid w:val="0084178D"/>
    <w:rsid w:val="00844609"/>
    <w:rsid w:val="00845277"/>
    <w:rsid w:val="008746C3"/>
    <w:rsid w:val="00876447"/>
    <w:rsid w:val="008A0C70"/>
    <w:rsid w:val="008D4987"/>
    <w:rsid w:val="00941AE1"/>
    <w:rsid w:val="009532AE"/>
    <w:rsid w:val="00976107"/>
    <w:rsid w:val="00985891"/>
    <w:rsid w:val="00994D5A"/>
    <w:rsid w:val="009A0FBD"/>
    <w:rsid w:val="009D1C62"/>
    <w:rsid w:val="009E3767"/>
    <w:rsid w:val="009F2B34"/>
    <w:rsid w:val="00A06407"/>
    <w:rsid w:val="00A358BE"/>
    <w:rsid w:val="00A45839"/>
    <w:rsid w:val="00A700F8"/>
    <w:rsid w:val="00AF1D55"/>
    <w:rsid w:val="00B26A1F"/>
    <w:rsid w:val="00B82B0C"/>
    <w:rsid w:val="00BB14B5"/>
    <w:rsid w:val="00BB5801"/>
    <w:rsid w:val="00BF17A5"/>
    <w:rsid w:val="00BF2C88"/>
    <w:rsid w:val="00C16DF6"/>
    <w:rsid w:val="00C218BD"/>
    <w:rsid w:val="00C2263B"/>
    <w:rsid w:val="00C241EE"/>
    <w:rsid w:val="00C51C06"/>
    <w:rsid w:val="00C81805"/>
    <w:rsid w:val="00C92D56"/>
    <w:rsid w:val="00CD746B"/>
    <w:rsid w:val="00CF4DA2"/>
    <w:rsid w:val="00D03EAC"/>
    <w:rsid w:val="00D15CCD"/>
    <w:rsid w:val="00D17DC1"/>
    <w:rsid w:val="00D32460"/>
    <w:rsid w:val="00D34794"/>
    <w:rsid w:val="00D46FF0"/>
    <w:rsid w:val="00D941C7"/>
    <w:rsid w:val="00E25B1C"/>
    <w:rsid w:val="00EC3B5C"/>
    <w:rsid w:val="00F02E20"/>
    <w:rsid w:val="00F11304"/>
    <w:rsid w:val="00F95C19"/>
    <w:rsid w:val="00FB0CFD"/>
    <w:rsid w:val="00FC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8BAFE94"/>
  <w15:docId w15:val="{5AF802F5-5F30-4BDB-91ED-E245C457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7A5"/>
    <w:rPr>
      <w:sz w:val="24"/>
      <w:szCs w:val="24"/>
    </w:rPr>
  </w:style>
  <w:style w:type="paragraph" w:styleId="Heading1">
    <w:name w:val="heading 1"/>
    <w:basedOn w:val="HSCNormal"/>
    <w:next w:val="HSCNormal"/>
    <w:link w:val="Heading1Char"/>
    <w:qFormat/>
    <w:locked/>
    <w:rsid w:val="00F02E20"/>
    <w:pPr>
      <w:keepNext/>
      <w:keepLines/>
      <w:spacing w:after="160"/>
      <w:contextualSpacing/>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E25B1C"/>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BB5801"/>
    <w:pPr>
      <w:tabs>
        <w:tab w:val="center" w:pos="4320"/>
        <w:tab w:val="right" w:pos="8640"/>
      </w:tabs>
    </w:pPr>
  </w:style>
  <w:style w:type="character" w:customStyle="1" w:styleId="HeaderChar">
    <w:name w:val="Header Char"/>
    <w:basedOn w:val="DefaultParagraphFont"/>
    <w:link w:val="Header"/>
    <w:uiPriority w:val="99"/>
    <w:semiHidden/>
    <w:locked/>
    <w:rsid w:val="00062D99"/>
    <w:rPr>
      <w:rFonts w:ascii="Calibri" w:hAnsi="Calibri"/>
    </w:rPr>
  </w:style>
  <w:style w:type="paragraph" w:styleId="Footer">
    <w:name w:val="footer"/>
    <w:basedOn w:val="Normal"/>
    <w:link w:val="FooterChar"/>
    <w:uiPriority w:val="99"/>
    <w:rsid w:val="00BB5801"/>
    <w:pPr>
      <w:tabs>
        <w:tab w:val="center" w:pos="4320"/>
        <w:tab w:val="right" w:pos="8640"/>
      </w:tabs>
    </w:pPr>
  </w:style>
  <w:style w:type="character" w:customStyle="1" w:styleId="FooterChar">
    <w:name w:val="Footer Char"/>
    <w:basedOn w:val="DefaultParagraphFont"/>
    <w:link w:val="Footer"/>
    <w:uiPriority w:val="99"/>
    <w:locked/>
    <w:rsid w:val="006C453D"/>
    <w:rPr>
      <w:rFonts w:ascii="Calibri" w:hAnsi="Calibri"/>
      <w:sz w:val="22"/>
    </w:rPr>
  </w:style>
  <w:style w:type="character" w:styleId="PageNumber">
    <w:name w:val="page number"/>
    <w:basedOn w:val="DefaultParagraphFont"/>
    <w:uiPriority w:val="99"/>
    <w:rsid w:val="00BB5801"/>
    <w:rPr>
      <w:rFonts w:cs="Times New Roman"/>
    </w:rPr>
  </w:style>
  <w:style w:type="paragraph" w:styleId="ListParagraph">
    <w:name w:val="List Paragraph"/>
    <w:basedOn w:val="Normal"/>
    <w:uiPriority w:val="34"/>
    <w:qFormat/>
    <w:rsid w:val="001E6492"/>
    <w:pPr>
      <w:spacing w:after="200" w:line="276" w:lineRule="auto"/>
      <w:ind w:left="720"/>
      <w:contextualSpacing/>
    </w:pPr>
  </w:style>
  <w:style w:type="paragraph" w:styleId="BalloonText">
    <w:name w:val="Balloon Text"/>
    <w:basedOn w:val="Normal"/>
    <w:link w:val="BalloonTextChar"/>
    <w:uiPriority w:val="99"/>
    <w:rsid w:val="006C453D"/>
    <w:rPr>
      <w:rFonts w:ascii="Tahoma" w:hAnsi="Tahoma" w:cs="Tahoma"/>
      <w:sz w:val="16"/>
      <w:szCs w:val="16"/>
    </w:rPr>
  </w:style>
  <w:style w:type="character" w:customStyle="1" w:styleId="BalloonTextChar">
    <w:name w:val="Balloon Text Char"/>
    <w:basedOn w:val="DefaultParagraphFont"/>
    <w:link w:val="BalloonText"/>
    <w:uiPriority w:val="99"/>
    <w:locked/>
    <w:rsid w:val="006C453D"/>
    <w:rPr>
      <w:rFonts w:ascii="Tahoma" w:hAnsi="Tahoma"/>
      <w:sz w:val="16"/>
    </w:rPr>
  </w:style>
  <w:style w:type="paragraph" w:styleId="NormalWeb">
    <w:name w:val="Normal (Web)"/>
    <w:basedOn w:val="Normal"/>
    <w:uiPriority w:val="99"/>
    <w:semiHidden/>
    <w:unhideWhenUsed/>
    <w:rsid w:val="00C16DF6"/>
    <w:pPr>
      <w:spacing w:before="100" w:beforeAutospacing="1" w:after="100" w:afterAutospacing="1"/>
    </w:pPr>
    <w:rPr>
      <w:rFonts w:eastAsiaTheme="minorHAnsi"/>
    </w:rPr>
  </w:style>
  <w:style w:type="character" w:customStyle="1" w:styleId="CGBoxTextChar">
    <w:name w:val="CG Box Text Char"/>
    <w:basedOn w:val="DefaultParagraphFont"/>
    <w:link w:val="CGBoxText"/>
    <w:locked/>
    <w:rsid w:val="00C16DF6"/>
    <w:rPr>
      <w:rFonts w:ascii="Arial" w:hAnsi="Arial" w:cs="Arial"/>
      <w:color w:val="002060"/>
      <w:szCs w:val="24"/>
    </w:rPr>
  </w:style>
  <w:style w:type="paragraph" w:customStyle="1" w:styleId="CGBoxText">
    <w:name w:val="CG Box Text"/>
    <w:link w:val="CGBoxTextChar"/>
    <w:qFormat/>
    <w:rsid w:val="00C16DF6"/>
    <w:pPr>
      <w:spacing w:after="200"/>
    </w:pPr>
    <w:rPr>
      <w:rFonts w:ascii="Arial" w:hAnsi="Arial" w:cs="Arial"/>
      <w:color w:val="002060"/>
      <w:szCs w:val="24"/>
    </w:rPr>
  </w:style>
  <w:style w:type="character" w:customStyle="1" w:styleId="Heading1Char">
    <w:name w:val="Heading 1 Char"/>
    <w:basedOn w:val="DefaultParagraphFont"/>
    <w:link w:val="Heading1"/>
    <w:rsid w:val="00F02E20"/>
    <w:rPr>
      <w:rFonts w:ascii="Arial" w:hAnsi="Arial" w:cs="Courier New"/>
      <w:b/>
      <w:sz w:val="16"/>
      <w:szCs w:val="24"/>
    </w:rPr>
  </w:style>
  <w:style w:type="character" w:styleId="Hyperlink">
    <w:name w:val="Hyperlink"/>
    <w:basedOn w:val="DefaultParagraphFont"/>
    <w:semiHidden/>
    <w:unhideWhenUsed/>
    <w:rsid w:val="00F02E20"/>
    <w:rPr>
      <w:color w:val="0000FF"/>
      <w:u w:val="single"/>
    </w:rPr>
  </w:style>
  <w:style w:type="character" w:customStyle="1" w:styleId="CGHeadingboxChar">
    <w:name w:val="CG Heading box Char"/>
    <w:basedOn w:val="DefaultParagraphFont"/>
    <w:link w:val="CGHeadingbox"/>
    <w:locked/>
    <w:rsid w:val="00F02E20"/>
    <w:rPr>
      <w:rFonts w:ascii="Arial" w:eastAsia="Calibri" w:hAnsi="Arial" w:cs="Arial"/>
      <w:color w:val="002060"/>
      <w:sz w:val="24"/>
      <w:szCs w:val="24"/>
      <w:u w:val="single"/>
    </w:rPr>
  </w:style>
  <w:style w:type="paragraph" w:customStyle="1" w:styleId="CGHeadingbox">
    <w:name w:val="CG Heading box"/>
    <w:basedOn w:val="Normal"/>
    <w:link w:val="CGHeadingboxChar"/>
    <w:qFormat/>
    <w:rsid w:val="00F02E20"/>
    <w:pPr>
      <w:spacing w:before="40" w:after="200" w:line="276" w:lineRule="auto"/>
      <w:jc w:val="center"/>
      <w:outlineLvl w:val="0"/>
    </w:pPr>
    <w:rPr>
      <w:rFonts w:ascii="Arial" w:eastAsia="Calibri" w:hAnsi="Arial" w:cs="Arial"/>
      <w:color w:val="002060"/>
      <w:u w:val="single"/>
    </w:rPr>
  </w:style>
  <w:style w:type="character" w:customStyle="1" w:styleId="HSCNormalChar">
    <w:name w:val="HSC Normal Char"/>
    <w:basedOn w:val="DefaultParagraphFont"/>
    <w:link w:val="HSCNormal"/>
    <w:locked/>
    <w:rsid w:val="00F02E20"/>
    <w:rPr>
      <w:rFonts w:ascii="Arial" w:hAnsi="Arial" w:cs="Courier New"/>
      <w:sz w:val="16"/>
      <w:szCs w:val="24"/>
    </w:rPr>
  </w:style>
  <w:style w:type="paragraph" w:customStyle="1" w:styleId="HSCNormal">
    <w:name w:val="HSC Normal"/>
    <w:link w:val="HSCNormalChar"/>
    <w:qFormat/>
    <w:rsid w:val="00F02E20"/>
    <w:pPr>
      <w:suppressAutoHyphens/>
    </w:pPr>
    <w:rPr>
      <w:rFonts w:ascii="Arial" w:hAnsi="Arial" w:cs="Courier New"/>
      <w:sz w:val="16"/>
      <w:szCs w:val="24"/>
    </w:rPr>
  </w:style>
  <w:style w:type="character" w:customStyle="1" w:styleId="HSCOL1CharChar">
    <w:name w:val="HSC OL1 Char Char"/>
    <w:basedOn w:val="DefaultParagraphFont"/>
    <w:link w:val="HSCOL1"/>
    <w:locked/>
    <w:rsid w:val="00F02E20"/>
    <w:rPr>
      <w:rFonts w:ascii="Arial" w:hAnsi="Arial" w:cs="Courier New"/>
      <w:sz w:val="16"/>
      <w:szCs w:val="24"/>
    </w:rPr>
  </w:style>
  <w:style w:type="paragraph" w:customStyle="1" w:styleId="HSCOL1">
    <w:name w:val="HSC OL1"/>
    <w:basedOn w:val="HSCNormal"/>
    <w:link w:val="HSCOL1CharChar"/>
    <w:qFormat/>
    <w:rsid w:val="00F02E20"/>
  </w:style>
  <w:style w:type="paragraph" w:customStyle="1" w:styleId="HSCGLLineList">
    <w:name w:val="HSC GL LineList"/>
    <w:basedOn w:val="Normal"/>
    <w:next w:val="HSCNormal"/>
    <w:qFormat/>
    <w:rsid w:val="00F02E20"/>
    <w:pPr>
      <w:keepNext/>
      <w:keepLines/>
      <w:suppressAutoHyphens/>
      <w:spacing w:after="220"/>
      <w:ind w:left="360"/>
    </w:pPr>
    <w:rPr>
      <w:rFonts w:ascii="Arial" w:hAnsi="Arial" w:cs="Courier New"/>
      <w:bCs/>
      <w:i/>
      <w:sz w:val="16"/>
    </w:rPr>
  </w:style>
  <w:style w:type="paragraph" w:customStyle="1" w:styleId="HSCBullet1">
    <w:name w:val="HSC Bullet1"/>
    <w:basedOn w:val="HSCNormal"/>
    <w:qFormat/>
    <w:rsid w:val="00F02E20"/>
    <w:pPr>
      <w:numPr>
        <w:numId w:val="6"/>
      </w:numPr>
      <w:tabs>
        <w:tab w:val="clear" w:pos="360"/>
        <w:tab w:val="num" w:pos="720"/>
      </w:tabs>
      <w:ind w:left="0" w:firstLine="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4709">
      <w:bodyDiv w:val="1"/>
      <w:marLeft w:val="0"/>
      <w:marRight w:val="0"/>
      <w:marTop w:val="0"/>
      <w:marBottom w:val="0"/>
      <w:divBdr>
        <w:top w:val="none" w:sz="0" w:space="0" w:color="auto"/>
        <w:left w:val="none" w:sz="0" w:space="0" w:color="auto"/>
        <w:bottom w:val="none" w:sz="0" w:space="0" w:color="auto"/>
        <w:right w:val="none" w:sz="0" w:space="0" w:color="auto"/>
      </w:divBdr>
    </w:div>
    <w:div w:id="1773042448">
      <w:bodyDiv w:val="1"/>
      <w:marLeft w:val="0"/>
      <w:marRight w:val="0"/>
      <w:marTop w:val="0"/>
      <w:marBottom w:val="0"/>
      <w:divBdr>
        <w:top w:val="none" w:sz="0" w:space="0" w:color="auto"/>
        <w:left w:val="none" w:sz="0" w:space="0" w:color="auto"/>
        <w:bottom w:val="none" w:sz="0" w:space="0" w:color="auto"/>
        <w:right w:val="none" w:sz="0" w:space="0" w:color="auto"/>
      </w:divBdr>
    </w:div>
    <w:div w:id="2064014905">
      <w:marLeft w:val="0"/>
      <w:marRight w:val="0"/>
      <w:marTop w:val="0"/>
      <w:marBottom w:val="0"/>
      <w:divBdr>
        <w:top w:val="none" w:sz="0" w:space="0" w:color="auto"/>
        <w:left w:val="none" w:sz="0" w:space="0" w:color="auto"/>
        <w:bottom w:val="none" w:sz="0" w:space="0" w:color="auto"/>
        <w:right w:val="none" w:sz="0" w:space="0" w:color="auto"/>
      </w:divBdr>
    </w:div>
    <w:div w:id="2064014906">
      <w:marLeft w:val="0"/>
      <w:marRight w:val="0"/>
      <w:marTop w:val="0"/>
      <w:marBottom w:val="0"/>
      <w:divBdr>
        <w:top w:val="none" w:sz="0" w:space="0" w:color="auto"/>
        <w:left w:val="none" w:sz="0" w:space="0" w:color="auto"/>
        <w:bottom w:val="none" w:sz="0" w:space="0" w:color="auto"/>
        <w:right w:val="none" w:sz="0" w:space="0" w:color="auto"/>
      </w:divBdr>
    </w:div>
    <w:div w:id="2064014907">
      <w:marLeft w:val="0"/>
      <w:marRight w:val="0"/>
      <w:marTop w:val="0"/>
      <w:marBottom w:val="0"/>
      <w:divBdr>
        <w:top w:val="none" w:sz="0" w:space="0" w:color="auto"/>
        <w:left w:val="none" w:sz="0" w:space="0" w:color="auto"/>
        <w:bottom w:val="none" w:sz="0" w:space="0" w:color="auto"/>
        <w:right w:val="none" w:sz="0" w:space="0" w:color="auto"/>
      </w:divBdr>
    </w:div>
    <w:div w:id="2064014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OHPR%20HERC%20Public\DBFiles\Templates\SearchableListRationa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https://www.oregon.gov/oha/HPA/DSI-HERC/SearchablePLdocuments/GL173-Facet-joint-injections-cervical-thoracic-64490-64492.docx</Url>
      <Description>GL173-Facet-joint-injections-cervical-thoracic-64490-64492</Description>
    </URL>
    <IACategory xmlns="59da1016-2a1b-4f8a-9768-d7a4932f6f16" xsi:nil="true"/>
    <IASubtopic xmlns="59da1016-2a1b-4f8a-9768-d7a4932f6f16" xsi:nil="true"/>
    <DocumentExpirationDate xmlns="59da1016-2a1b-4f8a-9768-d7a4932f6f16" xsi:nil="true"/>
    <Meta_x0020_Keywords xmlns="02aa3302-3726-4429-bc74-2da0b757c478">;</Meta_x0020_Keywords>
    <IATopic xmlns="59da1016-2a1b-4f8a-9768-d7a4932f6f16" xsi:nil="true"/>
    <Meta_x0020_Description xmlns="02aa3302-3726-4429-bc74-2da0b757c478">GL173</Meta_x0020_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9C606-A28E-4678-93B2-6BF3A2029AFA}">
  <ds:schemaRefs>
    <ds:schemaRef ds:uri="http://schemas.microsoft.com/office/2006/metadata/properties"/>
    <ds:schemaRef ds:uri="http://schemas.microsoft.com/office/infopath/2007/PartnerControls"/>
    <ds:schemaRef ds:uri="http://schemas.microsoft.com/sharepoint/v3"/>
    <ds:schemaRef ds:uri="59da1016-2a1b-4f8a-9768-d7a4932f6f16"/>
    <ds:schemaRef ds:uri="02aa3302-3726-4429-bc74-2da0b757c478"/>
  </ds:schemaRefs>
</ds:datastoreItem>
</file>

<file path=customXml/itemProps2.xml><?xml version="1.0" encoding="utf-8"?>
<ds:datastoreItem xmlns:ds="http://schemas.openxmlformats.org/officeDocument/2006/customXml" ds:itemID="{E8DF8E02-C67D-4BB3-958E-BD7FA5CD36D5}">
  <ds:schemaRefs>
    <ds:schemaRef ds:uri="http://schemas.microsoft.com/sharepoint/v3/contenttype/forms"/>
  </ds:schemaRefs>
</ds:datastoreItem>
</file>

<file path=customXml/itemProps3.xml><?xml version="1.0" encoding="utf-8"?>
<ds:datastoreItem xmlns:ds="http://schemas.openxmlformats.org/officeDocument/2006/customXml" ds:itemID="{DF547B1E-773B-433A-AD90-160428267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02aa3302-3726-4429-bc74-2da0b757c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SearchableListRationale.dotx</Template>
  <TotalTime>0</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Services Recommended for Non-Coverage - Rationale 64490-64492</vt:lpstr>
    </vt:vector>
  </TitlesOfParts>
  <Company>State of Oregon</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GL173-Facet-joint-injections-cervical-thoracic-64490-64492</dc:title>
  <dc:creator>Jason Gingerich</dc:creator>
  <cp:keywords/>
  <cp:lastModifiedBy>Jason Gingerich</cp:lastModifiedBy>
  <cp:revision>2</cp:revision>
  <dcterms:created xsi:type="dcterms:W3CDTF">2025-07-03T23:13:00Z</dcterms:created>
  <dcterms:modified xsi:type="dcterms:W3CDTF">2025-07-03T23:13:00Z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y fmtid="{D5CDD505-2E9C-101B-9397-08002B2CF9AE}" pid="3" name="WorkflowChangePath">
    <vt:lpwstr>e0fd33a0-6abf-4466-b8dc-af1bac9c3e31,2;e0fd33a0-6abf-4466-b8dc-af1bac9c3e31,5;e0fd33a0-6abf-4466-b8dc-af1bac9c3e31,8;e0fd33a0-6abf-4466-b8dc-af1bac9c3e31,10;e0fd33a0-6abf-4466-b8dc-af1bac9c3e31,12;e0fd33a0-6abf-4466-b8dc-af1bac9c3e31,3;</vt:lpwstr>
  </property>
  <property fmtid="{D5CDD505-2E9C-101B-9397-08002B2CF9AE}" pid="4" name="Order">
    <vt:r8>88000</vt:r8>
  </property>
</Properties>
</file>