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04FF" w14:textId="77777777" w:rsidR="001E4A39" w:rsidRDefault="001E4A39" w:rsidP="00DC1ECE">
      <w:pPr>
        <w:autoSpaceDE w:val="0"/>
        <w:autoSpaceDN w:val="0"/>
        <w:adjustRightInd w:val="0"/>
        <w:spacing w:after="0" w:line="240" w:lineRule="auto"/>
        <w:rPr>
          <w:rFonts w:cstheme="minorHAnsi"/>
          <w:b/>
          <w:sz w:val="24"/>
          <w:szCs w:val="24"/>
        </w:rPr>
      </w:pPr>
      <w:r>
        <w:rPr>
          <w:rFonts w:cstheme="minorHAnsi"/>
          <w:b/>
          <w:sz w:val="24"/>
          <w:szCs w:val="24"/>
        </w:rPr>
        <w:t>Editor's note: On 1/1/2025, Guideline Notes 172 and 173 were replaced with Excluded Services Guidelines 1 and 2, which serve the same functions. References to Guidelines 172-173 can be treated interchangeably with Excluded Services Guidelines E1-E2 unless HERC has revised its decision since the original approval.</w:t>
      </w:r>
    </w:p>
    <w:p w14:paraId="6476F42E" w14:textId="77777777" w:rsidR="001E4A39" w:rsidRDefault="001E4A39" w:rsidP="00DC1ECE">
      <w:pPr>
        <w:autoSpaceDE w:val="0"/>
        <w:autoSpaceDN w:val="0"/>
        <w:adjustRightInd w:val="0"/>
        <w:spacing w:after="0" w:line="240" w:lineRule="auto"/>
        <w:rPr>
          <w:rFonts w:cstheme="minorHAnsi"/>
          <w:b/>
          <w:sz w:val="24"/>
          <w:szCs w:val="24"/>
        </w:rPr>
      </w:pPr>
    </w:p>
    <w:p w14:paraId="18E0FC27" w14:textId="7407A5F7" w:rsidR="0033578D" w:rsidRDefault="0033578D" w:rsidP="00DC1ECE">
      <w:pPr>
        <w:autoSpaceDE w:val="0"/>
        <w:autoSpaceDN w:val="0"/>
        <w:adjustRightInd w:val="0"/>
        <w:spacing w:after="0" w:line="240" w:lineRule="auto"/>
        <w:rPr>
          <w:rFonts w:cstheme="minorHAnsi"/>
          <w:b/>
          <w:sz w:val="24"/>
          <w:szCs w:val="24"/>
        </w:rPr>
      </w:pPr>
    </w:p>
    <w:p w14:paraId="0A361314" w14:textId="12E8B88E" w:rsidR="0033578D" w:rsidRDefault="00450044" w:rsidP="00DC1ECE">
      <w:pPr>
        <w:autoSpaceDE w:val="0"/>
        <w:autoSpaceDN w:val="0"/>
        <w:adjustRightInd w:val="0"/>
        <w:spacing w:after="0" w:line="240" w:lineRule="auto"/>
        <w:rPr>
          <w:b/>
          <w:sz w:val="24"/>
          <w:szCs w:val="24"/>
        </w:rPr>
      </w:pPr>
      <w:r w:rsidRPr="00325B45">
        <w:rPr>
          <w:rStyle w:val="PageNumber"/>
          <w:b/>
          <w:sz w:val="24"/>
          <w:szCs w:val="24"/>
        </w:rPr>
        <w:t xml:space="preserve">G0482 (definitive testing of </w:t>
      </w:r>
      <w:r w:rsidRPr="00325B45">
        <w:rPr>
          <w:b/>
          <w:sz w:val="24"/>
          <w:szCs w:val="24"/>
        </w:rPr>
        <w:t xml:space="preserve">15-21 drug classes) </w:t>
      </w:r>
      <w:r w:rsidRPr="00325B45">
        <w:rPr>
          <w:rStyle w:val="PageNumber"/>
          <w:b/>
          <w:sz w:val="24"/>
          <w:szCs w:val="24"/>
        </w:rPr>
        <w:t xml:space="preserve">and G0483 (definitive testing of </w:t>
      </w:r>
      <w:r w:rsidRPr="00325B45">
        <w:rPr>
          <w:b/>
          <w:sz w:val="24"/>
          <w:szCs w:val="24"/>
        </w:rPr>
        <w:t>22 or more drug classes)</w:t>
      </w:r>
    </w:p>
    <w:p w14:paraId="57868E80" w14:textId="77777777" w:rsidR="00450044" w:rsidRDefault="00450044" w:rsidP="00DC1ECE">
      <w:pPr>
        <w:autoSpaceDE w:val="0"/>
        <w:autoSpaceDN w:val="0"/>
        <w:adjustRightInd w:val="0"/>
        <w:spacing w:after="0" w:line="240" w:lineRule="auto"/>
        <w:rPr>
          <w:rFonts w:cstheme="minorHAnsi"/>
          <w:b/>
          <w:sz w:val="24"/>
          <w:szCs w:val="24"/>
        </w:rPr>
      </w:pPr>
    </w:p>
    <w:p w14:paraId="6015B318" w14:textId="32FCD13A" w:rsidR="00DC1ECE" w:rsidRDefault="003A7E4E" w:rsidP="003A7E4E">
      <w:pPr>
        <w:autoSpaceDE w:val="0"/>
        <w:autoSpaceDN w:val="0"/>
        <w:adjustRightInd w:val="0"/>
        <w:spacing w:after="0" w:line="240" w:lineRule="auto"/>
        <w:rPr>
          <w:rFonts w:cstheme="minorHAnsi"/>
          <w:b/>
          <w:bCs/>
          <w:sz w:val="24"/>
          <w:szCs w:val="24"/>
        </w:rPr>
      </w:pPr>
      <w:r w:rsidRPr="003A7E4E">
        <w:rPr>
          <w:rFonts w:cstheme="minorHAnsi"/>
          <w:b/>
          <w:bCs/>
          <w:sz w:val="24"/>
          <w:szCs w:val="24"/>
        </w:rPr>
        <w:t xml:space="preserve">Last reviewed at VbBS in </w:t>
      </w:r>
      <w:r w:rsidR="000028C5">
        <w:rPr>
          <w:rFonts w:cstheme="minorHAnsi"/>
          <w:b/>
          <w:bCs/>
          <w:sz w:val="24"/>
          <w:szCs w:val="24"/>
        </w:rPr>
        <w:t>January 2023</w:t>
      </w:r>
      <w:r w:rsidR="00973E25">
        <w:rPr>
          <w:rFonts w:cstheme="minorHAnsi"/>
          <w:b/>
          <w:bCs/>
          <w:sz w:val="24"/>
          <w:szCs w:val="24"/>
        </w:rPr>
        <w:t>.</w:t>
      </w:r>
      <w:r w:rsidRPr="003A7E4E">
        <w:rPr>
          <w:rFonts w:cstheme="minorHAnsi"/>
          <w:b/>
          <w:bCs/>
          <w:sz w:val="24"/>
          <w:szCs w:val="24"/>
        </w:rPr>
        <w:t xml:space="preserve"> Minutes indicate </w:t>
      </w:r>
      <w:r w:rsidR="000938C4">
        <w:rPr>
          <w:rFonts w:cstheme="minorHAnsi"/>
          <w:b/>
          <w:bCs/>
          <w:sz w:val="24"/>
          <w:szCs w:val="24"/>
        </w:rPr>
        <w:t>that the staff recommendation was accepted without significant discussion.</w:t>
      </w:r>
      <w:r w:rsidR="003C402A">
        <w:rPr>
          <w:rFonts w:cstheme="minorHAnsi"/>
          <w:b/>
          <w:bCs/>
          <w:sz w:val="24"/>
          <w:szCs w:val="24"/>
        </w:rPr>
        <w:t xml:space="preserve"> HERC approved the recommendations without change. </w:t>
      </w:r>
    </w:p>
    <w:p w14:paraId="3B847D74" w14:textId="77777777" w:rsidR="00AB7748" w:rsidRDefault="00AB7748" w:rsidP="003A7E4E">
      <w:pPr>
        <w:autoSpaceDE w:val="0"/>
        <w:autoSpaceDN w:val="0"/>
        <w:adjustRightInd w:val="0"/>
        <w:spacing w:after="0" w:line="240" w:lineRule="auto"/>
        <w:rPr>
          <w:rFonts w:cstheme="minorHAnsi"/>
          <w:b/>
          <w:bCs/>
          <w:sz w:val="24"/>
          <w:szCs w:val="24"/>
        </w:rPr>
      </w:pPr>
    </w:p>
    <w:p w14:paraId="549705AD" w14:textId="77777777" w:rsidR="000028C5" w:rsidRPr="008E5136" w:rsidRDefault="000028C5" w:rsidP="000028C5">
      <w:pPr>
        <w:pStyle w:val="Heading1"/>
        <w:spacing w:after="160"/>
        <w:rPr>
          <w:rFonts w:eastAsia="Times New Roman"/>
        </w:rPr>
      </w:pPr>
      <w:r w:rsidRPr="008E5136">
        <w:rPr>
          <w:rFonts w:eastAsia="Times New Roman"/>
        </w:rPr>
        <w:t xml:space="preserve">Plain Language Summary:  </w:t>
      </w:r>
    </w:p>
    <w:p w14:paraId="40C1A267" w14:textId="77777777" w:rsidR="000028C5" w:rsidRDefault="000028C5" w:rsidP="000028C5">
      <w:pPr>
        <w:pStyle w:val="Biggerthannormal"/>
        <w:rPr>
          <w:rStyle w:val="IntenseEmphasis"/>
        </w:rPr>
      </w:pPr>
    </w:p>
    <w:p w14:paraId="5F801A1D" w14:textId="77777777" w:rsidR="000028C5" w:rsidRPr="000028C5" w:rsidRDefault="000028C5" w:rsidP="000028C5">
      <w:pPr>
        <w:pStyle w:val="Biggerthannormal"/>
        <w:rPr>
          <w:rStyle w:val="HSCNormalChar"/>
          <w:rFonts w:ascii="Calibri" w:hAnsi="Calibri"/>
          <w:sz w:val="24"/>
        </w:rPr>
      </w:pPr>
      <w:r>
        <w:rPr>
          <w:rStyle w:val="IntenseEmphasis"/>
          <w:rFonts w:ascii="Calibri" w:hAnsi="Calibri"/>
        </w:rPr>
        <w:t>Coverage question:</w:t>
      </w:r>
      <w:r w:rsidRPr="00A277FC">
        <w:rPr>
          <w:rStyle w:val="HSCNormalChar"/>
          <w:rFonts w:ascii="Calibri" w:hAnsi="Calibri"/>
        </w:rPr>
        <w:t xml:space="preserve"> </w:t>
      </w:r>
      <w:r w:rsidRPr="000028C5">
        <w:rPr>
          <w:rStyle w:val="HSCNormalChar"/>
          <w:rFonts w:ascii="Calibri" w:hAnsi="Calibri"/>
          <w:sz w:val="24"/>
        </w:rPr>
        <w:t>Should urine drug tests that look for more types of drugs be covered?</w:t>
      </w:r>
    </w:p>
    <w:p w14:paraId="5076BC6D" w14:textId="77777777" w:rsidR="000028C5" w:rsidRPr="00A277FC" w:rsidRDefault="000028C5" w:rsidP="000028C5">
      <w:pPr>
        <w:pBdr>
          <w:top w:val="single" w:sz="4" w:space="1" w:color="auto"/>
          <w:left w:val="single" w:sz="4" w:space="4" w:color="auto"/>
          <w:bottom w:val="single" w:sz="4" w:space="1" w:color="auto"/>
          <w:right w:val="single" w:sz="4" w:space="4" w:color="auto"/>
        </w:pBdr>
        <w:jc w:val="right"/>
        <w:rPr>
          <w:sz w:val="24"/>
          <w:szCs w:val="24"/>
        </w:rPr>
      </w:pPr>
    </w:p>
    <w:p w14:paraId="76277F08" w14:textId="77777777" w:rsidR="000028C5" w:rsidRPr="00A277FC" w:rsidRDefault="000028C5" w:rsidP="000028C5">
      <w:pPr>
        <w:pStyle w:val="Biggerthannormal"/>
        <w:rPr>
          <w:rStyle w:val="BiggerthannormalChar"/>
          <w:rFonts w:ascii="Calibri" w:hAnsi="Calibri"/>
        </w:rPr>
      </w:pPr>
      <w:r w:rsidRPr="00A277FC">
        <w:rPr>
          <w:rStyle w:val="IntenseEmphasis"/>
          <w:rFonts w:ascii="Calibri" w:hAnsi="Calibri"/>
        </w:rPr>
        <w:t>Should OHP cover this treatment?</w:t>
      </w:r>
      <w:r w:rsidRPr="00A277FC">
        <w:rPr>
          <w:rFonts w:ascii="Calibri" w:hAnsi="Calibri"/>
          <w:szCs w:val="24"/>
        </w:rPr>
        <w:t xml:space="preserve"> </w:t>
      </w:r>
      <w:r>
        <w:rPr>
          <w:rFonts w:ascii="Calibri" w:hAnsi="Calibri"/>
          <w:szCs w:val="24"/>
        </w:rPr>
        <w:t xml:space="preserve">Yes, urine drug tests that look for up to 15 drug classes should be covered. </w:t>
      </w:r>
    </w:p>
    <w:p w14:paraId="64414326" w14:textId="77777777" w:rsidR="000028C5" w:rsidRPr="008306CA" w:rsidRDefault="000028C5" w:rsidP="000028C5">
      <w:pPr>
        <w:pStyle w:val="Biggerthannormal"/>
        <w:rPr>
          <w:szCs w:val="24"/>
        </w:rPr>
      </w:pPr>
    </w:p>
    <w:p w14:paraId="36BA02B7" w14:textId="77777777" w:rsidR="000028C5" w:rsidRDefault="000028C5" w:rsidP="000028C5">
      <w:pPr>
        <w:jc w:val="center"/>
        <w:rPr>
          <w:rFonts w:cstheme="minorHAnsi"/>
        </w:rPr>
      </w:pPr>
    </w:p>
    <w:p w14:paraId="39EF5AA1" w14:textId="77777777" w:rsidR="000028C5" w:rsidRPr="00025745" w:rsidRDefault="000028C5" w:rsidP="000028C5">
      <w:pPr>
        <w:rPr>
          <w:sz w:val="24"/>
          <w:szCs w:val="24"/>
        </w:rPr>
      </w:pPr>
      <w:r>
        <w:rPr>
          <w:rStyle w:val="Heading2Char"/>
        </w:rPr>
        <w:t xml:space="preserve">Coverage </w:t>
      </w:r>
      <w:r w:rsidRPr="008C409B">
        <w:rPr>
          <w:rStyle w:val="Heading2Char"/>
        </w:rPr>
        <w:t>Question:</w:t>
      </w:r>
      <w:r>
        <w:rPr>
          <w:rFonts w:cstheme="minorHAnsi"/>
        </w:rPr>
        <w:t xml:space="preserve"> </w:t>
      </w:r>
      <w:r w:rsidRPr="00143C1A">
        <w:rPr>
          <w:rFonts w:cstheme="minorHAnsi"/>
          <w:sz w:val="24"/>
          <w:szCs w:val="24"/>
        </w:rPr>
        <w:t>Should definitive drug testing for 8-15 drug classes be a covered service?</w:t>
      </w:r>
    </w:p>
    <w:p w14:paraId="0601CFB8" w14:textId="77777777" w:rsidR="000028C5" w:rsidRPr="00025745" w:rsidRDefault="000028C5" w:rsidP="000028C5">
      <w:pPr>
        <w:rPr>
          <w:sz w:val="24"/>
          <w:szCs w:val="24"/>
        </w:rPr>
      </w:pPr>
      <w:r w:rsidRPr="0075184A">
        <w:rPr>
          <w:rStyle w:val="Heading2Char"/>
        </w:rPr>
        <w:t>Question source:</w:t>
      </w:r>
      <w:r>
        <w:rPr>
          <w:rFonts w:cstheme="minorHAnsi"/>
        </w:rPr>
        <w:t xml:space="preserve"> </w:t>
      </w:r>
      <w:r w:rsidRPr="00143C1A">
        <w:rPr>
          <w:rFonts w:cstheme="minorHAnsi"/>
          <w:sz w:val="24"/>
          <w:szCs w:val="24"/>
        </w:rPr>
        <w:t>Ideal Option</w:t>
      </w:r>
    </w:p>
    <w:p w14:paraId="31DAB7AA" w14:textId="77777777" w:rsidR="000028C5" w:rsidRDefault="000028C5" w:rsidP="000028C5">
      <w:pPr>
        <w:rPr>
          <w:rFonts w:cstheme="minorHAnsi"/>
        </w:rPr>
      </w:pPr>
      <w:r>
        <w:rPr>
          <w:rStyle w:val="Heading2Char"/>
        </w:rPr>
        <w:t>Background</w:t>
      </w:r>
      <w:r w:rsidRPr="0075184A">
        <w:rPr>
          <w:rStyle w:val="Heading2Char"/>
        </w:rPr>
        <w:t>:</w:t>
      </w:r>
      <w:r>
        <w:rPr>
          <w:rFonts w:cstheme="minorHAnsi"/>
        </w:rPr>
        <w:t xml:space="preserve"> </w:t>
      </w:r>
      <w:r w:rsidRPr="00143C1A">
        <w:rPr>
          <w:sz w:val="24"/>
          <w:szCs w:val="24"/>
        </w:rPr>
        <w:t>Urine drug testing (UDT) is a noninvasive procedure used to screen for drug use among patients being treated for a substance use disorder (SUD) and patients prescribed opioids for chronic pain, to test for the use of prescribed medications and other substances.</w:t>
      </w:r>
    </w:p>
    <w:p w14:paraId="2EC4D2CB" w14:textId="77777777" w:rsidR="000028C5" w:rsidRDefault="000028C5" w:rsidP="000028C5">
      <w:pPr>
        <w:rPr>
          <w:rFonts w:cstheme="minorHAnsi"/>
        </w:rPr>
      </w:pPr>
    </w:p>
    <w:p w14:paraId="4FD78E03" w14:textId="77777777" w:rsidR="000028C5" w:rsidRPr="00143C1A" w:rsidRDefault="000028C5" w:rsidP="000028C5">
      <w:pPr>
        <w:rPr>
          <w:sz w:val="24"/>
          <w:szCs w:val="24"/>
        </w:rPr>
      </w:pPr>
      <w:r w:rsidRPr="00143C1A">
        <w:rPr>
          <w:sz w:val="24"/>
          <w:szCs w:val="24"/>
        </w:rPr>
        <w:t>Presumptive (sometimes called qualitative) drug tests are generally performed by immunoassay, and definitive (sometimes called quantitative) drug tests are performed by gas chromatography-mass spectrometry (GC-MS) or liquid chromatography-tandem mass spectrometry (LC-MS/MS). Definitive testing is more accurate and more expensive than presumptive testing. Definitive testing is often used as a confirmation test when results of the presumptive test are unexpected. More recently, definitive testing has been used without an initial presumptive test to provide information about an array of medications, including those that cannot be reliably detected by presumptive tests.</w:t>
      </w:r>
    </w:p>
    <w:p w14:paraId="1B6FE1E2" w14:textId="77777777" w:rsidR="000028C5" w:rsidRPr="00143C1A" w:rsidRDefault="000028C5" w:rsidP="000028C5">
      <w:pPr>
        <w:rPr>
          <w:sz w:val="24"/>
          <w:szCs w:val="24"/>
        </w:rPr>
      </w:pPr>
    </w:p>
    <w:p w14:paraId="2E3957F2" w14:textId="77777777" w:rsidR="000028C5" w:rsidRPr="00601487" w:rsidRDefault="000028C5" w:rsidP="000028C5">
      <w:pPr>
        <w:pStyle w:val="CGBoxText"/>
        <w:spacing w:after="240"/>
        <w:rPr>
          <w:rFonts w:asciiTheme="minorHAnsi" w:hAnsiTheme="minorHAnsi"/>
          <w:color w:val="auto"/>
          <w:sz w:val="24"/>
        </w:rPr>
      </w:pPr>
      <w:r w:rsidRPr="00143C1A">
        <w:rPr>
          <w:color w:val="auto"/>
          <w:sz w:val="24"/>
        </w:rPr>
        <w:t>In recent years, there have been concerns about the overuse of drug tests.  The Evidence Based Guideline Subcommittee undertook a coverage guidance review of urine drug testing in 2017-2018.  Based on this coverage guidance, a new guideline was adopted limiting the use of urine drug tests.  Also</w:t>
      </w:r>
      <w:r>
        <w:rPr>
          <w:color w:val="auto"/>
          <w:sz w:val="24"/>
        </w:rPr>
        <w:t>,</w:t>
      </w:r>
      <w:r w:rsidRPr="00143C1A">
        <w:rPr>
          <w:color w:val="auto"/>
          <w:sz w:val="24"/>
        </w:rPr>
        <w:t xml:space="preserve"> as part of this review, definitive testing of more than 7 classes of drugs were removed from coverage</w:t>
      </w:r>
      <w:r>
        <w:rPr>
          <w:color w:val="auto"/>
          <w:sz w:val="24"/>
        </w:rPr>
        <w:t xml:space="preserve"> (specifically HCPCS G0481-G0483)</w:t>
      </w:r>
      <w:r w:rsidRPr="00143C1A">
        <w:rPr>
          <w:color w:val="auto"/>
          <w:sz w:val="24"/>
        </w:rPr>
        <w:t>. The following sentence was in the “blue box” language of the coverage guidance: “</w:t>
      </w:r>
      <w:r w:rsidRPr="00143C1A">
        <w:rPr>
          <w:rFonts w:asciiTheme="minorHAnsi" w:hAnsiTheme="minorHAnsi"/>
          <w:color w:val="auto"/>
          <w:sz w:val="24"/>
        </w:rPr>
        <w:t>Definitive testing is recommended for coverage for no more than seven substances per day.”  Review of the coverage guidance materials finds comments regarding using definitive testing only to confirm results that are unexpected in presumptive testing, a</w:t>
      </w:r>
      <w:r>
        <w:rPr>
          <w:rFonts w:asciiTheme="minorHAnsi" w:hAnsiTheme="minorHAnsi"/>
          <w:color w:val="auto"/>
          <w:sz w:val="24"/>
        </w:rPr>
        <w:t>s well as</w:t>
      </w:r>
      <w:r w:rsidRPr="00143C1A">
        <w:rPr>
          <w:rFonts w:asciiTheme="minorHAnsi" w:hAnsiTheme="minorHAnsi"/>
          <w:color w:val="auto"/>
          <w:sz w:val="24"/>
        </w:rPr>
        <w:t xml:space="preserve"> minimizing the number of drug classes included.  No discussion was found regarding whether covering 8-15 drug classes was considered. </w:t>
      </w:r>
    </w:p>
    <w:p w14:paraId="68EFA545" w14:textId="77777777" w:rsidR="000028C5" w:rsidRPr="00601487" w:rsidRDefault="000028C5" w:rsidP="000028C5">
      <w:pPr>
        <w:pStyle w:val="CGBoxText"/>
        <w:spacing w:after="240"/>
        <w:rPr>
          <w:rFonts w:asciiTheme="minorHAnsi" w:hAnsiTheme="minorHAnsi"/>
          <w:color w:val="auto"/>
          <w:sz w:val="24"/>
        </w:rPr>
      </w:pPr>
      <w:r w:rsidRPr="00601487">
        <w:rPr>
          <w:rFonts w:asciiTheme="minorHAnsi" w:hAnsiTheme="minorHAnsi"/>
          <w:color w:val="auto"/>
          <w:sz w:val="24"/>
        </w:rPr>
        <w:t xml:space="preserve">Ideal Option is requesting a re-review of the policy to cover only 7 drug classes for definitive testing. </w:t>
      </w:r>
      <w:r w:rsidRPr="00601487">
        <w:rPr>
          <w:color w:val="auto"/>
          <w:sz w:val="24"/>
        </w:rPr>
        <w:t xml:space="preserve">Ideal Option is an office-based opioid treatment provider with five clinics in Oregon. </w:t>
      </w:r>
      <w:r w:rsidRPr="00601487">
        <w:rPr>
          <w:rFonts w:asciiTheme="minorHAnsi" w:hAnsiTheme="minorHAnsi"/>
          <w:color w:val="auto"/>
          <w:sz w:val="24"/>
        </w:rPr>
        <w:t>From their October 31, 2022 letter: “A</w:t>
      </w:r>
      <w:r w:rsidRPr="00601487">
        <w:rPr>
          <w:color w:val="auto"/>
          <w:sz w:val="24"/>
        </w:rPr>
        <w:t>ddressing the opioid epidemic and other substance use disorders is a priority in Oregon. Medication-assisted treatment is an effective treatment modality for individuals who are affected by this national tragedy. However, coverage of definitive testing for only 1-7 drug classes creates significant impediments to safe and effective treatment by limiting the objective data available to monitor patient adherence and avoid dangerous and potentially life-threatening drug interactions. The use of definitive UDT with codes G0481, G0482, and GO483 is appropriate, but is currently unreimbursed by most Oregon CCOs because of the codes’ placement on the Prioritized List. To strike an appropriate balance, HERC should review its 2018 UDT Guidance and consider other fair compensation and alternative payment models for definitive UDT, like those currently in use in Washington and Idaho, or agree to explore a monthly per patient cost like the CCO PacificSource has done, with the goal of providing cost appropriate, safe, and effective MAT to Medicaid beneficiaries with SUD.”</w:t>
      </w:r>
    </w:p>
    <w:p w14:paraId="4CA43769" w14:textId="77777777" w:rsidR="000028C5" w:rsidRPr="00F17514" w:rsidRDefault="000028C5" w:rsidP="000028C5">
      <w:pPr>
        <w:rPr>
          <w:sz w:val="24"/>
          <w:szCs w:val="24"/>
        </w:rPr>
      </w:pPr>
    </w:p>
    <w:p w14:paraId="52EE8DD6" w14:textId="77777777" w:rsidR="000028C5" w:rsidRPr="00025745" w:rsidRDefault="000028C5" w:rsidP="000028C5">
      <w:pPr>
        <w:rPr>
          <w:sz w:val="24"/>
          <w:szCs w:val="24"/>
        </w:rPr>
      </w:pPr>
      <w:r>
        <w:rPr>
          <w:rStyle w:val="Heading2Char"/>
        </w:rPr>
        <w:t>Current Prioritized List/Coverage status</w:t>
      </w:r>
      <w:r w:rsidRPr="0075184A">
        <w:rPr>
          <w:rStyle w:val="Heading2Char"/>
        </w:rPr>
        <w:t>:</w:t>
      </w:r>
      <w:r>
        <w:rPr>
          <w:rFonts w:cstheme="minorHAnsi"/>
        </w:rPr>
        <w:t xml:space="preserve"> </w:t>
      </w:r>
    </w:p>
    <w:p w14:paraId="24C42AA7" w14:textId="77777777" w:rsidR="000028C5" w:rsidRPr="00F17514" w:rsidRDefault="000028C5" w:rsidP="000028C5">
      <w:pPr>
        <w:rPr>
          <w:sz w:val="24"/>
          <w:szCs w:val="24"/>
        </w:rPr>
      </w:pPr>
    </w:p>
    <w:p w14:paraId="14A50F54" w14:textId="77777777" w:rsidR="000028C5" w:rsidRPr="008C23FC" w:rsidRDefault="000028C5" w:rsidP="000028C5">
      <w:pPr>
        <w:pStyle w:val="Heading1"/>
        <w:spacing w:before="0"/>
        <w:rPr>
          <w:rFonts w:asciiTheme="minorHAnsi" w:hAnsiTheme="minorHAnsi" w:cstheme="minorHAnsi"/>
          <w:sz w:val="24"/>
          <w:szCs w:val="24"/>
        </w:rPr>
      </w:pPr>
      <w:bookmarkStart w:id="0" w:name="GuidelineNoteD0023"/>
      <w:r w:rsidRPr="008C23FC">
        <w:rPr>
          <w:rFonts w:asciiTheme="minorHAnsi" w:hAnsiTheme="minorHAnsi" w:cstheme="minorHAnsi"/>
          <w:sz w:val="24"/>
          <w:szCs w:val="24"/>
        </w:rPr>
        <w:t>DIAGNOSTIC GUIDELINE D23, URINE DRUG TESTING</w:t>
      </w:r>
      <w:bookmarkEnd w:id="0"/>
    </w:p>
    <w:p w14:paraId="1B49C802"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 xml:space="preserve">Urine drug testing (UDT) using presumptive testing is a covered diagnostic benefit when the results will affect treatment planning. Definitive testing is covered as a confirmatory test only when the result of the presumptive testing is inconsistent with the patient’s </w:t>
      </w:r>
      <w:r w:rsidRPr="008C23FC">
        <w:rPr>
          <w:rFonts w:asciiTheme="minorHAnsi" w:hAnsiTheme="minorHAnsi" w:cstheme="minorHAnsi"/>
          <w:bCs/>
          <w:sz w:val="24"/>
        </w:rPr>
        <w:lastRenderedPageBreak/>
        <w:t>history, presentation, or current prescribed medication plan, and the results would change management.</w:t>
      </w:r>
    </w:p>
    <w:p w14:paraId="788ABAEE" w14:textId="77777777" w:rsidR="000028C5" w:rsidRPr="008C23FC" w:rsidRDefault="000028C5" w:rsidP="000028C5">
      <w:pPr>
        <w:pStyle w:val="HSCOL1"/>
        <w:rPr>
          <w:rFonts w:asciiTheme="minorHAnsi" w:hAnsiTheme="minorHAnsi" w:cstheme="minorHAnsi"/>
          <w:bCs/>
          <w:sz w:val="24"/>
        </w:rPr>
      </w:pPr>
    </w:p>
    <w:p w14:paraId="7D32443A"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 xml:space="preserve">Definitive testing other than to confirm the results of a presumptive test as specified above is not covered, unless the clinician suspects use of a substance that is inadequately detected by presumptive UDT (e.g., fentanyl). Definitive testing is limited to no more than seven drug classes per date of service. </w:t>
      </w:r>
    </w:p>
    <w:p w14:paraId="0C706A5F" w14:textId="77777777" w:rsidR="000028C5" w:rsidRPr="008C23FC" w:rsidRDefault="000028C5" w:rsidP="000028C5">
      <w:pPr>
        <w:pStyle w:val="HSCOL1"/>
        <w:rPr>
          <w:rFonts w:asciiTheme="minorHAnsi" w:hAnsiTheme="minorHAnsi" w:cstheme="minorHAnsi"/>
          <w:bCs/>
          <w:sz w:val="24"/>
        </w:rPr>
      </w:pPr>
    </w:p>
    <w:p w14:paraId="4FAD7762"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For patients receiving treatment for a substance use disorder, presumptive testing on up to 36 dates of service and definitive testing on up to 12 dates of service per year are covered. These limits must be applied in accordance with mental health parity law.</w:t>
      </w:r>
    </w:p>
    <w:p w14:paraId="4CC9BF45" w14:textId="77777777" w:rsidR="000028C5" w:rsidRPr="008C23FC" w:rsidRDefault="000028C5" w:rsidP="000028C5">
      <w:pPr>
        <w:pStyle w:val="HSCOL1"/>
        <w:rPr>
          <w:rFonts w:asciiTheme="minorHAnsi" w:hAnsiTheme="minorHAnsi" w:cstheme="minorHAnsi"/>
          <w:bCs/>
          <w:sz w:val="24"/>
        </w:rPr>
      </w:pPr>
    </w:p>
    <w:p w14:paraId="72BB9DA5"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For patients receiving chronic opioid therapy for chronic pain, frequency of testing depending on the patient’s risk level (using a validated opioid risk assessment tool). Definitive testing should be conducted only for confirmatory purposes as described above and should not exceed 12 dates of service per year:</w:t>
      </w:r>
    </w:p>
    <w:p w14:paraId="229BAC25" w14:textId="77777777" w:rsidR="000028C5" w:rsidRPr="008C23FC" w:rsidRDefault="000028C5" w:rsidP="000028C5">
      <w:pPr>
        <w:pStyle w:val="HSCBullet1"/>
        <w:tabs>
          <w:tab w:val="num" w:pos="360"/>
        </w:tabs>
        <w:ind w:left="360" w:hanging="144"/>
        <w:rPr>
          <w:rFonts w:asciiTheme="minorHAnsi" w:hAnsiTheme="minorHAnsi" w:cstheme="minorHAnsi"/>
          <w:sz w:val="24"/>
        </w:rPr>
      </w:pPr>
      <w:r w:rsidRPr="008C23FC">
        <w:rPr>
          <w:rFonts w:asciiTheme="minorHAnsi" w:hAnsiTheme="minorHAnsi" w:cstheme="minorHAnsi"/>
          <w:sz w:val="24"/>
        </w:rPr>
        <w:t>Low Risk: Random presumptive testing on up to two dates of service per year</w:t>
      </w:r>
    </w:p>
    <w:p w14:paraId="4927BBD1" w14:textId="77777777" w:rsidR="000028C5" w:rsidRPr="008C23FC" w:rsidRDefault="000028C5" w:rsidP="000028C5">
      <w:pPr>
        <w:pStyle w:val="HSCBullet1"/>
        <w:tabs>
          <w:tab w:val="num" w:pos="360"/>
        </w:tabs>
        <w:ind w:left="360" w:hanging="144"/>
        <w:rPr>
          <w:rFonts w:asciiTheme="minorHAnsi" w:hAnsiTheme="minorHAnsi" w:cstheme="minorHAnsi"/>
          <w:sz w:val="24"/>
        </w:rPr>
      </w:pPr>
      <w:r w:rsidRPr="008C23FC">
        <w:rPr>
          <w:rFonts w:asciiTheme="minorHAnsi" w:hAnsiTheme="minorHAnsi" w:cstheme="minorHAnsi"/>
          <w:sz w:val="24"/>
        </w:rPr>
        <w:t>Moderate Risk: Random presumptive testing on up to four dates of service per year</w:t>
      </w:r>
    </w:p>
    <w:p w14:paraId="145D197E" w14:textId="77777777" w:rsidR="000028C5" w:rsidRPr="008C23FC" w:rsidRDefault="000028C5" w:rsidP="000028C5">
      <w:pPr>
        <w:pStyle w:val="HSCBullet1"/>
        <w:tabs>
          <w:tab w:val="num" w:pos="360"/>
        </w:tabs>
        <w:ind w:left="360" w:hanging="144"/>
        <w:rPr>
          <w:rFonts w:asciiTheme="minorHAnsi" w:hAnsiTheme="minorHAnsi" w:cstheme="minorHAnsi"/>
          <w:sz w:val="24"/>
        </w:rPr>
      </w:pPr>
      <w:r w:rsidRPr="008C23FC">
        <w:rPr>
          <w:rFonts w:asciiTheme="minorHAnsi" w:hAnsiTheme="minorHAnsi" w:cstheme="minorHAnsi"/>
          <w:sz w:val="24"/>
        </w:rPr>
        <w:t>High Risk: Random presumptive testing on up to 12 dates of service per year</w:t>
      </w:r>
    </w:p>
    <w:p w14:paraId="52A7C513" w14:textId="77777777" w:rsidR="000028C5" w:rsidRPr="008C23FC" w:rsidRDefault="000028C5" w:rsidP="000028C5">
      <w:pPr>
        <w:pStyle w:val="HSCBullet1"/>
        <w:numPr>
          <w:ilvl w:val="0"/>
          <w:numId w:val="0"/>
        </w:numPr>
        <w:ind w:left="360" w:hanging="144"/>
        <w:rPr>
          <w:rFonts w:asciiTheme="minorHAnsi" w:hAnsiTheme="minorHAnsi" w:cstheme="minorHAnsi"/>
          <w:sz w:val="24"/>
        </w:rPr>
      </w:pPr>
    </w:p>
    <w:p w14:paraId="09403CA0"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In patients with unexplained alteration of mental status and when knowledge of drug use is necessary for medical management (e.g., emergency department evaluation for altered mental status), UDT (presumptive and confirmatory definitive testing, if indicated) is covered in excess of the above limitations.</w:t>
      </w:r>
    </w:p>
    <w:p w14:paraId="00628DFC" w14:textId="77777777" w:rsidR="000028C5" w:rsidRPr="008C23FC" w:rsidRDefault="000028C5" w:rsidP="000028C5">
      <w:pPr>
        <w:pStyle w:val="HSCOL1"/>
        <w:rPr>
          <w:rFonts w:asciiTheme="minorHAnsi" w:hAnsiTheme="minorHAnsi" w:cstheme="minorHAnsi"/>
          <w:bCs/>
          <w:sz w:val="24"/>
        </w:rPr>
      </w:pPr>
    </w:p>
    <w:p w14:paraId="5FEDB770"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 xml:space="preserve">Urine drug testing conducted in accordance with policy of the DHS Office of Child Welfare Programs, when medically necessary, is also covered in excess of these limitations.  </w:t>
      </w:r>
    </w:p>
    <w:p w14:paraId="3DA33B0D" w14:textId="77777777" w:rsidR="000028C5" w:rsidRPr="008C23FC" w:rsidRDefault="000028C5" w:rsidP="000028C5">
      <w:pPr>
        <w:pStyle w:val="HSCOL1"/>
        <w:rPr>
          <w:rFonts w:asciiTheme="minorHAnsi" w:hAnsiTheme="minorHAnsi" w:cstheme="minorHAnsi"/>
          <w:bCs/>
          <w:sz w:val="24"/>
        </w:rPr>
      </w:pPr>
    </w:p>
    <w:p w14:paraId="3A1D3126" w14:textId="77777777" w:rsidR="000028C5" w:rsidRPr="008C23FC" w:rsidRDefault="000028C5" w:rsidP="000028C5">
      <w:pPr>
        <w:pStyle w:val="HSCOL1"/>
        <w:spacing w:after="320"/>
        <w:rPr>
          <w:rStyle w:val="Hyperlink"/>
          <w:rFonts w:asciiTheme="minorHAnsi" w:hAnsiTheme="minorHAnsi" w:cstheme="minorHAnsi"/>
          <w:sz w:val="24"/>
        </w:rPr>
      </w:pPr>
      <w:r w:rsidRPr="008C23FC">
        <w:rPr>
          <w:rFonts w:asciiTheme="minorHAnsi" w:hAnsiTheme="minorHAnsi" w:cstheme="minorHAnsi"/>
          <w:sz w:val="24"/>
        </w:rPr>
        <w:t xml:space="preserve">The development of this guideline note was informed by a HERC </w:t>
      </w:r>
      <w:hyperlink r:id="rId10" w:history="1">
        <w:r w:rsidRPr="008C23FC">
          <w:rPr>
            <w:rStyle w:val="Hyperlink"/>
            <w:rFonts w:asciiTheme="minorHAnsi" w:hAnsiTheme="minorHAnsi" w:cstheme="minorHAnsi"/>
            <w:sz w:val="24"/>
          </w:rPr>
          <w:t>coverage guidance</w:t>
        </w:r>
      </w:hyperlink>
      <w:r w:rsidRPr="008C23FC">
        <w:rPr>
          <w:rFonts w:asciiTheme="minorHAnsi" w:hAnsiTheme="minorHAnsi" w:cstheme="minorHAnsi"/>
          <w:sz w:val="24"/>
        </w:rPr>
        <w:t xml:space="preserve">. See </w:t>
      </w:r>
      <w:hyperlink r:id="rId11" w:history="1">
        <w:r w:rsidRPr="008C23FC">
          <w:rPr>
            <w:rStyle w:val="Hyperlink"/>
            <w:rFonts w:asciiTheme="minorHAnsi" w:hAnsiTheme="minorHAnsi" w:cstheme="minorHAnsi"/>
            <w:sz w:val="24"/>
          </w:rPr>
          <w:t>https://www.oregon.gov/oha/HPA/DSI-HERC/Pages/Evidence-based-Reports.aspx</w:t>
        </w:r>
      </w:hyperlink>
    </w:p>
    <w:p w14:paraId="0CF346F7" w14:textId="77777777" w:rsidR="000028C5" w:rsidRPr="00601487" w:rsidRDefault="000028C5" w:rsidP="000028C5">
      <w:pPr>
        <w:rPr>
          <w:rFonts w:cstheme="minorHAnsi"/>
          <w:sz w:val="24"/>
          <w:szCs w:val="24"/>
        </w:rPr>
      </w:pP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4828"/>
        <w:gridCol w:w="2865"/>
      </w:tblGrid>
      <w:tr w:rsidR="000028C5" w:rsidRPr="00601487" w14:paraId="5E866531" w14:textId="77777777" w:rsidTr="00F96013">
        <w:trPr>
          <w:trHeight w:val="20"/>
          <w:tblHeader/>
        </w:trPr>
        <w:tc>
          <w:tcPr>
            <w:tcW w:w="945" w:type="dxa"/>
            <w:shd w:val="clear" w:color="auto" w:fill="275C9D"/>
            <w:vAlign w:val="center"/>
          </w:tcPr>
          <w:p w14:paraId="6BF62222" w14:textId="77777777" w:rsidR="000028C5" w:rsidRPr="00601487" w:rsidRDefault="000028C5" w:rsidP="00F96013">
            <w:pPr>
              <w:outlineLvl w:val="0"/>
              <w:rPr>
                <w:rFonts w:eastAsia="Calibri" w:cstheme="minorHAnsi"/>
                <w:b/>
                <w:color w:val="FFFFFF"/>
                <w:sz w:val="24"/>
                <w:szCs w:val="24"/>
              </w:rPr>
            </w:pPr>
            <w:r w:rsidRPr="00601487">
              <w:rPr>
                <w:rFonts w:eastAsia="Calibri" w:cstheme="minorHAnsi"/>
                <w:b/>
                <w:color w:val="FFFFFF"/>
                <w:sz w:val="24"/>
                <w:szCs w:val="24"/>
              </w:rPr>
              <w:t>CODES</w:t>
            </w:r>
          </w:p>
        </w:tc>
        <w:tc>
          <w:tcPr>
            <w:tcW w:w="5350" w:type="dxa"/>
            <w:shd w:val="clear" w:color="auto" w:fill="275C9D"/>
            <w:vAlign w:val="center"/>
          </w:tcPr>
          <w:p w14:paraId="5C88593A" w14:textId="77777777" w:rsidR="000028C5" w:rsidRPr="00601487" w:rsidRDefault="000028C5" w:rsidP="00F96013">
            <w:pPr>
              <w:outlineLvl w:val="0"/>
              <w:rPr>
                <w:rFonts w:eastAsia="Calibri" w:cstheme="minorHAnsi"/>
                <w:b/>
                <w:color w:val="FFFFFF"/>
                <w:sz w:val="24"/>
                <w:szCs w:val="24"/>
              </w:rPr>
            </w:pPr>
            <w:r w:rsidRPr="00601487">
              <w:rPr>
                <w:rFonts w:eastAsia="Calibri" w:cstheme="minorHAnsi"/>
                <w:b/>
                <w:color w:val="FFFFFF"/>
                <w:sz w:val="24"/>
                <w:szCs w:val="24"/>
              </w:rPr>
              <w:t>DESCRIPTION</w:t>
            </w:r>
          </w:p>
        </w:tc>
        <w:tc>
          <w:tcPr>
            <w:tcW w:w="3055" w:type="dxa"/>
            <w:shd w:val="clear" w:color="auto" w:fill="275C9D"/>
          </w:tcPr>
          <w:p w14:paraId="75D3EF0B" w14:textId="77777777" w:rsidR="000028C5" w:rsidRPr="00601487" w:rsidRDefault="000028C5" w:rsidP="00F96013">
            <w:pPr>
              <w:outlineLvl w:val="0"/>
              <w:rPr>
                <w:rFonts w:eastAsia="Calibri" w:cstheme="minorHAnsi"/>
                <w:b/>
                <w:color w:val="FFFFFF"/>
                <w:sz w:val="24"/>
                <w:szCs w:val="24"/>
              </w:rPr>
            </w:pPr>
          </w:p>
        </w:tc>
      </w:tr>
      <w:tr w:rsidR="000028C5" w:rsidRPr="00601487" w14:paraId="15EECB76" w14:textId="77777777" w:rsidTr="00F96013">
        <w:trPr>
          <w:trHeight w:val="20"/>
        </w:trPr>
        <w:tc>
          <w:tcPr>
            <w:tcW w:w="6295" w:type="dxa"/>
            <w:gridSpan w:val="2"/>
            <w:shd w:val="clear" w:color="auto" w:fill="CFDDED"/>
            <w:vAlign w:val="center"/>
          </w:tcPr>
          <w:p w14:paraId="64E4EDBA" w14:textId="77777777" w:rsidR="000028C5" w:rsidRPr="00601487" w:rsidRDefault="000028C5" w:rsidP="00F96013">
            <w:pPr>
              <w:outlineLvl w:val="0"/>
              <w:rPr>
                <w:rFonts w:eastAsia="Calibri" w:cstheme="minorHAnsi"/>
                <w:b/>
                <w:bCs/>
                <w:sz w:val="24"/>
                <w:szCs w:val="24"/>
              </w:rPr>
            </w:pPr>
            <w:r w:rsidRPr="00601487">
              <w:rPr>
                <w:rFonts w:eastAsia="Calibri" w:cstheme="minorHAnsi"/>
                <w:b/>
                <w:bCs/>
                <w:sz w:val="24"/>
                <w:szCs w:val="24"/>
              </w:rPr>
              <w:t>CPT Codes</w:t>
            </w:r>
          </w:p>
        </w:tc>
        <w:tc>
          <w:tcPr>
            <w:tcW w:w="3055" w:type="dxa"/>
            <w:shd w:val="clear" w:color="auto" w:fill="CFDDED"/>
          </w:tcPr>
          <w:p w14:paraId="3D80EC1C" w14:textId="77777777" w:rsidR="000028C5" w:rsidRPr="00601487" w:rsidRDefault="000028C5" w:rsidP="00F96013">
            <w:pPr>
              <w:outlineLvl w:val="0"/>
              <w:rPr>
                <w:rFonts w:eastAsia="Calibri" w:cstheme="minorHAnsi"/>
                <w:b/>
                <w:bCs/>
                <w:sz w:val="24"/>
                <w:szCs w:val="24"/>
              </w:rPr>
            </w:pPr>
          </w:p>
        </w:tc>
      </w:tr>
      <w:tr w:rsidR="000028C5" w:rsidRPr="00601487" w14:paraId="15858146" w14:textId="77777777" w:rsidTr="00F96013">
        <w:trPr>
          <w:trHeight w:val="20"/>
        </w:trPr>
        <w:tc>
          <w:tcPr>
            <w:tcW w:w="945" w:type="dxa"/>
            <w:vAlign w:val="center"/>
          </w:tcPr>
          <w:p w14:paraId="050026D1"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80305</w:t>
            </w:r>
          </w:p>
        </w:tc>
        <w:tc>
          <w:tcPr>
            <w:tcW w:w="5350" w:type="dxa"/>
            <w:vAlign w:val="center"/>
          </w:tcPr>
          <w:p w14:paraId="71DDD532" w14:textId="77777777" w:rsidR="000028C5" w:rsidRPr="00601487" w:rsidRDefault="000028C5" w:rsidP="00F96013">
            <w:pPr>
              <w:outlineLvl w:val="0"/>
              <w:rPr>
                <w:rFonts w:eastAsia="Calibri" w:cstheme="minorHAnsi"/>
                <w:bCs/>
                <w:sz w:val="24"/>
                <w:szCs w:val="24"/>
              </w:rPr>
            </w:pPr>
            <w:r w:rsidRPr="00601487">
              <w:rPr>
                <w:rFonts w:eastAsia="Calibri" w:cstheme="minorHAnsi"/>
                <w:bCs/>
                <w:sz w:val="24"/>
                <w:szCs w:val="24"/>
              </w:rPr>
              <w:t>Drug test(s), presumptive, any number of drug classes, any number of devices or procedures; capable of being read by direct optical observation only (e.g., utilizing immunoassay [e.g., dipsticks, cups, cards, or cartridges]), includes sample validation when performed, per date of service</w:t>
            </w:r>
          </w:p>
        </w:tc>
        <w:tc>
          <w:tcPr>
            <w:tcW w:w="3055" w:type="dxa"/>
          </w:tcPr>
          <w:p w14:paraId="6648E4FC" w14:textId="77777777" w:rsidR="000028C5" w:rsidRPr="00601487" w:rsidRDefault="000028C5" w:rsidP="00F96013">
            <w:pPr>
              <w:outlineLvl w:val="0"/>
              <w:rPr>
                <w:rFonts w:eastAsia="Calibri" w:cstheme="minorHAnsi"/>
                <w:bCs/>
                <w:sz w:val="24"/>
                <w:szCs w:val="24"/>
              </w:rPr>
            </w:pPr>
            <w:r w:rsidRPr="00601487">
              <w:rPr>
                <w:rFonts w:eastAsia="Calibri" w:cstheme="minorHAnsi"/>
                <w:bCs/>
                <w:sz w:val="24"/>
                <w:szCs w:val="24"/>
              </w:rPr>
              <w:t>DIAGNOSTIC PROCEDURES</w:t>
            </w:r>
          </w:p>
        </w:tc>
      </w:tr>
      <w:tr w:rsidR="000028C5" w:rsidRPr="00601487" w14:paraId="05F70FC1" w14:textId="77777777" w:rsidTr="00F96013">
        <w:trPr>
          <w:trHeight w:val="20"/>
        </w:trPr>
        <w:tc>
          <w:tcPr>
            <w:tcW w:w="945" w:type="dxa"/>
            <w:vAlign w:val="center"/>
          </w:tcPr>
          <w:p w14:paraId="3DBD1938"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80306</w:t>
            </w:r>
          </w:p>
        </w:tc>
        <w:tc>
          <w:tcPr>
            <w:tcW w:w="5350" w:type="dxa"/>
            <w:vAlign w:val="center"/>
          </w:tcPr>
          <w:p w14:paraId="1A7D5B6D" w14:textId="77777777" w:rsidR="000028C5" w:rsidRPr="00601487" w:rsidRDefault="000028C5" w:rsidP="00F96013">
            <w:pPr>
              <w:outlineLvl w:val="0"/>
              <w:rPr>
                <w:rFonts w:eastAsia="Calibri" w:cstheme="minorHAnsi"/>
                <w:bCs/>
                <w:sz w:val="24"/>
                <w:szCs w:val="24"/>
              </w:rPr>
            </w:pPr>
            <w:r w:rsidRPr="00601487">
              <w:rPr>
                <w:rFonts w:eastAsia="Calibri" w:cstheme="minorHAnsi"/>
                <w:bCs/>
                <w:sz w:val="24"/>
                <w:szCs w:val="24"/>
              </w:rPr>
              <w:t>Drug test(s), presumptive, any number of drug classes, any number of devices or procedures; read by instrument assisted direct optical observation (e.g., utilizing immunoassay [e.g., dipsticks, cups, cards, or cartridges]), includes sample validation when performed, per date of service</w:t>
            </w:r>
          </w:p>
        </w:tc>
        <w:tc>
          <w:tcPr>
            <w:tcW w:w="3055" w:type="dxa"/>
          </w:tcPr>
          <w:p w14:paraId="56293585" w14:textId="77777777" w:rsidR="000028C5" w:rsidRPr="00601487" w:rsidRDefault="000028C5" w:rsidP="00F96013">
            <w:pPr>
              <w:outlineLvl w:val="0"/>
              <w:rPr>
                <w:rFonts w:eastAsia="Calibri" w:cstheme="minorHAnsi"/>
                <w:bCs/>
                <w:sz w:val="24"/>
                <w:szCs w:val="24"/>
              </w:rPr>
            </w:pPr>
            <w:r w:rsidRPr="00601487">
              <w:rPr>
                <w:rFonts w:eastAsia="Calibri" w:cstheme="minorHAnsi"/>
                <w:bCs/>
                <w:sz w:val="24"/>
                <w:szCs w:val="24"/>
              </w:rPr>
              <w:t>DIAGNOSTIC PROCEDURES</w:t>
            </w:r>
          </w:p>
        </w:tc>
      </w:tr>
      <w:tr w:rsidR="000028C5" w:rsidRPr="00601487" w14:paraId="23FEC8C6" w14:textId="77777777" w:rsidTr="00F96013">
        <w:trPr>
          <w:trHeight w:val="20"/>
        </w:trPr>
        <w:tc>
          <w:tcPr>
            <w:tcW w:w="945" w:type="dxa"/>
            <w:vAlign w:val="center"/>
          </w:tcPr>
          <w:p w14:paraId="722409D2"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80307</w:t>
            </w:r>
          </w:p>
        </w:tc>
        <w:tc>
          <w:tcPr>
            <w:tcW w:w="5350" w:type="dxa"/>
            <w:vAlign w:val="center"/>
          </w:tcPr>
          <w:p w14:paraId="6B99ABA8"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Drug test(s), presumptive, any number of drug classes, any number of devices or procedures; by instrument chemistry analyzers (e.g., utilizing immunoassay [e.g., EIA, ELISA, EMIT, FPIA, IA, KIMS, RIA]), chromatography (e.g., GC, HPLC), and mass spectrometry either with or without chromatography, (e.g., DART, DESI, GC-MS, GC-MS/MS, LC-MS, LC-MS/MS, LDTD, MALDI, TOF) includes sample validation when performed, per date of service</w:t>
            </w:r>
          </w:p>
        </w:tc>
        <w:tc>
          <w:tcPr>
            <w:tcW w:w="3055" w:type="dxa"/>
          </w:tcPr>
          <w:p w14:paraId="015B3B4E"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DIAGNOSTIC PROCEDURES</w:t>
            </w:r>
          </w:p>
        </w:tc>
      </w:tr>
      <w:tr w:rsidR="000028C5" w:rsidRPr="00601487" w14:paraId="7337EBA1" w14:textId="77777777" w:rsidTr="00F96013">
        <w:trPr>
          <w:trHeight w:val="20"/>
        </w:trPr>
        <w:tc>
          <w:tcPr>
            <w:tcW w:w="945" w:type="dxa"/>
            <w:vAlign w:val="center"/>
          </w:tcPr>
          <w:p w14:paraId="00691892"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80320-80377</w:t>
            </w:r>
          </w:p>
        </w:tc>
        <w:tc>
          <w:tcPr>
            <w:tcW w:w="5350" w:type="dxa"/>
            <w:vAlign w:val="center"/>
          </w:tcPr>
          <w:p w14:paraId="5AE04056" w14:textId="77777777" w:rsidR="000028C5" w:rsidRPr="00601487" w:rsidRDefault="000028C5" w:rsidP="00F96013">
            <w:pPr>
              <w:outlineLvl w:val="0"/>
              <w:rPr>
                <w:rFonts w:eastAsia="Calibri" w:cstheme="minorHAnsi"/>
                <w:bCs/>
                <w:sz w:val="24"/>
                <w:szCs w:val="24"/>
              </w:rPr>
            </w:pPr>
            <w:r w:rsidRPr="00601487">
              <w:rPr>
                <w:rFonts w:eastAsia="Calibri" w:cstheme="minorHAnsi"/>
                <w:bCs/>
                <w:sz w:val="24"/>
                <w:szCs w:val="24"/>
              </w:rPr>
              <w:t>Definitive drug tests of individual substances (many payers do not cover these tests, preferring to use the G0480-G0483)</w:t>
            </w:r>
          </w:p>
        </w:tc>
        <w:tc>
          <w:tcPr>
            <w:tcW w:w="3055" w:type="dxa"/>
          </w:tcPr>
          <w:p w14:paraId="68111AA4" w14:textId="77777777" w:rsidR="000028C5" w:rsidRPr="00601487" w:rsidRDefault="000028C5" w:rsidP="00F96013">
            <w:pPr>
              <w:outlineLvl w:val="0"/>
              <w:rPr>
                <w:rFonts w:eastAsia="Calibri" w:cstheme="minorHAnsi"/>
                <w:bCs/>
                <w:sz w:val="24"/>
                <w:szCs w:val="24"/>
              </w:rPr>
            </w:pPr>
            <w:r w:rsidRPr="00601487">
              <w:rPr>
                <w:rFonts w:eastAsia="Calibri" w:cstheme="minorHAnsi"/>
                <w:bCs/>
                <w:sz w:val="24"/>
                <w:szCs w:val="24"/>
              </w:rPr>
              <w:t>DIAGNOSTIC PROCEDURES</w:t>
            </w:r>
          </w:p>
        </w:tc>
      </w:tr>
      <w:tr w:rsidR="000028C5" w:rsidRPr="00601487" w14:paraId="7F9B219C" w14:textId="77777777" w:rsidTr="00F96013">
        <w:trPr>
          <w:trHeight w:val="20"/>
        </w:trPr>
        <w:tc>
          <w:tcPr>
            <w:tcW w:w="6295" w:type="dxa"/>
            <w:gridSpan w:val="2"/>
            <w:tcBorders>
              <w:bottom w:val="single" w:sz="4" w:space="0" w:color="auto"/>
            </w:tcBorders>
            <w:shd w:val="clear" w:color="auto" w:fill="CFDDED"/>
            <w:vAlign w:val="center"/>
          </w:tcPr>
          <w:p w14:paraId="43576877" w14:textId="77777777" w:rsidR="000028C5" w:rsidRPr="00601487" w:rsidRDefault="000028C5" w:rsidP="00F96013">
            <w:pPr>
              <w:outlineLvl w:val="0"/>
              <w:rPr>
                <w:rFonts w:eastAsia="Calibri" w:cstheme="minorHAnsi"/>
                <w:b/>
                <w:bCs/>
                <w:sz w:val="24"/>
                <w:szCs w:val="24"/>
              </w:rPr>
            </w:pPr>
            <w:r w:rsidRPr="00601487">
              <w:rPr>
                <w:rFonts w:eastAsia="Calibri" w:cstheme="minorHAnsi"/>
                <w:b/>
                <w:bCs/>
                <w:sz w:val="24"/>
                <w:szCs w:val="24"/>
              </w:rPr>
              <w:t>HCPCS Level II Codes</w:t>
            </w:r>
          </w:p>
        </w:tc>
        <w:tc>
          <w:tcPr>
            <w:tcW w:w="3055" w:type="dxa"/>
            <w:tcBorders>
              <w:bottom w:val="single" w:sz="4" w:space="0" w:color="auto"/>
            </w:tcBorders>
            <w:shd w:val="clear" w:color="auto" w:fill="CFDDED"/>
          </w:tcPr>
          <w:p w14:paraId="0B4F6324" w14:textId="77777777" w:rsidR="000028C5" w:rsidRPr="00601487" w:rsidRDefault="000028C5" w:rsidP="00F96013">
            <w:pPr>
              <w:outlineLvl w:val="0"/>
              <w:rPr>
                <w:rFonts w:eastAsia="Calibri" w:cstheme="minorHAnsi"/>
                <w:b/>
                <w:bCs/>
                <w:sz w:val="24"/>
                <w:szCs w:val="24"/>
              </w:rPr>
            </w:pPr>
          </w:p>
        </w:tc>
      </w:tr>
      <w:tr w:rsidR="000028C5" w:rsidRPr="00601487" w14:paraId="65A22D51" w14:textId="77777777" w:rsidTr="00F96013">
        <w:trPr>
          <w:trHeight w:val="20"/>
        </w:trPr>
        <w:tc>
          <w:tcPr>
            <w:tcW w:w="945" w:type="dxa"/>
            <w:vAlign w:val="center"/>
          </w:tcPr>
          <w:p w14:paraId="7D654D16"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G0480</w:t>
            </w:r>
          </w:p>
        </w:tc>
        <w:tc>
          <w:tcPr>
            <w:tcW w:w="5350" w:type="dxa"/>
          </w:tcPr>
          <w:p w14:paraId="324B4918" w14:textId="77777777" w:rsidR="000028C5" w:rsidRPr="00601487" w:rsidRDefault="000028C5" w:rsidP="00F96013">
            <w:pPr>
              <w:outlineLvl w:val="0"/>
              <w:rPr>
                <w:rFonts w:eastAsia="Calibri" w:cstheme="minorHAnsi"/>
                <w:bCs/>
                <w:sz w:val="24"/>
                <w:szCs w:val="24"/>
              </w:rPr>
            </w:pPr>
            <w:r w:rsidRPr="00601487">
              <w:rPr>
                <w:rFonts w:cstheme="minorHAnsi"/>
                <w:sz w:val="24"/>
                <w:szCs w:val="24"/>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(2) stable isotope or other universally recognized internal standards in all samples (e.g., to control for matrix effects, interferences and variations in signal strength), and (3) method or drug-specific calibration and matrix-matched quality control material (e.g., to control for instrument variations and mass spectral drift); qualitative or quantitative, all sources, includes specimen validity testing, per day; 1-7 drug class(es), including metabolite(s) if performed</w:t>
            </w:r>
          </w:p>
        </w:tc>
        <w:tc>
          <w:tcPr>
            <w:tcW w:w="3055" w:type="dxa"/>
          </w:tcPr>
          <w:p w14:paraId="0D3FDA30" w14:textId="77777777" w:rsidR="000028C5" w:rsidRPr="00601487" w:rsidRDefault="000028C5" w:rsidP="00F96013">
            <w:pPr>
              <w:outlineLvl w:val="0"/>
              <w:rPr>
                <w:rFonts w:cstheme="minorHAnsi"/>
                <w:sz w:val="24"/>
                <w:szCs w:val="24"/>
              </w:rPr>
            </w:pPr>
            <w:r w:rsidRPr="00601487">
              <w:rPr>
                <w:rFonts w:eastAsia="Calibri" w:cstheme="minorHAnsi"/>
                <w:bCs/>
                <w:sz w:val="24"/>
                <w:szCs w:val="24"/>
              </w:rPr>
              <w:t>DIAGNOSTIC PROCEDURES</w:t>
            </w:r>
          </w:p>
        </w:tc>
      </w:tr>
      <w:tr w:rsidR="000028C5" w:rsidRPr="00601487" w14:paraId="50FCB511" w14:textId="77777777" w:rsidTr="00F96013">
        <w:trPr>
          <w:trHeight w:val="20"/>
        </w:trPr>
        <w:tc>
          <w:tcPr>
            <w:tcW w:w="945" w:type="dxa"/>
            <w:vAlign w:val="center"/>
          </w:tcPr>
          <w:p w14:paraId="19B15A04"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G0481</w:t>
            </w:r>
          </w:p>
        </w:tc>
        <w:tc>
          <w:tcPr>
            <w:tcW w:w="5350" w:type="dxa"/>
          </w:tcPr>
          <w:p w14:paraId="43D6F9E9" w14:textId="77777777" w:rsidR="000028C5" w:rsidRPr="00601487" w:rsidRDefault="000028C5" w:rsidP="00F96013">
            <w:pPr>
              <w:outlineLvl w:val="0"/>
              <w:rPr>
                <w:rFonts w:eastAsia="Calibri" w:cstheme="minorHAnsi"/>
                <w:bCs/>
                <w:sz w:val="24"/>
                <w:szCs w:val="24"/>
              </w:rPr>
            </w:pPr>
            <w:r w:rsidRPr="00601487">
              <w:rPr>
                <w:rFonts w:cstheme="minorHAnsi"/>
                <w:sz w:val="24"/>
                <w:szCs w:val="24"/>
              </w:rPr>
              <w:t>…8-14 drug class(es)…</w:t>
            </w:r>
          </w:p>
        </w:tc>
        <w:tc>
          <w:tcPr>
            <w:tcW w:w="3055" w:type="dxa"/>
          </w:tcPr>
          <w:p w14:paraId="293E2ACD" w14:textId="77777777" w:rsidR="000028C5" w:rsidRPr="00601487" w:rsidRDefault="000028C5" w:rsidP="00F96013">
            <w:pPr>
              <w:outlineLvl w:val="0"/>
              <w:rPr>
                <w:rFonts w:cstheme="minorHAnsi"/>
                <w:sz w:val="24"/>
                <w:szCs w:val="24"/>
              </w:rPr>
            </w:pPr>
            <w:r w:rsidRPr="00601487">
              <w:rPr>
                <w:rFonts w:cstheme="minorHAnsi"/>
                <w:sz w:val="24"/>
                <w:szCs w:val="24"/>
              </w:rPr>
              <w:t>662 CONDITIONS FOR WHICH CERTAIN INTERVENTIONS ARE UNPROVEN, HAVE NO CLINICALLY IMPORTANT BENEFIT OR HAVE HARMS THAT OUTWEIGH BENEFITS</w:t>
            </w:r>
          </w:p>
        </w:tc>
      </w:tr>
      <w:tr w:rsidR="000028C5" w:rsidRPr="00601487" w14:paraId="5E2B0336" w14:textId="77777777" w:rsidTr="00F96013">
        <w:trPr>
          <w:trHeight w:val="20"/>
        </w:trPr>
        <w:tc>
          <w:tcPr>
            <w:tcW w:w="945" w:type="dxa"/>
            <w:vAlign w:val="center"/>
          </w:tcPr>
          <w:p w14:paraId="09BB28AB"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G0482</w:t>
            </w:r>
          </w:p>
        </w:tc>
        <w:tc>
          <w:tcPr>
            <w:tcW w:w="5350" w:type="dxa"/>
          </w:tcPr>
          <w:p w14:paraId="6C13D347" w14:textId="77777777" w:rsidR="000028C5" w:rsidRPr="00601487" w:rsidRDefault="000028C5" w:rsidP="00F96013">
            <w:pPr>
              <w:outlineLvl w:val="0"/>
              <w:rPr>
                <w:rFonts w:eastAsia="Calibri" w:cstheme="minorHAnsi"/>
                <w:bCs/>
                <w:sz w:val="24"/>
                <w:szCs w:val="24"/>
              </w:rPr>
            </w:pPr>
            <w:r w:rsidRPr="00601487">
              <w:rPr>
                <w:rFonts w:cstheme="minorHAnsi"/>
                <w:sz w:val="24"/>
                <w:szCs w:val="24"/>
              </w:rPr>
              <w:t>…15-21 drug class(es)…</w:t>
            </w:r>
          </w:p>
        </w:tc>
        <w:tc>
          <w:tcPr>
            <w:tcW w:w="3055" w:type="dxa"/>
          </w:tcPr>
          <w:p w14:paraId="4F9D3C9C" w14:textId="77777777" w:rsidR="000028C5" w:rsidRPr="00601487" w:rsidRDefault="000028C5" w:rsidP="00F96013">
            <w:pPr>
              <w:outlineLvl w:val="0"/>
              <w:rPr>
                <w:rFonts w:cstheme="minorHAnsi"/>
                <w:sz w:val="24"/>
                <w:szCs w:val="24"/>
              </w:rPr>
            </w:pPr>
            <w:r w:rsidRPr="00601487">
              <w:rPr>
                <w:rFonts w:cstheme="minorHAnsi"/>
                <w:sz w:val="24"/>
                <w:szCs w:val="24"/>
              </w:rPr>
              <w:t>662</w:t>
            </w:r>
          </w:p>
        </w:tc>
      </w:tr>
      <w:tr w:rsidR="000028C5" w:rsidRPr="00601487" w14:paraId="074E506B" w14:textId="77777777" w:rsidTr="00F96013">
        <w:trPr>
          <w:trHeight w:val="20"/>
        </w:trPr>
        <w:tc>
          <w:tcPr>
            <w:tcW w:w="945" w:type="dxa"/>
            <w:vAlign w:val="center"/>
          </w:tcPr>
          <w:p w14:paraId="332726F4"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G0483</w:t>
            </w:r>
          </w:p>
        </w:tc>
        <w:tc>
          <w:tcPr>
            <w:tcW w:w="5350" w:type="dxa"/>
          </w:tcPr>
          <w:p w14:paraId="000E2D8B" w14:textId="77777777" w:rsidR="000028C5" w:rsidRPr="00601487" w:rsidRDefault="000028C5" w:rsidP="00F96013">
            <w:pPr>
              <w:outlineLvl w:val="0"/>
              <w:rPr>
                <w:rFonts w:eastAsia="Calibri" w:cstheme="minorHAnsi"/>
                <w:bCs/>
                <w:sz w:val="24"/>
                <w:szCs w:val="24"/>
              </w:rPr>
            </w:pPr>
            <w:r w:rsidRPr="00601487">
              <w:rPr>
                <w:rFonts w:cstheme="minorHAnsi"/>
                <w:sz w:val="24"/>
                <w:szCs w:val="24"/>
              </w:rPr>
              <w:t>…22 or more drug class(es)…</w:t>
            </w:r>
          </w:p>
        </w:tc>
        <w:tc>
          <w:tcPr>
            <w:tcW w:w="3055" w:type="dxa"/>
          </w:tcPr>
          <w:p w14:paraId="3AF5EB3D" w14:textId="77777777" w:rsidR="000028C5" w:rsidRPr="00601487" w:rsidRDefault="000028C5" w:rsidP="00F96013">
            <w:pPr>
              <w:outlineLvl w:val="0"/>
              <w:rPr>
                <w:rFonts w:cstheme="minorHAnsi"/>
                <w:sz w:val="24"/>
                <w:szCs w:val="24"/>
              </w:rPr>
            </w:pPr>
            <w:r w:rsidRPr="00601487">
              <w:rPr>
                <w:rFonts w:cstheme="minorHAnsi"/>
                <w:sz w:val="24"/>
                <w:szCs w:val="24"/>
              </w:rPr>
              <w:t>662</w:t>
            </w:r>
          </w:p>
        </w:tc>
      </w:tr>
      <w:tr w:rsidR="000028C5" w:rsidRPr="00601487" w14:paraId="3D6CEAC3" w14:textId="77777777" w:rsidTr="00F96013">
        <w:trPr>
          <w:trHeight w:val="20"/>
        </w:trPr>
        <w:tc>
          <w:tcPr>
            <w:tcW w:w="945" w:type="dxa"/>
            <w:vAlign w:val="center"/>
          </w:tcPr>
          <w:p w14:paraId="626FBE09" w14:textId="77777777" w:rsidR="000028C5" w:rsidRPr="00601487" w:rsidRDefault="000028C5" w:rsidP="00F96013">
            <w:pPr>
              <w:outlineLvl w:val="0"/>
              <w:rPr>
                <w:rFonts w:eastAsia="Calibri" w:cstheme="minorHAnsi"/>
                <w:sz w:val="24"/>
                <w:szCs w:val="24"/>
              </w:rPr>
            </w:pPr>
            <w:r w:rsidRPr="00601487">
              <w:rPr>
                <w:rFonts w:eastAsia="Calibri" w:cstheme="minorHAnsi"/>
                <w:sz w:val="24"/>
                <w:szCs w:val="24"/>
              </w:rPr>
              <w:t>G0659</w:t>
            </w:r>
          </w:p>
        </w:tc>
        <w:tc>
          <w:tcPr>
            <w:tcW w:w="5350" w:type="dxa"/>
          </w:tcPr>
          <w:p w14:paraId="73DA3CB4" w14:textId="77777777" w:rsidR="000028C5" w:rsidRPr="00601487" w:rsidRDefault="000028C5" w:rsidP="00F96013">
            <w:pPr>
              <w:outlineLvl w:val="0"/>
              <w:rPr>
                <w:rFonts w:eastAsia="Calibri" w:cstheme="minorHAnsi"/>
                <w:bCs/>
                <w:sz w:val="24"/>
                <w:szCs w:val="24"/>
              </w:rPr>
            </w:pPr>
            <w:r w:rsidRPr="00601487">
              <w:rPr>
                <w:rFonts w:cstheme="minorHAnsi"/>
                <w:sz w:val="24"/>
                <w:szCs w:val="24"/>
              </w:rPr>
              <w:t>Drug test(s), definitive, utilizing drug identification methods able to identify individual drugs and distinguish between structural isomers (but not necessarily stereoisomers), including but not limited to, GC/MS (any type, single or tandem) and LC/MS (any type, single or tandem), excluding immunoassays (e.g., IA, EIA, ELISA, EMIT, FPIA) and enzymatic methods (e.g., alcohol dehydrogenase), performed without method or drug-specific calibration, without matrix-matched quality control material, or without use of stable isotope or other universally recognized internal standard(s) for each drug, drug metabolite or drug class per specimen; qualitative or quantitative, all sources, includes specimen validity testing, per day, any number of drug classes</w:t>
            </w:r>
          </w:p>
        </w:tc>
        <w:tc>
          <w:tcPr>
            <w:tcW w:w="3055" w:type="dxa"/>
          </w:tcPr>
          <w:p w14:paraId="1657B2A4" w14:textId="77777777" w:rsidR="000028C5" w:rsidRPr="00601487" w:rsidRDefault="000028C5" w:rsidP="00F96013">
            <w:pPr>
              <w:outlineLvl w:val="0"/>
              <w:rPr>
                <w:rFonts w:cstheme="minorHAnsi"/>
                <w:sz w:val="24"/>
                <w:szCs w:val="24"/>
              </w:rPr>
            </w:pPr>
            <w:r w:rsidRPr="00601487">
              <w:rPr>
                <w:rFonts w:cstheme="minorHAnsi"/>
                <w:sz w:val="24"/>
                <w:szCs w:val="24"/>
              </w:rPr>
              <w:t>DIAGNOSTIC PROCEDURES</w:t>
            </w:r>
          </w:p>
        </w:tc>
      </w:tr>
    </w:tbl>
    <w:p w14:paraId="167702A0" w14:textId="77777777" w:rsidR="000028C5" w:rsidRPr="00601487" w:rsidRDefault="000028C5" w:rsidP="000028C5">
      <w:pPr>
        <w:rPr>
          <w:rFonts w:cstheme="minorHAnsi"/>
          <w:sz w:val="24"/>
          <w:szCs w:val="24"/>
        </w:rPr>
      </w:pPr>
    </w:p>
    <w:p w14:paraId="6EAC680C" w14:textId="6CBF5EA8" w:rsidR="000028C5" w:rsidRPr="00C6590D" w:rsidRDefault="001E4A39" w:rsidP="000028C5">
      <w:pPr>
        <w:pStyle w:val="Heading1"/>
        <w:rPr>
          <w:rFonts w:ascii="Calibri" w:hAnsi="Calibri" w:cs="Calibri"/>
          <w:sz w:val="22"/>
          <w:szCs w:val="22"/>
        </w:rPr>
      </w:pPr>
      <w:r>
        <w:rPr>
          <w:rFonts w:ascii="Calibri" w:hAnsi="Calibri" w:cs="Calibri"/>
          <w:sz w:val="22"/>
          <w:szCs w:val="22"/>
        </w:rPr>
        <w:t>EXCLUDED SERVICES GUIDELINE 2</w:t>
      </w:r>
      <w:r w:rsidR="000028C5" w:rsidRPr="00C6590D">
        <w:rPr>
          <w:rFonts w:ascii="Calibri" w:hAnsi="Calibri" w:cs="Calibri"/>
          <w:sz w:val="22"/>
          <w:szCs w:val="22"/>
        </w:rPr>
        <w:t>, INTERVENTIONS THAT ARE UNPROVEN, HAVE NO CLINICALLY IMPORTANT BENEFIT OR HAVE HARMS THAT OUTWEIGH BENEFITS FOR CERTAIN CONDITIONS</w:t>
      </w:r>
    </w:p>
    <w:p w14:paraId="67208FD7" w14:textId="77777777" w:rsidR="000028C5" w:rsidRPr="00C6590D" w:rsidRDefault="000028C5" w:rsidP="000028C5">
      <w:pPr>
        <w:pStyle w:val="HSCGLLineList"/>
        <w:rPr>
          <w:rFonts w:ascii="Calibri" w:hAnsi="Calibri" w:cs="Calibri"/>
          <w:sz w:val="22"/>
          <w:szCs w:val="22"/>
        </w:rPr>
      </w:pPr>
      <w:r w:rsidRPr="00C6590D">
        <w:rPr>
          <w:rFonts w:ascii="Calibri" w:hAnsi="Calibri" w:cs="Calibri"/>
          <w:sz w:val="22"/>
          <w:szCs w:val="22"/>
        </w:rPr>
        <w:t>Line 662</w:t>
      </w:r>
    </w:p>
    <w:p w14:paraId="673B1221" w14:textId="77777777" w:rsidR="000028C5" w:rsidRPr="00C6590D" w:rsidRDefault="000028C5" w:rsidP="000028C5">
      <w:pPr>
        <w:pStyle w:val="HSCNormal"/>
        <w:rPr>
          <w:rFonts w:ascii="Calibri" w:hAnsi="Calibri" w:cs="Calibri"/>
          <w:sz w:val="22"/>
          <w:szCs w:val="22"/>
        </w:rPr>
      </w:pPr>
      <w:r w:rsidRPr="00C6590D">
        <w:rPr>
          <w:rFonts w:ascii="Calibri" w:hAnsi="Calibri" w:cs="Calibri"/>
          <w:sz w:val="22"/>
          <w:szCs w:val="22"/>
        </w:rPr>
        <w:t>The following Interventions are prioritized on Line 662 CONDITIONS FOR WHICH CERTAIN INTERVENTIONS ARE UNPROVEN, HAVE NO CLINICALLY IMPORTANT BENEFIT OR HAVE HARMS THAT OUTWEIGH BENEFITS:</w:t>
      </w:r>
    </w:p>
    <w:tbl>
      <w:tblPr>
        <w:tblStyle w:val="TableGrid"/>
        <w:tblW w:w="9445" w:type="dxa"/>
        <w:tblLook w:val="04A0" w:firstRow="1" w:lastRow="0" w:firstColumn="1" w:lastColumn="0" w:noHBand="0" w:noVBand="1"/>
      </w:tblPr>
      <w:tblGrid>
        <w:gridCol w:w="1525"/>
        <w:gridCol w:w="3330"/>
        <w:gridCol w:w="2970"/>
        <w:gridCol w:w="1620"/>
      </w:tblGrid>
      <w:tr w:rsidR="000028C5" w:rsidRPr="00C6590D" w14:paraId="5B6B4093" w14:textId="77777777" w:rsidTr="00F96013">
        <w:trPr>
          <w:cantSplit/>
          <w:trHeight w:val="197"/>
          <w:tblHeader/>
        </w:trPr>
        <w:tc>
          <w:tcPr>
            <w:tcW w:w="1525" w:type="dxa"/>
            <w:shd w:val="clear" w:color="auto" w:fill="D9D9D9" w:themeFill="background1" w:themeFillShade="D9"/>
            <w:hideMark/>
          </w:tcPr>
          <w:p w14:paraId="603372D3" w14:textId="77777777" w:rsidR="000028C5" w:rsidRPr="00C6590D" w:rsidRDefault="000028C5" w:rsidP="00F96013">
            <w:pPr>
              <w:rPr>
                <w:rStyle w:val="PageNumber"/>
                <w:b/>
              </w:rPr>
            </w:pPr>
            <w:r w:rsidRPr="00C6590D">
              <w:rPr>
                <w:rStyle w:val="PageNumber"/>
                <w:b/>
              </w:rPr>
              <w:t>Procedure Code</w:t>
            </w:r>
          </w:p>
        </w:tc>
        <w:tc>
          <w:tcPr>
            <w:tcW w:w="3330" w:type="dxa"/>
            <w:shd w:val="clear" w:color="auto" w:fill="D9D9D9" w:themeFill="background1" w:themeFillShade="D9"/>
            <w:hideMark/>
          </w:tcPr>
          <w:p w14:paraId="30C8E5A4" w14:textId="77777777" w:rsidR="000028C5" w:rsidRPr="00C6590D" w:rsidRDefault="000028C5" w:rsidP="00F96013">
            <w:pPr>
              <w:rPr>
                <w:rStyle w:val="PageNumber"/>
                <w:b/>
              </w:rPr>
            </w:pPr>
            <w:r w:rsidRPr="00C6590D">
              <w:rPr>
                <w:rStyle w:val="PageNumber"/>
                <w:b/>
              </w:rPr>
              <w:t>Intervention Description</w:t>
            </w:r>
          </w:p>
        </w:tc>
        <w:tc>
          <w:tcPr>
            <w:tcW w:w="2970" w:type="dxa"/>
            <w:shd w:val="clear" w:color="auto" w:fill="D9D9D9" w:themeFill="background1" w:themeFillShade="D9"/>
            <w:hideMark/>
          </w:tcPr>
          <w:p w14:paraId="261E8804" w14:textId="77777777" w:rsidR="000028C5" w:rsidRPr="00C6590D" w:rsidRDefault="000028C5" w:rsidP="00F96013">
            <w:pPr>
              <w:rPr>
                <w:rStyle w:val="PageNumber"/>
                <w:b/>
              </w:rPr>
            </w:pPr>
            <w:r w:rsidRPr="00C6590D">
              <w:rPr>
                <w:rStyle w:val="PageNumber"/>
                <w:b/>
              </w:rPr>
              <w:t>Rationale</w:t>
            </w:r>
          </w:p>
        </w:tc>
        <w:tc>
          <w:tcPr>
            <w:tcW w:w="1620" w:type="dxa"/>
            <w:shd w:val="clear" w:color="auto" w:fill="D9D9D9" w:themeFill="background1" w:themeFillShade="D9"/>
            <w:hideMark/>
          </w:tcPr>
          <w:p w14:paraId="7C54C735" w14:textId="77777777" w:rsidR="000028C5" w:rsidRPr="00C6590D" w:rsidRDefault="000028C5" w:rsidP="00F96013">
            <w:pPr>
              <w:rPr>
                <w:rStyle w:val="PageNumber"/>
                <w:b/>
              </w:rPr>
            </w:pPr>
            <w:r w:rsidRPr="00C6590D">
              <w:rPr>
                <w:rStyle w:val="PageNumber"/>
                <w:b/>
              </w:rPr>
              <w:t>Last Review</w:t>
            </w:r>
          </w:p>
        </w:tc>
      </w:tr>
      <w:tr w:rsidR="000028C5" w:rsidRPr="00C6590D" w14:paraId="69403ABB" w14:textId="77777777" w:rsidTr="00F96013">
        <w:trPr>
          <w:cantSplit/>
        </w:trPr>
        <w:tc>
          <w:tcPr>
            <w:tcW w:w="1525" w:type="dxa"/>
          </w:tcPr>
          <w:p w14:paraId="3C993F37" w14:textId="77777777" w:rsidR="000028C5" w:rsidRPr="00601487" w:rsidRDefault="000028C5" w:rsidP="00F96013">
            <w:pPr>
              <w:rPr>
                <w:rStyle w:val="PageNumber"/>
                <w:rFonts w:cstheme="minorHAnsi"/>
                <w:sz w:val="24"/>
                <w:szCs w:val="24"/>
              </w:rPr>
            </w:pPr>
            <w:r w:rsidRPr="00601487">
              <w:rPr>
                <w:rStyle w:val="PageNumber"/>
                <w:rFonts w:cstheme="minorHAnsi"/>
                <w:sz w:val="24"/>
                <w:szCs w:val="24"/>
              </w:rPr>
              <w:t>G0481, G0482,</w:t>
            </w:r>
          </w:p>
          <w:p w14:paraId="5E1AE577" w14:textId="77777777" w:rsidR="000028C5" w:rsidRPr="00C6590D" w:rsidRDefault="000028C5" w:rsidP="00F96013">
            <w:pPr>
              <w:rPr>
                <w:rStyle w:val="PageNumber"/>
                <w:color w:val="0070C0"/>
                <w:u w:val="single"/>
              </w:rPr>
            </w:pPr>
            <w:r w:rsidRPr="00601487">
              <w:rPr>
                <w:rStyle w:val="PageNumber"/>
                <w:rFonts w:cstheme="minorHAnsi"/>
                <w:sz w:val="24"/>
                <w:szCs w:val="24"/>
              </w:rPr>
              <w:t>G0483</w:t>
            </w:r>
          </w:p>
        </w:tc>
        <w:tc>
          <w:tcPr>
            <w:tcW w:w="3330" w:type="dxa"/>
          </w:tcPr>
          <w:p w14:paraId="48E1E0D2" w14:textId="77777777" w:rsidR="000028C5" w:rsidRPr="00601487" w:rsidRDefault="000028C5" w:rsidP="00F96013">
            <w:pPr>
              <w:rPr>
                <w:rStyle w:val="PageNumber"/>
                <w:rFonts w:cstheme="minorHAnsi"/>
                <w:sz w:val="24"/>
                <w:szCs w:val="24"/>
              </w:rPr>
            </w:pPr>
            <w:r w:rsidRPr="00601487">
              <w:rPr>
                <w:rStyle w:val="PageNumber"/>
                <w:rFonts w:cstheme="minorHAnsi"/>
                <w:sz w:val="24"/>
                <w:szCs w:val="24"/>
              </w:rPr>
              <w:t>Urine drug testing, definitive for &gt;7 drug</w:t>
            </w:r>
          </w:p>
          <w:p w14:paraId="1C7AA2EC" w14:textId="77777777" w:rsidR="000028C5" w:rsidRPr="00C6590D" w:rsidRDefault="000028C5" w:rsidP="00F96013">
            <w:pPr>
              <w:rPr>
                <w:color w:val="0070C0"/>
                <w:u w:val="single"/>
              </w:rPr>
            </w:pPr>
            <w:r w:rsidRPr="00601487">
              <w:rPr>
                <w:rStyle w:val="PageNumber"/>
                <w:rFonts w:cstheme="minorHAnsi"/>
                <w:sz w:val="24"/>
                <w:szCs w:val="24"/>
              </w:rPr>
              <w:t>classes</w:t>
            </w:r>
          </w:p>
        </w:tc>
        <w:tc>
          <w:tcPr>
            <w:tcW w:w="2970" w:type="dxa"/>
          </w:tcPr>
          <w:p w14:paraId="27C8E7EA" w14:textId="77777777" w:rsidR="000028C5" w:rsidRPr="00C6590D" w:rsidRDefault="000028C5" w:rsidP="00F96013">
            <w:pPr>
              <w:rPr>
                <w:rStyle w:val="PageNumber"/>
                <w:color w:val="0070C0"/>
                <w:u w:val="single"/>
              </w:rPr>
            </w:pPr>
            <w:r w:rsidRPr="00601487">
              <w:rPr>
                <w:rStyle w:val="PageNumber"/>
                <w:rFonts w:cstheme="minorHAnsi"/>
                <w:sz w:val="24"/>
                <w:szCs w:val="24"/>
              </w:rPr>
              <w:t>No clinical benefit</w:t>
            </w:r>
          </w:p>
        </w:tc>
        <w:tc>
          <w:tcPr>
            <w:tcW w:w="1620" w:type="dxa"/>
          </w:tcPr>
          <w:p w14:paraId="6175CDFA" w14:textId="77777777" w:rsidR="000028C5" w:rsidRPr="00601487" w:rsidRDefault="001E4A39" w:rsidP="00F96013">
            <w:pPr>
              <w:jc w:val="both"/>
              <w:rPr>
                <w:rStyle w:val="Hyperlink"/>
                <w:rFonts w:cstheme="minorHAnsi"/>
                <w:color w:val="0D0D0D" w:themeColor="text1" w:themeTint="F2"/>
                <w:sz w:val="24"/>
                <w:szCs w:val="24"/>
              </w:rPr>
            </w:pPr>
            <w:hyperlink r:id="rId12" w:history="1">
              <w:r w:rsidR="000028C5" w:rsidRPr="00601487">
                <w:rPr>
                  <w:rStyle w:val="Hyperlink"/>
                  <w:rFonts w:cstheme="minorHAnsi"/>
                  <w:sz w:val="24"/>
                  <w:szCs w:val="24"/>
                </w:rPr>
                <w:t>August, 2018</w:t>
              </w:r>
            </w:hyperlink>
          </w:p>
          <w:p w14:paraId="7F6BE514" w14:textId="77777777" w:rsidR="000028C5" w:rsidRPr="00C6590D" w:rsidRDefault="001E4A39" w:rsidP="00F96013">
            <w:hyperlink r:id="rId13" w:history="1">
              <w:r w:rsidR="000028C5" w:rsidRPr="00601487">
                <w:rPr>
                  <w:rStyle w:val="Hyperlink"/>
                  <w:rFonts w:cstheme="minorHAnsi"/>
                  <w:sz w:val="24"/>
                  <w:szCs w:val="24"/>
                </w:rPr>
                <w:t>Coverage Guidance</w:t>
              </w:r>
            </w:hyperlink>
          </w:p>
        </w:tc>
      </w:tr>
    </w:tbl>
    <w:p w14:paraId="610AD9B9" w14:textId="77777777" w:rsidR="000028C5" w:rsidRPr="00F17514" w:rsidRDefault="000028C5" w:rsidP="000028C5">
      <w:pPr>
        <w:rPr>
          <w:sz w:val="24"/>
          <w:szCs w:val="24"/>
        </w:rPr>
      </w:pPr>
    </w:p>
    <w:p w14:paraId="784F6A37" w14:textId="77777777" w:rsidR="000028C5" w:rsidRPr="00025745" w:rsidRDefault="000028C5" w:rsidP="000028C5">
      <w:pPr>
        <w:rPr>
          <w:sz w:val="24"/>
          <w:szCs w:val="24"/>
        </w:rPr>
      </w:pPr>
      <w:r>
        <w:rPr>
          <w:rStyle w:val="Heading2Char"/>
        </w:rPr>
        <w:t>Other payer policies</w:t>
      </w:r>
      <w:r w:rsidRPr="0075184A">
        <w:rPr>
          <w:rStyle w:val="Heading2Char"/>
        </w:rPr>
        <w:t>:</w:t>
      </w:r>
      <w:r>
        <w:rPr>
          <w:rFonts w:cstheme="minorHAnsi"/>
        </w:rPr>
        <w:t xml:space="preserve"> </w:t>
      </w:r>
    </w:p>
    <w:p w14:paraId="19AAC249" w14:textId="77777777" w:rsidR="000028C5" w:rsidRDefault="000028C5" w:rsidP="000028C5">
      <w:pPr>
        <w:pStyle w:val="ListParagraph"/>
        <w:numPr>
          <w:ilvl w:val="0"/>
          <w:numId w:val="32"/>
        </w:numPr>
        <w:spacing w:after="0" w:line="240" w:lineRule="auto"/>
        <w:rPr>
          <w:sz w:val="24"/>
          <w:szCs w:val="24"/>
        </w:rPr>
      </w:pPr>
      <w:r>
        <w:rPr>
          <w:sz w:val="24"/>
          <w:szCs w:val="24"/>
        </w:rPr>
        <w:t>Washington State Health Care Authority 2019 policy</w:t>
      </w:r>
    </w:p>
    <w:p w14:paraId="46EC1933" w14:textId="77777777" w:rsidR="000028C5" w:rsidRDefault="000028C5" w:rsidP="000028C5">
      <w:pPr>
        <w:pStyle w:val="ListParagraph"/>
        <w:numPr>
          <w:ilvl w:val="1"/>
          <w:numId w:val="32"/>
        </w:numPr>
        <w:spacing w:after="0" w:line="240" w:lineRule="auto"/>
        <w:rPr>
          <w:sz w:val="24"/>
          <w:szCs w:val="24"/>
        </w:rPr>
      </w:pPr>
      <w:r>
        <w:rPr>
          <w:sz w:val="24"/>
          <w:szCs w:val="24"/>
        </w:rPr>
        <w:t xml:space="preserve">Accessed December 28, 2022 </w:t>
      </w:r>
      <w:hyperlink r:id="rId14" w:history="1">
        <w:r>
          <w:rPr>
            <w:rStyle w:val="Hyperlink"/>
          </w:rPr>
          <w:t>https://www.hca.wa.gov/assets/program/drug-screen-urinalysis-testing.pdf</w:t>
        </w:r>
      </w:hyperlink>
      <w:r>
        <w:rPr>
          <w:sz w:val="24"/>
          <w:szCs w:val="24"/>
        </w:rPr>
        <w:t xml:space="preserve">: </w:t>
      </w:r>
    </w:p>
    <w:p w14:paraId="6A8F9995" w14:textId="77777777" w:rsidR="000028C5" w:rsidRDefault="000028C5" w:rsidP="000028C5">
      <w:pPr>
        <w:pStyle w:val="ListParagraph"/>
        <w:numPr>
          <w:ilvl w:val="1"/>
          <w:numId w:val="32"/>
        </w:numPr>
        <w:spacing w:after="0" w:line="240" w:lineRule="auto"/>
        <w:rPr>
          <w:sz w:val="24"/>
          <w:szCs w:val="24"/>
        </w:rPr>
      </w:pPr>
      <w:r>
        <w:rPr>
          <w:sz w:val="24"/>
          <w:szCs w:val="24"/>
        </w:rPr>
        <w:t>Covers confirmatory urine drug testing of up to 15 drug classes (HCPCS G0480 and G0481)</w:t>
      </w:r>
    </w:p>
    <w:p w14:paraId="2203E417" w14:textId="77777777" w:rsidR="000028C5" w:rsidRDefault="000028C5" w:rsidP="000028C5">
      <w:pPr>
        <w:pStyle w:val="ListParagraph"/>
        <w:numPr>
          <w:ilvl w:val="2"/>
          <w:numId w:val="32"/>
        </w:numPr>
        <w:spacing w:after="0" w:line="240" w:lineRule="auto"/>
        <w:rPr>
          <w:sz w:val="24"/>
          <w:szCs w:val="24"/>
        </w:rPr>
      </w:pPr>
      <w:r>
        <w:rPr>
          <w:sz w:val="24"/>
          <w:szCs w:val="24"/>
        </w:rPr>
        <w:t>Up to 16 tests per 12 months</w:t>
      </w:r>
    </w:p>
    <w:p w14:paraId="0A51FC9B" w14:textId="77777777" w:rsidR="000028C5" w:rsidRDefault="000028C5" w:rsidP="000028C5">
      <w:pPr>
        <w:pStyle w:val="ListParagraph"/>
        <w:numPr>
          <w:ilvl w:val="1"/>
          <w:numId w:val="32"/>
        </w:numPr>
        <w:spacing w:after="0" w:line="240" w:lineRule="auto"/>
        <w:rPr>
          <w:sz w:val="24"/>
          <w:szCs w:val="24"/>
        </w:rPr>
      </w:pPr>
      <w:r>
        <w:rPr>
          <w:sz w:val="24"/>
          <w:szCs w:val="24"/>
        </w:rPr>
        <w:t>Covers presumptive urine drug testing (CPT 80305-80307) up to 24 per 12 months</w:t>
      </w:r>
    </w:p>
    <w:p w14:paraId="06548D45" w14:textId="77777777" w:rsidR="000028C5" w:rsidRPr="00D73037" w:rsidRDefault="000028C5" w:rsidP="000028C5">
      <w:pPr>
        <w:pStyle w:val="ListParagraph"/>
        <w:numPr>
          <w:ilvl w:val="1"/>
          <w:numId w:val="32"/>
        </w:numPr>
        <w:spacing w:after="0" w:line="240" w:lineRule="auto"/>
        <w:rPr>
          <w:sz w:val="24"/>
          <w:szCs w:val="24"/>
        </w:rPr>
      </w:pPr>
      <w:r w:rsidRPr="00D73037">
        <w:rPr>
          <w:sz w:val="24"/>
          <w:szCs w:val="24"/>
        </w:rPr>
        <w:t>Personal communication with WA HCA staff regarding a policy update for January 2023:</w:t>
      </w:r>
    </w:p>
    <w:p w14:paraId="74BC4410" w14:textId="77777777" w:rsidR="000028C5" w:rsidRPr="00D73037" w:rsidRDefault="000028C5" w:rsidP="000028C5">
      <w:pPr>
        <w:pStyle w:val="ListParagraph"/>
        <w:numPr>
          <w:ilvl w:val="2"/>
          <w:numId w:val="32"/>
        </w:numPr>
        <w:spacing w:after="0" w:line="240" w:lineRule="auto"/>
        <w:rPr>
          <w:sz w:val="24"/>
          <w:szCs w:val="24"/>
        </w:rPr>
      </w:pPr>
      <w:r w:rsidRPr="00D73037">
        <w:rPr>
          <w:sz w:val="24"/>
          <w:szCs w:val="24"/>
        </w:rPr>
        <w:t>“Please note that we do cover G0482 and G0483, however those codes are reimbursed at the same rate as G0481.”</w:t>
      </w:r>
    </w:p>
    <w:p w14:paraId="758C1C42" w14:textId="77777777" w:rsidR="000028C5" w:rsidRPr="00D73037" w:rsidRDefault="000028C5" w:rsidP="000028C5">
      <w:pPr>
        <w:pStyle w:val="ListParagraph"/>
        <w:numPr>
          <w:ilvl w:val="0"/>
          <w:numId w:val="32"/>
        </w:numPr>
        <w:spacing w:after="0" w:line="240" w:lineRule="auto"/>
        <w:rPr>
          <w:sz w:val="24"/>
          <w:szCs w:val="24"/>
        </w:rPr>
      </w:pPr>
      <w:r>
        <w:rPr>
          <w:sz w:val="24"/>
          <w:szCs w:val="24"/>
        </w:rPr>
        <w:t xml:space="preserve">Idaho </w:t>
      </w:r>
      <w:r w:rsidRPr="00D73037">
        <w:rPr>
          <w:sz w:val="24"/>
          <w:szCs w:val="24"/>
        </w:rPr>
        <w:t>Medicaid 2020 policy:</w:t>
      </w:r>
    </w:p>
    <w:p w14:paraId="1B251953" w14:textId="77777777" w:rsidR="000028C5" w:rsidRPr="00D73037" w:rsidRDefault="000028C5" w:rsidP="000028C5">
      <w:pPr>
        <w:pStyle w:val="ListParagraph"/>
        <w:numPr>
          <w:ilvl w:val="1"/>
          <w:numId w:val="32"/>
        </w:numPr>
        <w:spacing w:after="0" w:line="240" w:lineRule="auto"/>
        <w:rPr>
          <w:sz w:val="24"/>
          <w:szCs w:val="24"/>
        </w:rPr>
      </w:pPr>
      <w:r w:rsidRPr="00D73037">
        <w:rPr>
          <w:sz w:val="24"/>
          <w:szCs w:val="24"/>
        </w:rPr>
        <w:t>Confirmatory (quantitative) tests include panels up to a maximum of 14 classes at a time or unique tests for specific substances; whether a panel or an individual test, each test would count toward the cap of 12 confirmatory tests per calendar year</w:t>
      </w:r>
    </w:p>
    <w:p w14:paraId="794936AD" w14:textId="77777777" w:rsidR="000028C5" w:rsidRPr="00D73037" w:rsidRDefault="000028C5" w:rsidP="000028C5">
      <w:pPr>
        <w:pStyle w:val="ListParagraph"/>
        <w:numPr>
          <w:ilvl w:val="1"/>
          <w:numId w:val="32"/>
        </w:numPr>
        <w:spacing w:after="0" w:line="240" w:lineRule="auto"/>
        <w:rPr>
          <w:sz w:val="24"/>
          <w:szCs w:val="24"/>
        </w:rPr>
      </w:pPr>
      <w:r w:rsidRPr="00D73037">
        <w:rPr>
          <w:sz w:val="24"/>
          <w:szCs w:val="24"/>
        </w:rPr>
        <w:t>Testing for more than 14 classes at a time is not considered medically necessary and is not reimbursable. HCPCS G0482 and G0483 are noncovered.</w:t>
      </w:r>
    </w:p>
    <w:p w14:paraId="08C38D87" w14:textId="77777777" w:rsidR="000028C5" w:rsidRPr="00F17514" w:rsidRDefault="000028C5" w:rsidP="000028C5">
      <w:pPr>
        <w:rPr>
          <w:sz w:val="24"/>
          <w:szCs w:val="24"/>
        </w:rPr>
      </w:pPr>
    </w:p>
    <w:p w14:paraId="51191F20" w14:textId="77777777" w:rsidR="000028C5" w:rsidRPr="00F17514" w:rsidRDefault="000028C5" w:rsidP="000028C5">
      <w:pPr>
        <w:rPr>
          <w:sz w:val="24"/>
          <w:szCs w:val="24"/>
        </w:rPr>
      </w:pPr>
    </w:p>
    <w:p w14:paraId="4BCBF979" w14:textId="77777777" w:rsidR="000028C5" w:rsidRPr="00025745" w:rsidRDefault="000028C5" w:rsidP="000028C5">
      <w:pPr>
        <w:rPr>
          <w:sz w:val="24"/>
          <w:szCs w:val="24"/>
        </w:rPr>
      </w:pPr>
      <w:r>
        <w:rPr>
          <w:rStyle w:val="Heading2Char"/>
        </w:rPr>
        <w:t>BHAP input</w:t>
      </w:r>
      <w:r w:rsidRPr="0075184A">
        <w:rPr>
          <w:rStyle w:val="Heading2Char"/>
        </w:rPr>
        <w:t>:</w:t>
      </w:r>
      <w:r>
        <w:rPr>
          <w:rFonts w:cstheme="minorHAnsi"/>
        </w:rPr>
        <w:t xml:space="preserve"> </w:t>
      </w:r>
    </w:p>
    <w:p w14:paraId="6B2E718B" w14:textId="77777777" w:rsidR="000028C5" w:rsidRPr="00F17514" w:rsidRDefault="000028C5" w:rsidP="000028C5">
      <w:pPr>
        <w:rPr>
          <w:sz w:val="24"/>
          <w:szCs w:val="24"/>
        </w:rPr>
      </w:pPr>
      <w:bookmarkStart w:id="1" w:name="_Hlk124231042"/>
      <w:r w:rsidRPr="004C6B24">
        <w:rPr>
          <w:rFonts w:cstheme="minorHAnsi"/>
          <w:sz w:val="24"/>
          <w:szCs w:val="24"/>
        </w:rPr>
        <w:t>Panel members agreed with opening up the larger drug panels (up to 15 drug classes), as these tests could affect clinical decision making.  Members felt that very large panels are not needed, or could be approved by exception in certain cases where it is medically necessary. BHAP members recommended that staff determine reimbursement rates for the various size tests prior to discussing at HERC</w:t>
      </w:r>
      <w:r w:rsidRPr="00E23558">
        <w:rPr>
          <w:sz w:val="24"/>
          <w:szCs w:val="24"/>
        </w:rPr>
        <w:t xml:space="preserve">. </w:t>
      </w:r>
      <w:bookmarkEnd w:id="1"/>
    </w:p>
    <w:p w14:paraId="6FC6D27C" w14:textId="77777777" w:rsidR="000028C5" w:rsidRPr="00F17514" w:rsidRDefault="000028C5" w:rsidP="000028C5">
      <w:pPr>
        <w:rPr>
          <w:sz w:val="24"/>
          <w:szCs w:val="24"/>
        </w:rPr>
      </w:pPr>
    </w:p>
    <w:p w14:paraId="3985DBF4" w14:textId="77777777" w:rsidR="000028C5" w:rsidRDefault="000028C5" w:rsidP="000028C5">
      <w:pPr>
        <w:spacing w:after="160" w:line="259" w:lineRule="auto"/>
        <w:rPr>
          <w:rStyle w:val="Heading2Char"/>
        </w:rPr>
      </w:pPr>
      <w:r>
        <w:rPr>
          <w:rStyle w:val="Heading2Char"/>
        </w:rPr>
        <w:br w:type="page"/>
      </w:r>
    </w:p>
    <w:p w14:paraId="5F53F1AF" w14:textId="77777777" w:rsidR="000028C5" w:rsidRPr="00025745" w:rsidRDefault="000028C5" w:rsidP="000028C5">
      <w:pPr>
        <w:rPr>
          <w:sz w:val="24"/>
          <w:szCs w:val="24"/>
        </w:rPr>
      </w:pPr>
      <w:r>
        <w:rPr>
          <w:rStyle w:val="Heading2Char"/>
        </w:rPr>
        <w:t>HERC staff summary</w:t>
      </w:r>
      <w:r w:rsidRPr="0075184A">
        <w:rPr>
          <w:rStyle w:val="Heading2Char"/>
        </w:rPr>
        <w:t>:</w:t>
      </w:r>
      <w:r>
        <w:rPr>
          <w:rFonts w:cstheme="minorHAnsi"/>
        </w:rPr>
        <w:t xml:space="preserve"> </w:t>
      </w:r>
    </w:p>
    <w:p w14:paraId="326BC2CE" w14:textId="77777777" w:rsidR="000028C5" w:rsidRPr="00F17514" w:rsidRDefault="000028C5" w:rsidP="000028C5">
      <w:pPr>
        <w:rPr>
          <w:sz w:val="24"/>
          <w:szCs w:val="24"/>
        </w:rPr>
      </w:pPr>
      <w:r>
        <w:rPr>
          <w:sz w:val="24"/>
          <w:szCs w:val="24"/>
        </w:rPr>
        <w:t>A provider is requesting coverage for a larger panel of drug classes for definitive drug testing.  Other state Medicaid programs cover the 8-15 drug class definitive test.</w:t>
      </w:r>
    </w:p>
    <w:p w14:paraId="5B199DEA" w14:textId="77777777" w:rsidR="000028C5" w:rsidRPr="00F17514" w:rsidRDefault="000028C5" w:rsidP="000028C5">
      <w:pPr>
        <w:rPr>
          <w:sz w:val="24"/>
          <w:szCs w:val="24"/>
        </w:rPr>
      </w:pPr>
    </w:p>
    <w:p w14:paraId="00CBFABF" w14:textId="77777777" w:rsidR="000028C5" w:rsidRPr="00A778D9" w:rsidRDefault="000028C5" w:rsidP="000028C5">
      <w:pPr>
        <w:rPr>
          <w:rFonts w:cstheme="minorHAnsi"/>
        </w:rPr>
      </w:pPr>
      <w:r>
        <w:rPr>
          <w:rStyle w:val="Heading2Char"/>
        </w:rPr>
        <w:t>HERC staff recommendations</w:t>
      </w:r>
      <w:r w:rsidRPr="0075184A">
        <w:rPr>
          <w:rStyle w:val="Heading2Char"/>
        </w:rPr>
        <w:t>:</w:t>
      </w:r>
      <w:r>
        <w:rPr>
          <w:rFonts w:cstheme="minorHAnsi"/>
        </w:rPr>
        <w:t xml:space="preserve"> </w:t>
      </w:r>
    </w:p>
    <w:p w14:paraId="2C5F119B" w14:textId="77777777" w:rsidR="000028C5" w:rsidRPr="0054728B" w:rsidRDefault="000028C5" w:rsidP="000028C5">
      <w:pPr>
        <w:pStyle w:val="ListParagraph"/>
        <w:numPr>
          <w:ilvl w:val="0"/>
          <w:numId w:val="30"/>
        </w:numPr>
        <w:spacing w:after="0" w:line="240" w:lineRule="auto"/>
        <w:rPr>
          <w:sz w:val="24"/>
          <w:szCs w:val="24"/>
        </w:rPr>
      </w:pPr>
      <w:r>
        <w:rPr>
          <w:sz w:val="24"/>
          <w:szCs w:val="24"/>
        </w:rPr>
        <w:t>Remove HCPCS G0481 (</w:t>
      </w:r>
      <w:r w:rsidRPr="00601487">
        <w:rPr>
          <w:rFonts w:cstheme="minorHAnsi"/>
          <w:sz w:val="24"/>
          <w:szCs w:val="24"/>
        </w:rPr>
        <w:t xml:space="preserve">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(2) stable isotope or other universally recognized internal standards in all samples (e.g., to control for matrix effects, interferences and variations in signal strength), and (3) method or drug-specific calibration and matrix-matched quality control material (e.g., to control for instrument variations and mass spectral drift); qualitative or quantitative, all sources, includes specimen validity testing, per day; </w:t>
      </w:r>
      <w:r w:rsidRPr="004013A4">
        <w:rPr>
          <w:rFonts w:cstheme="minorHAnsi"/>
          <w:b/>
          <w:bCs/>
          <w:sz w:val="24"/>
          <w:szCs w:val="24"/>
        </w:rPr>
        <w:t>8-14</w:t>
      </w:r>
      <w:r w:rsidRPr="00601487">
        <w:rPr>
          <w:rFonts w:cstheme="minorHAnsi"/>
          <w:sz w:val="24"/>
          <w:szCs w:val="24"/>
        </w:rPr>
        <w:t xml:space="preserve"> drug class(es), including metabolite(s) if performed</w:t>
      </w:r>
      <w:r>
        <w:rPr>
          <w:rFonts w:cstheme="minorHAnsi"/>
          <w:sz w:val="24"/>
          <w:szCs w:val="24"/>
        </w:rPr>
        <w:t xml:space="preserve">) from line 662 </w:t>
      </w:r>
      <w:r w:rsidRPr="00C6590D">
        <w:t>CONDITIONS FOR WHICH CERTAIN INTERVENTIONS ARE UNPROVEN, HAVE NO CLINICALLY IMPORTANT BENEFIT OR HAVE HARMS THAT OUTWEIGH BENEFITS</w:t>
      </w:r>
    </w:p>
    <w:p w14:paraId="56334532" w14:textId="77777777" w:rsidR="000028C5" w:rsidRPr="00073DED" w:rsidRDefault="000028C5" w:rsidP="000028C5">
      <w:pPr>
        <w:pStyle w:val="ListParagraph"/>
        <w:numPr>
          <w:ilvl w:val="1"/>
          <w:numId w:val="30"/>
        </w:numPr>
        <w:spacing w:after="0" w:line="240" w:lineRule="auto"/>
        <w:rPr>
          <w:sz w:val="24"/>
          <w:szCs w:val="24"/>
        </w:rPr>
      </w:pPr>
      <w:r w:rsidRPr="00073DED">
        <w:rPr>
          <w:sz w:val="24"/>
          <w:szCs w:val="24"/>
        </w:rPr>
        <w:t xml:space="preserve">Advise HSD to add HCPCS G0481 to the </w:t>
      </w:r>
      <w:r w:rsidRPr="00073DED">
        <w:rPr>
          <w:rFonts w:cstheme="minorHAnsi"/>
          <w:sz w:val="24"/>
          <w:szCs w:val="24"/>
        </w:rPr>
        <w:t>DIAGNOSTIC PROCEDURES file</w:t>
      </w:r>
    </w:p>
    <w:p w14:paraId="07F26500" w14:textId="77777777" w:rsidR="000028C5" w:rsidRDefault="000028C5" w:rsidP="000028C5">
      <w:pPr>
        <w:pStyle w:val="ListParagraph"/>
        <w:numPr>
          <w:ilvl w:val="0"/>
          <w:numId w:val="30"/>
        </w:numPr>
        <w:spacing w:after="0" w:line="240" w:lineRule="auto"/>
        <w:rPr>
          <w:sz w:val="24"/>
          <w:szCs w:val="24"/>
        </w:rPr>
      </w:pPr>
      <w:r>
        <w:rPr>
          <w:sz w:val="24"/>
          <w:szCs w:val="24"/>
        </w:rPr>
        <w:t>Modify Diagnostic Guideline D23 as shown below</w:t>
      </w:r>
    </w:p>
    <w:p w14:paraId="791953EA" w14:textId="77777777" w:rsidR="000028C5" w:rsidRPr="0054728B" w:rsidRDefault="000028C5" w:rsidP="000028C5">
      <w:pPr>
        <w:pStyle w:val="ListParagraph"/>
        <w:numPr>
          <w:ilvl w:val="0"/>
          <w:numId w:val="30"/>
        </w:numPr>
        <w:spacing w:after="0" w:line="240" w:lineRule="auto"/>
        <w:rPr>
          <w:sz w:val="24"/>
          <w:szCs w:val="24"/>
        </w:rPr>
      </w:pPr>
      <w:r>
        <w:rPr>
          <w:sz w:val="24"/>
          <w:szCs w:val="24"/>
        </w:rPr>
        <w:t>Modify GN173 as shown below</w:t>
      </w:r>
    </w:p>
    <w:p w14:paraId="5BB52A92" w14:textId="77777777" w:rsidR="000028C5" w:rsidRPr="00F17514" w:rsidRDefault="000028C5" w:rsidP="000028C5">
      <w:pPr>
        <w:rPr>
          <w:sz w:val="24"/>
          <w:szCs w:val="24"/>
        </w:rPr>
      </w:pPr>
    </w:p>
    <w:p w14:paraId="502F18E7" w14:textId="77777777" w:rsidR="000028C5" w:rsidRPr="008C23FC" w:rsidRDefault="000028C5" w:rsidP="000028C5">
      <w:pPr>
        <w:pStyle w:val="Heading1"/>
        <w:spacing w:before="0"/>
        <w:rPr>
          <w:rFonts w:asciiTheme="minorHAnsi" w:hAnsiTheme="minorHAnsi" w:cstheme="minorHAnsi"/>
          <w:sz w:val="24"/>
          <w:szCs w:val="24"/>
        </w:rPr>
      </w:pPr>
      <w:r w:rsidRPr="008C23FC">
        <w:rPr>
          <w:rFonts w:asciiTheme="minorHAnsi" w:hAnsiTheme="minorHAnsi" w:cstheme="minorHAnsi"/>
          <w:sz w:val="24"/>
          <w:szCs w:val="24"/>
        </w:rPr>
        <w:t>DIAGNOSTIC GUIDELINE D23, URINE DRUG TESTING</w:t>
      </w:r>
    </w:p>
    <w:p w14:paraId="39DB250B"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Urine drug testing (UDT) using presumptive testing is a covered diagnostic benefit when the results will affect treatment planning. Definitive testing is covered as a confirmatory test only when the result of the presumptive testing is inconsistent with the patient’s history, presentation, or current prescribed medication plan, and the results would change management.</w:t>
      </w:r>
    </w:p>
    <w:p w14:paraId="2728E9A5" w14:textId="77777777" w:rsidR="000028C5" w:rsidRPr="008C23FC" w:rsidRDefault="000028C5" w:rsidP="000028C5">
      <w:pPr>
        <w:pStyle w:val="HSCOL1"/>
        <w:rPr>
          <w:rFonts w:asciiTheme="minorHAnsi" w:hAnsiTheme="minorHAnsi" w:cstheme="minorHAnsi"/>
          <w:bCs/>
          <w:sz w:val="24"/>
        </w:rPr>
      </w:pPr>
    </w:p>
    <w:p w14:paraId="67981FD4"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 xml:space="preserve">Definitive testing other than to confirm the results of a presumptive test as specified above is not covered, unless the clinician suspects use of a substance that is inadequately detected by presumptive UDT (e.g., fentanyl). Definitive testing is limited to no more than </w:t>
      </w:r>
      <w:r w:rsidRPr="004013A4">
        <w:rPr>
          <w:rFonts w:asciiTheme="minorHAnsi" w:hAnsiTheme="minorHAnsi" w:cstheme="minorHAnsi"/>
          <w:bCs/>
          <w:strike/>
          <w:color w:val="FF0000"/>
          <w:sz w:val="24"/>
        </w:rPr>
        <w:t>seven</w:t>
      </w:r>
      <w:r>
        <w:rPr>
          <w:rFonts w:asciiTheme="minorHAnsi" w:hAnsiTheme="minorHAnsi" w:cstheme="minorHAnsi"/>
          <w:bCs/>
          <w:sz w:val="24"/>
        </w:rPr>
        <w:t xml:space="preserve"> </w:t>
      </w:r>
      <w:r w:rsidRPr="004013A4">
        <w:rPr>
          <w:rFonts w:asciiTheme="minorHAnsi" w:hAnsiTheme="minorHAnsi" w:cstheme="minorHAnsi"/>
          <w:bCs/>
          <w:color w:val="0070C0"/>
          <w:sz w:val="24"/>
          <w:u w:val="single"/>
        </w:rPr>
        <w:t>fifteen</w:t>
      </w:r>
      <w:r w:rsidRPr="008C23FC">
        <w:rPr>
          <w:rFonts w:asciiTheme="minorHAnsi" w:hAnsiTheme="minorHAnsi" w:cstheme="minorHAnsi"/>
          <w:bCs/>
          <w:sz w:val="24"/>
        </w:rPr>
        <w:t xml:space="preserve"> drug classes per date of service. </w:t>
      </w:r>
    </w:p>
    <w:p w14:paraId="5209ED65" w14:textId="77777777" w:rsidR="000028C5" w:rsidRPr="008C23FC" w:rsidRDefault="000028C5" w:rsidP="000028C5">
      <w:pPr>
        <w:pStyle w:val="HSCOL1"/>
        <w:rPr>
          <w:rFonts w:asciiTheme="minorHAnsi" w:hAnsiTheme="minorHAnsi" w:cstheme="minorHAnsi"/>
          <w:bCs/>
          <w:sz w:val="24"/>
        </w:rPr>
      </w:pPr>
    </w:p>
    <w:p w14:paraId="61E50C50"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For patients receiving treatment for a substance use disorder, presumptive testing on up to 36 dates of service and definitive testing on up to 12 dates of service per year are covered. These limits must be applied in accordance with mental health parity law.</w:t>
      </w:r>
    </w:p>
    <w:p w14:paraId="2B1643FD" w14:textId="77777777" w:rsidR="000028C5" w:rsidRPr="008C23FC" w:rsidRDefault="000028C5" w:rsidP="000028C5">
      <w:pPr>
        <w:pStyle w:val="HSCOL1"/>
        <w:rPr>
          <w:rFonts w:asciiTheme="minorHAnsi" w:hAnsiTheme="minorHAnsi" w:cstheme="minorHAnsi"/>
          <w:bCs/>
          <w:sz w:val="24"/>
        </w:rPr>
      </w:pPr>
    </w:p>
    <w:p w14:paraId="103AFC1B"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For patients receiving chronic opioid therapy for chronic pain, frequency of testing depending on the patient’s risk level (using a validated opioid risk assessment tool). Definitive testing should be conducted only for confirmatory purposes as described above and should not exceed 12 dates of service per year:</w:t>
      </w:r>
    </w:p>
    <w:p w14:paraId="41E65E51" w14:textId="77777777" w:rsidR="000028C5" w:rsidRPr="008C23FC" w:rsidRDefault="000028C5" w:rsidP="000028C5">
      <w:pPr>
        <w:pStyle w:val="HSCBullet1"/>
        <w:tabs>
          <w:tab w:val="num" w:pos="360"/>
        </w:tabs>
        <w:ind w:left="360" w:hanging="144"/>
        <w:rPr>
          <w:rFonts w:asciiTheme="minorHAnsi" w:hAnsiTheme="minorHAnsi" w:cstheme="minorHAnsi"/>
          <w:sz w:val="24"/>
        </w:rPr>
      </w:pPr>
      <w:r w:rsidRPr="008C23FC">
        <w:rPr>
          <w:rFonts w:asciiTheme="minorHAnsi" w:hAnsiTheme="minorHAnsi" w:cstheme="minorHAnsi"/>
          <w:sz w:val="24"/>
        </w:rPr>
        <w:t>Low Risk: Random presumptive testing on up to two dates of service per year</w:t>
      </w:r>
    </w:p>
    <w:p w14:paraId="3DBD2058" w14:textId="77777777" w:rsidR="000028C5" w:rsidRPr="008C23FC" w:rsidRDefault="000028C5" w:rsidP="000028C5">
      <w:pPr>
        <w:pStyle w:val="HSCBullet1"/>
        <w:tabs>
          <w:tab w:val="num" w:pos="360"/>
        </w:tabs>
        <w:ind w:left="360" w:hanging="144"/>
        <w:rPr>
          <w:rFonts w:asciiTheme="minorHAnsi" w:hAnsiTheme="minorHAnsi" w:cstheme="minorHAnsi"/>
          <w:sz w:val="24"/>
        </w:rPr>
      </w:pPr>
      <w:r w:rsidRPr="008C23FC">
        <w:rPr>
          <w:rFonts w:asciiTheme="minorHAnsi" w:hAnsiTheme="minorHAnsi" w:cstheme="minorHAnsi"/>
          <w:sz w:val="24"/>
        </w:rPr>
        <w:t>Moderate Risk: Random presumptive testing on up to four dates of service per year</w:t>
      </w:r>
    </w:p>
    <w:p w14:paraId="1B8E9E6C" w14:textId="77777777" w:rsidR="000028C5" w:rsidRPr="008C23FC" w:rsidRDefault="000028C5" w:rsidP="000028C5">
      <w:pPr>
        <w:pStyle w:val="HSCBullet1"/>
        <w:tabs>
          <w:tab w:val="num" w:pos="360"/>
        </w:tabs>
        <w:ind w:left="360" w:hanging="144"/>
        <w:rPr>
          <w:rFonts w:asciiTheme="minorHAnsi" w:hAnsiTheme="minorHAnsi" w:cstheme="minorHAnsi"/>
          <w:sz w:val="24"/>
        </w:rPr>
      </w:pPr>
      <w:r w:rsidRPr="008C23FC">
        <w:rPr>
          <w:rFonts w:asciiTheme="minorHAnsi" w:hAnsiTheme="minorHAnsi" w:cstheme="minorHAnsi"/>
          <w:sz w:val="24"/>
        </w:rPr>
        <w:t>High Risk: Random presumptive testing on up to 12 dates of service per year</w:t>
      </w:r>
    </w:p>
    <w:p w14:paraId="49604F87" w14:textId="77777777" w:rsidR="000028C5" w:rsidRPr="008C23FC" w:rsidRDefault="000028C5" w:rsidP="000028C5">
      <w:pPr>
        <w:pStyle w:val="HSCBullet1"/>
        <w:numPr>
          <w:ilvl w:val="0"/>
          <w:numId w:val="0"/>
        </w:numPr>
        <w:ind w:left="360" w:hanging="144"/>
        <w:rPr>
          <w:rFonts w:asciiTheme="minorHAnsi" w:hAnsiTheme="minorHAnsi" w:cstheme="minorHAnsi"/>
          <w:sz w:val="24"/>
        </w:rPr>
      </w:pPr>
    </w:p>
    <w:p w14:paraId="0ED7D406"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In patients with unexplained alteration of mental status and when knowledge of drug use is necessary for medical management (e.g., emergency department evaluation for altered mental status), UDT (presumptive and confirmatory definitive testing, if indicated) is covered in excess of the above limitations.</w:t>
      </w:r>
    </w:p>
    <w:p w14:paraId="08EDA5D4" w14:textId="77777777" w:rsidR="000028C5" w:rsidRPr="008C23FC" w:rsidRDefault="000028C5" w:rsidP="000028C5">
      <w:pPr>
        <w:pStyle w:val="HSCOL1"/>
        <w:rPr>
          <w:rFonts w:asciiTheme="minorHAnsi" w:hAnsiTheme="minorHAnsi" w:cstheme="minorHAnsi"/>
          <w:bCs/>
          <w:sz w:val="24"/>
        </w:rPr>
      </w:pPr>
    </w:p>
    <w:p w14:paraId="1FFF599C" w14:textId="77777777" w:rsidR="000028C5" w:rsidRPr="008C23FC" w:rsidRDefault="000028C5" w:rsidP="000028C5">
      <w:pPr>
        <w:pStyle w:val="HSCOL1"/>
        <w:rPr>
          <w:rFonts w:asciiTheme="minorHAnsi" w:hAnsiTheme="minorHAnsi" w:cstheme="minorHAnsi"/>
          <w:bCs/>
          <w:sz w:val="24"/>
        </w:rPr>
      </w:pPr>
      <w:r w:rsidRPr="008C23FC">
        <w:rPr>
          <w:rFonts w:asciiTheme="minorHAnsi" w:hAnsiTheme="minorHAnsi" w:cstheme="minorHAnsi"/>
          <w:bCs/>
          <w:sz w:val="24"/>
        </w:rPr>
        <w:t xml:space="preserve">Urine drug testing conducted in accordance with policy of the DHS Office of Child Welfare Programs, when medically necessary, is also covered in excess of these limitations.  </w:t>
      </w:r>
    </w:p>
    <w:p w14:paraId="221D73DD" w14:textId="77777777" w:rsidR="000028C5" w:rsidRPr="008C23FC" w:rsidRDefault="000028C5" w:rsidP="000028C5">
      <w:pPr>
        <w:pStyle w:val="HSCOL1"/>
        <w:rPr>
          <w:rFonts w:asciiTheme="minorHAnsi" w:hAnsiTheme="minorHAnsi" w:cstheme="minorHAnsi"/>
          <w:bCs/>
          <w:sz w:val="24"/>
        </w:rPr>
      </w:pPr>
    </w:p>
    <w:p w14:paraId="5EF2B5FB" w14:textId="77777777" w:rsidR="000028C5" w:rsidRDefault="000028C5" w:rsidP="000028C5">
      <w:pPr>
        <w:pStyle w:val="HSCOL1"/>
        <w:spacing w:after="320"/>
        <w:rPr>
          <w:rStyle w:val="Hyperlink"/>
          <w:rFonts w:asciiTheme="minorHAnsi" w:hAnsiTheme="minorHAnsi" w:cstheme="minorHAnsi"/>
          <w:sz w:val="24"/>
        </w:rPr>
      </w:pPr>
      <w:r w:rsidRPr="008C23FC">
        <w:rPr>
          <w:rFonts w:asciiTheme="minorHAnsi" w:hAnsiTheme="minorHAnsi" w:cstheme="minorHAnsi"/>
          <w:sz w:val="24"/>
        </w:rPr>
        <w:t xml:space="preserve">The development of this guideline note was informed by a HERC </w:t>
      </w:r>
      <w:hyperlink r:id="rId15" w:history="1">
        <w:r w:rsidRPr="008C23FC">
          <w:rPr>
            <w:rStyle w:val="Hyperlink"/>
            <w:rFonts w:asciiTheme="minorHAnsi" w:hAnsiTheme="minorHAnsi" w:cstheme="minorHAnsi"/>
            <w:sz w:val="24"/>
          </w:rPr>
          <w:t>coverage guidance</w:t>
        </w:r>
      </w:hyperlink>
      <w:r w:rsidRPr="008C23FC">
        <w:rPr>
          <w:rFonts w:asciiTheme="minorHAnsi" w:hAnsiTheme="minorHAnsi" w:cstheme="minorHAnsi"/>
          <w:sz w:val="24"/>
        </w:rPr>
        <w:t xml:space="preserve">. See </w:t>
      </w:r>
      <w:hyperlink r:id="rId16" w:history="1">
        <w:r w:rsidRPr="008C23FC">
          <w:rPr>
            <w:rStyle w:val="Hyperlink"/>
            <w:rFonts w:asciiTheme="minorHAnsi" w:hAnsiTheme="minorHAnsi" w:cstheme="minorHAnsi"/>
            <w:sz w:val="24"/>
          </w:rPr>
          <w:t>https://www.oregon.gov/oha/HPA/DSI-HERC/Pages/Evidence-based-Reports.aspx</w:t>
        </w:r>
      </w:hyperlink>
    </w:p>
    <w:p w14:paraId="44D8C657" w14:textId="6BF8FC9E" w:rsidR="000028C5" w:rsidRPr="00A778D9" w:rsidRDefault="001E4A39" w:rsidP="000028C5">
      <w:pPr>
        <w:pStyle w:val="Heading1"/>
        <w:rPr>
          <w:rFonts w:ascii="Calibri" w:hAnsi="Calibri" w:cs="Calibri"/>
          <w:sz w:val="24"/>
          <w:szCs w:val="24"/>
        </w:rPr>
      </w:pPr>
      <w:r>
        <w:rPr>
          <w:rFonts w:ascii="Calibri" w:hAnsi="Calibri" w:cs="Calibri"/>
          <w:sz w:val="24"/>
          <w:szCs w:val="24"/>
        </w:rPr>
        <w:t>EXCLUDED SERVICES GUIDELINE 2</w:t>
      </w:r>
      <w:r w:rsidR="000028C5" w:rsidRPr="00A778D9">
        <w:rPr>
          <w:rFonts w:ascii="Calibri" w:hAnsi="Calibri" w:cs="Calibri"/>
          <w:sz w:val="24"/>
          <w:szCs w:val="24"/>
        </w:rPr>
        <w:t>, INTERVENTIONS THAT ARE UNPROVEN, HAVE NO CLINICALLY IMPORTANT BENEFIT OR HAVE HARMS THAT OUTWEIGH BENEFITS FOR CERTAIN CONDITIONS</w:t>
      </w:r>
    </w:p>
    <w:p w14:paraId="4B3DBE7D" w14:textId="77777777" w:rsidR="000028C5" w:rsidRPr="00A778D9" w:rsidRDefault="000028C5" w:rsidP="000028C5">
      <w:pPr>
        <w:pStyle w:val="HSCGLLineList"/>
        <w:rPr>
          <w:rFonts w:ascii="Calibri" w:hAnsi="Calibri" w:cs="Calibri"/>
          <w:sz w:val="24"/>
          <w:szCs w:val="24"/>
        </w:rPr>
      </w:pPr>
      <w:r w:rsidRPr="00A778D9">
        <w:rPr>
          <w:rFonts w:ascii="Calibri" w:hAnsi="Calibri" w:cs="Calibri"/>
          <w:sz w:val="24"/>
          <w:szCs w:val="24"/>
        </w:rPr>
        <w:t>Line 662</w:t>
      </w:r>
    </w:p>
    <w:p w14:paraId="1AC194CF" w14:textId="77777777" w:rsidR="000028C5" w:rsidRPr="00A778D9" w:rsidRDefault="000028C5" w:rsidP="000028C5">
      <w:pPr>
        <w:pStyle w:val="HSCNormal"/>
        <w:rPr>
          <w:rFonts w:ascii="Calibri" w:hAnsi="Calibri" w:cs="Calibri"/>
          <w:sz w:val="24"/>
        </w:rPr>
      </w:pPr>
      <w:r w:rsidRPr="00A778D9">
        <w:rPr>
          <w:rFonts w:ascii="Calibri" w:hAnsi="Calibri" w:cs="Calibri"/>
          <w:sz w:val="24"/>
        </w:rPr>
        <w:t>The following Interventions are prioritized on Line 662 CONDITIONS FOR WHICH CERTAIN INTERVENTIONS ARE UNPROVEN, HAVE NO CLINICALLY IMPORTANT BENEFIT OR HAVE HARMS THAT OUTWEIGH BENEFITS:</w:t>
      </w:r>
    </w:p>
    <w:tbl>
      <w:tblPr>
        <w:tblStyle w:val="TableGrid"/>
        <w:tblW w:w="9445" w:type="dxa"/>
        <w:tblLook w:val="04A0" w:firstRow="1" w:lastRow="0" w:firstColumn="1" w:lastColumn="0" w:noHBand="0" w:noVBand="1"/>
      </w:tblPr>
      <w:tblGrid>
        <w:gridCol w:w="1525"/>
        <w:gridCol w:w="3330"/>
        <w:gridCol w:w="2970"/>
        <w:gridCol w:w="1620"/>
      </w:tblGrid>
      <w:tr w:rsidR="000028C5" w:rsidRPr="00C6590D" w14:paraId="43C13560" w14:textId="77777777" w:rsidTr="00F96013">
        <w:trPr>
          <w:cantSplit/>
          <w:trHeight w:val="197"/>
          <w:tblHeader/>
        </w:trPr>
        <w:tc>
          <w:tcPr>
            <w:tcW w:w="1525" w:type="dxa"/>
            <w:shd w:val="clear" w:color="auto" w:fill="D9D9D9" w:themeFill="background1" w:themeFillShade="D9"/>
            <w:hideMark/>
          </w:tcPr>
          <w:p w14:paraId="0F76830C" w14:textId="77777777" w:rsidR="000028C5" w:rsidRPr="00C6590D" w:rsidRDefault="000028C5" w:rsidP="00F96013">
            <w:pPr>
              <w:rPr>
                <w:rStyle w:val="PageNumber"/>
                <w:b/>
              </w:rPr>
            </w:pPr>
            <w:r w:rsidRPr="00C6590D">
              <w:rPr>
                <w:rStyle w:val="PageNumber"/>
                <w:b/>
              </w:rPr>
              <w:t>Procedure Code</w:t>
            </w:r>
          </w:p>
        </w:tc>
        <w:tc>
          <w:tcPr>
            <w:tcW w:w="3330" w:type="dxa"/>
            <w:shd w:val="clear" w:color="auto" w:fill="D9D9D9" w:themeFill="background1" w:themeFillShade="D9"/>
            <w:hideMark/>
          </w:tcPr>
          <w:p w14:paraId="508E1F87" w14:textId="77777777" w:rsidR="000028C5" w:rsidRPr="00C6590D" w:rsidRDefault="000028C5" w:rsidP="00F96013">
            <w:pPr>
              <w:rPr>
                <w:rStyle w:val="PageNumber"/>
                <w:b/>
              </w:rPr>
            </w:pPr>
            <w:r w:rsidRPr="00C6590D">
              <w:rPr>
                <w:rStyle w:val="PageNumber"/>
                <w:b/>
              </w:rPr>
              <w:t>Intervention Description</w:t>
            </w:r>
          </w:p>
        </w:tc>
        <w:tc>
          <w:tcPr>
            <w:tcW w:w="2970" w:type="dxa"/>
            <w:shd w:val="clear" w:color="auto" w:fill="D9D9D9" w:themeFill="background1" w:themeFillShade="D9"/>
            <w:hideMark/>
          </w:tcPr>
          <w:p w14:paraId="775C5269" w14:textId="77777777" w:rsidR="000028C5" w:rsidRPr="00C6590D" w:rsidRDefault="000028C5" w:rsidP="00F96013">
            <w:pPr>
              <w:rPr>
                <w:rStyle w:val="PageNumber"/>
                <w:b/>
              </w:rPr>
            </w:pPr>
            <w:r w:rsidRPr="00C6590D">
              <w:rPr>
                <w:rStyle w:val="PageNumber"/>
                <w:b/>
              </w:rPr>
              <w:t>Rationale</w:t>
            </w:r>
          </w:p>
        </w:tc>
        <w:tc>
          <w:tcPr>
            <w:tcW w:w="1620" w:type="dxa"/>
            <w:shd w:val="clear" w:color="auto" w:fill="D9D9D9" w:themeFill="background1" w:themeFillShade="D9"/>
            <w:hideMark/>
          </w:tcPr>
          <w:p w14:paraId="2BD27437" w14:textId="77777777" w:rsidR="000028C5" w:rsidRPr="00C6590D" w:rsidRDefault="000028C5" w:rsidP="00F96013">
            <w:pPr>
              <w:rPr>
                <w:rStyle w:val="PageNumber"/>
                <w:b/>
              </w:rPr>
            </w:pPr>
            <w:r w:rsidRPr="00C6590D">
              <w:rPr>
                <w:rStyle w:val="PageNumber"/>
                <w:b/>
              </w:rPr>
              <w:t>Last Review</w:t>
            </w:r>
          </w:p>
        </w:tc>
      </w:tr>
      <w:tr w:rsidR="000028C5" w:rsidRPr="00C6590D" w14:paraId="0A1D4372" w14:textId="77777777" w:rsidTr="00F96013">
        <w:trPr>
          <w:cantSplit/>
        </w:trPr>
        <w:tc>
          <w:tcPr>
            <w:tcW w:w="1525" w:type="dxa"/>
          </w:tcPr>
          <w:p w14:paraId="66298415" w14:textId="77777777" w:rsidR="000028C5" w:rsidRPr="00601487" w:rsidRDefault="000028C5" w:rsidP="00F96013">
            <w:pPr>
              <w:rPr>
                <w:rStyle w:val="PageNumber"/>
                <w:rFonts w:cstheme="minorHAnsi"/>
                <w:sz w:val="24"/>
                <w:szCs w:val="24"/>
              </w:rPr>
            </w:pPr>
            <w:r w:rsidRPr="0054728B">
              <w:rPr>
                <w:rStyle w:val="PageNumber"/>
                <w:rFonts w:cstheme="minorHAnsi"/>
                <w:strike/>
                <w:color w:val="FF0000"/>
                <w:sz w:val="24"/>
                <w:szCs w:val="24"/>
              </w:rPr>
              <w:t>G0481,</w:t>
            </w:r>
            <w:r w:rsidRPr="0054728B">
              <w:rPr>
                <w:rStyle w:val="PageNumber"/>
                <w:rFonts w:cstheme="minorHAnsi"/>
                <w:color w:val="FF0000"/>
                <w:sz w:val="24"/>
                <w:szCs w:val="24"/>
              </w:rPr>
              <w:t xml:space="preserve"> </w:t>
            </w:r>
            <w:r w:rsidRPr="00601487">
              <w:rPr>
                <w:rStyle w:val="PageNumber"/>
                <w:rFonts w:cstheme="minorHAnsi"/>
                <w:sz w:val="24"/>
                <w:szCs w:val="24"/>
              </w:rPr>
              <w:t>G0482,</w:t>
            </w:r>
          </w:p>
          <w:p w14:paraId="61BCFC28" w14:textId="77777777" w:rsidR="000028C5" w:rsidRPr="00C6590D" w:rsidRDefault="000028C5" w:rsidP="00F96013">
            <w:pPr>
              <w:rPr>
                <w:rStyle w:val="PageNumber"/>
                <w:color w:val="0070C0"/>
                <w:u w:val="single"/>
              </w:rPr>
            </w:pPr>
            <w:r w:rsidRPr="00601487">
              <w:rPr>
                <w:rStyle w:val="PageNumber"/>
                <w:rFonts w:cstheme="minorHAnsi"/>
                <w:sz w:val="24"/>
                <w:szCs w:val="24"/>
              </w:rPr>
              <w:t>G0483</w:t>
            </w:r>
          </w:p>
        </w:tc>
        <w:tc>
          <w:tcPr>
            <w:tcW w:w="3330" w:type="dxa"/>
          </w:tcPr>
          <w:p w14:paraId="2A228544" w14:textId="77777777" w:rsidR="000028C5" w:rsidRPr="00601487" w:rsidRDefault="000028C5" w:rsidP="00F96013">
            <w:pPr>
              <w:rPr>
                <w:rStyle w:val="PageNumber"/>
                <w:rFonts w:cstheme="minorHAnsi"/>
                <w:sz w:val="24"/>
                <w:szCs w:val="24"/>
              </w:rPr>
            </w:pPr>
            <w:r w:rsidRPr="00601487">
              <w:rPr>
                <w:rStyle w:val="PageNumber"/>
                <w:rFonts w:cstheme="minorHAnsi"/>
                <w:sz w:val="24"/>
                <w:szCs w:val="24"/>
              </w:rPr>
              <w:t>Urine drug testing, definitive for &gt;</w:t>
            </w:r>
            <w:r w:rsidRPr="0054728B">
              <w:rPr>
                <w:rStyle w:val="PageNumber"/>
                <w:rFonts w:cstheme="minorHAnsi"/>
                <w:strike/>
                <w:color w:val="FF0000"/>
                <w:sz w:val="24"/>
                <w:szCs w:val="24"/>
              </w:rPr>
              <w:t>7</w:t>
            </w:r>
            <w:r>
              <w:rPr>
                <w:rStyle w:val="PageNumber"/>
                <w:rFonts w:cstheme="minorHAnsi"/>
                <w:strike/>
                <w:color w:val="FF0000"/>
                <w:sz w:val="24"/>
                <w:szCs w:val="24"/>
              </w:rPr>
              <w:t xml:space="preserve"> </w:t>
            </w:r>
            <w:r w:rsidRPr="004013A4">
              <w:rPr>
                <w:rStyle w:val="PageNumber"/>
                <w:rFonts w:cstheme="minorHAnsi"/>
                <w:color w:val="0070C0"/>
                <w:sz w:val="24"/>
                <w:szCs w:val="24"/>
                <w:u w:val="single"/>
              </w:rPr>
              <w:t>15</w:t>
            </w:r>
            <w:r>
              <w:rPr>
                <w:rStyle w:val="PageNumber"/>
                <w:rFonts w:cstheme="minorHAnsi"/>
              </w:rPr>
              <w:t xml:space="preserve"> </w:t>
            </w:r>
            <w:r w:rsidRPr="00601487">
              <w:rPr>
                <w:rStyle w:val="PageNumber"/>
                <w:rFonts w:cstheme="minorHAnsi"/>
                <w:sz w:val="24"/>
                <w:szCs w:val="24"/>
              </w:rPr>
              <w:t>drug</w:t>
            </w:r>
          </w:p>
          <w:p w14:paraId="095F496A" w14:textId="77777777" w:rsidR="000028C5" w:rsidRPr="00C6590D" w:rsidRDefault="000028C5" w:rsidP="00F96013">
            <w:pPr>
              <w:rPr>
                <w:color w:val="0070C0"/>
                <w:u w:val="single"/>
              </w:rPr>
            </w:pPr>
            <w:r w:rsidRPr="00601487">
              <w:rPr>
                <w:rStyle w:val="PageNumber"/>
                <w:rFonts w:cstheme="minorHAnsi"/>
                <w:sz w:val="24"/>
                <w:szCs w:val="24"/>
              </w:rPr>
              <w:t>classes</w:t>
            </w:r>
          </w:p>
        </w:tc>
        <w:tc>
          <w:tcPr>
            <w:tcW w:w="2970" w:type="dxa"/>
          </w:tcPr>
          <w:p w14:paraId="27901477" w14:textId="77777777" w:rsidR="000028C5" w:rsidRPr="00C6590D" w:rsidRDefault="000028C5" w:rsidP="00F96013">
            <w:pPr>
              <w:rPr>
                <w:rStyle w:val="PageNumber"/>
                <w:color w:val="0070C0"/>
                <w:u w:val="single"/>
              </w:rPr>
            </w:pPr>
            <w:r w:rsidRPr="00601487">
              <w:rPr>
                <w:rStyle w:val="PageNumber"/>
                <w:rFonts w:cstheme="minorHAnsi"/>
                <w:sz w:val="24"/>
                <w:szCs w:val="24"/>
              </w:rPr>
              <w:t>No clinical benefit</w:t>
            </w:r>
          </w:p>
        </w:tc>
        <w:tc>
          <w:tcPr>
            <w:tcW w:w="1620" w:type="dxa"/>
          </w:tcPr>
          <w:p w14:paraId="5D6DF278" w14:textId="77777777" w:rsidR="000028C5" w:rsidRDefault="000028C5" w:rsidP="00F96013">
            <w:pPr>
              <w:jc w:val="both"/>
              <w:rPr>
                <w:rFonts w:cstheme="minorHAnsi"/>
                <w:color w:val="0070C0"/>
                <w:sz w:val="24"/>
                <w:szCs w:val="24"/>
                <w:u w:val="single"/>
              </w:rPr>
            </w:pPr>
            <w:r w:rsidRPr="00322991">
              <w:rPr>
                <w:rFonts w:cstheme="minorHAnsi"/>
                <w:color w:val="0070C0"/>
                <w:sz w:val="24"/>
                <w:szCs w:val="24"/>
                <w:u w:val="single"/>
              </w:rPr>
              <w:t>January 2023</w:t>
            </w:r>
          </w:p>
          <w:p w14:paraId="5DFBCC3E" w14:textId="77777777" w:rsidR="000028C5" w:rsidRPr="00322991" w:rsidRDefault="000028C5" w:rsidP="00F96013">
            <w:pPr>
              <w:jc w:val="both"/>
              <w:rPr>
                <w:rFonts w:cstheme="minorHAnsi"/>
                <w:color w:val="0070C0"/>
                <w:sz w:val="24"/>
                <w:szCs w:val="24"/>
                <w:u w:val="single"/>
              </w:rPr>
            </w:pPr>
          </w:p>
          <w:p w14:paraId="1FD760E2" w14:textId="77777777" w:rsidR="000028C5" w:rsidRPr="00601487" w:rsidRDefault="001E4A39" w:rsidP="00F96013">
            <w:pPr>
              <w:jc w:val="both"/>
              <w:rPr>
                <w:rStyle w:val="Hyperlink"/>
                <w:rFonts w:cstheme="minorHAnsi"/>
                <w:color w:val="0D0D0D" w:themeColor="text1" w:themeTint="F2"/>
                <w:sz w:val="24"/>
                <w:szCs w:val="24"/>
              </w:rPr>
            </w:pPr>
            <w:hyperlink r:id="rId17" w:history="1">
              <w:r w:rsidR="000028C5" w:rsidRPr="00601487">
                <w:rPr>
                  <w:rStyle w:val="Hyperlink"/>
                  <w:rFonts w:cstheme="minorHAnsi"/>
                  <w:sz w:val="24"/>
                  <w:szCs w:val="24"/>
                </w:rPr>
                <w:t>August, 2018</w:t>
              </w:r>
            </w:hyperlink>
          </w:p>
          <w:p w14:paraId="24AC8955" w14:textId="77777777" w:rsidR="000028C5" w:rsidRPr="00C6590D" w:rsidRDefault="001E4A39" w:rsidP="00F96013">
            <w:hyperlink r:id="rId18" w:history="1">
              <w:r w:rsidR="000028C5" w:rsidRPr="00601487">
                <w:rPr>
                  <w:rStyle w:val="Hyperlink"/>
                  <w:rFonts w:cstheme="minorHAnsi"/>
                  <w:sz w:val="24"/>
                  <w:szCs w:val="24"/>
                </w:rPr>
                <w:t>Coverage Guidance</w:t>
              </w:r>
            </w:hyperlink>
          </w:p>
        </w:tc>
      </w:tr>
    </w:tbl>
    <w:p w14:paraId="1FB11D6B" w14:textId="77777777" w:rsidR="000028C5" w:rsidRPr="00B42B09" w:rsidRDefault="000028C5" w:rsidP="000028C5"/>
    <w:p w14:paraId="64CDADE5" w14:textId="77777777" w:rsidR="00AB7748" w:rsidRDefault="00AB7748" w:rsidP="003A7E4E">
      <w:pPr>
        <w:autoSpaceDE w:val="0"/>
        <w:autoSpaceDN w:val="0"/>
        <w:adjustRightInd w:val="0"/>
        <w:spacing w:after="0" w:line="240" w:lineRule="auto"/>
        <w:rPr>
          <w:rFonts w:cstheme="minorHAnsi"/>
          <w:b/>
          <w:bCs/>
          <w:sz w:val="24"/>
          <w:szCs w:val="24"/>
        </w:rPr>
      </w:pPr>
    </w:p>
    <w:p w14:paraId="500249EC" w14:textId="77777777" w:rsidR="0033578D" w:rsidRDefault="0033578D" w:rsidP="003A7E4E">
      <w:pPr>
        <w:autoSpaceDE w:val="0"/>
        <w:autoSpaceDN w:val="0"/>
        <w:adjustRightInd w:val="0"/>
        <w:spacing w:after="0" w:line="240" w:lineRule="auto"/>
        <w:rPr>
          <w:rFonts w:cstheme="minorHAnsi"/>
          <w:b/>
          <w:bCs/>
          <w:sz w:val="24"/>
          <w:szCs w:val="24"/>
        </w:rPr>
      </w:pPr>
    </w:p>
    <w:sectPr w:rsidR="0033578D" w:rsidSect="00A06407">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11D9" w14:textId="77777777" w:rsidR="0013533F" w:rsidRDefault="0013533F">
      <w:r>
        <w:separator/>
      </w:r>
    </w:p>
  </w:endnote>
  <w:endnote w:type="continuationSeparator" w:id="0">
    <w:p w14:paraId="6FA93B7A" w14:textId="77777777" w:rsidR="0013533F" w:rsidRDefault="0013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SA337">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16F7" w14:textId="77777777" w:rsidR="001E4A39" w:rsidRDefault="001E4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5D61" w14:textId="77777777" w:rsidR="003E2BE9" w:rsidRPr="00146B0B" w:rsidRDefault="003E2BE9" w:rsidP="009D1C62">
    <w:pPr>
      <w:pStyle w:val="Footer"/>
    </w:pPr>
    <w:r>
      <w:tab/>
    </w:r>
    <w:r w:rsidR="00D941C7">
      <w:rPr>
        <w:noProof/>
      </w:rPr>
      <w:drawing>
        <wp:inline distT="0" distB="0" distL="0" distR="0" wp14:anchorId="66C026A6" wp14:editId="74978C7D">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33578D">
      <w:rPr>
        <w:noProof/>
      </w:rPr>
      <w:t>3</w:t>
    </w:r>
    <w:r w:rsidR="00062D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A680" w14:textId="77777777" w:rsidR="001E4A39" w:rsidRDefault="001E4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D142" w14:textId="77777777" w:rsidR="0013533F" w:rsidRDefault="0013533F">
      <w:r>
        <w:separator/>
      </w:r>
    </w:p>
  </w:footnote>
  <w:footnote w:type="continuationSeparator" w:id="0">
    <w:p w14:paraId="05624D1F" w14:textId="77777777" w:rsidR="0013533F" w:rsidRDefault="00135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40CE" w14:textId="77777777" w:rsidR="001E4A39" w:rsidRDefault="001E4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616D" w14:textId="77777777" w:rsidR="00F11304" w:rsidRPr="00D17DC1" w:rsidRDefault="00BF2C88" w:rsidP="00D17DC1">
    <w:pPr>
      <w:jc w:val="center"/>
      <w:rPr>
        <w:b/>
        <w:noProof/>
        <w:sz w:val="28"/>
        <w:szCs w:val="28"/>
      </w:rPr>
    </w:pPr>
    <w:r w:rsidRPr="00D17DC1">
      <w:rPr>
        <w:b/>
        <w:noProof/>
        <w:sz w:val="28"/>
        <w:szCs w:val="28"/>
      </w:rPr>
      <w:t>Oregon Health Plan Prioritized List</w:t>
    </w:r>
  </w:p>
  <w:p w14:paraId="795272F4" w14:textId="5C7CF6DD" w:rsidR="00D17DC1" w:rsidRPr="00876447" w:rsidRDefault="001E4A39" w:rsidP="00D32460">
    <w:pPr>
      <w:jc w:val="center"/>
      <w:rPr>
        <w:rFonts w:asciiTheme="majorHAnsi" w:hAnsiTheme="majorHAnsi" w:cstheme="majorHAnsi"/>
        <w:b/>
      </w:rPr>
    </w:pPr>
    <w:r>
      <w:rPr>
        <w:b/>
        <w:noProof/>
        <w:sz w:val="28"/>
        <w:szCs w:val="28"/>
      </w:rPr>
      <w:t>Excluded Services Guideline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CCA2" w14:textId="77777777" w:rsidR="001E4A39" w:rsidRDefault="001E4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367"/>
    <w:multiLevelType w:val="hybridMultilevel"/>
    <w:tmpl w:val="B8AAFF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6691E"/>
    <w:multiLevelType w:val="hybridMultilevel"/>
    <w:tmpl w:val="E5BA99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C1B5F"/>
    <w:multiLevelType w:val="hybridMultilevel"/>
    <w:tmpl w:val="6A522D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3150"/>
    <w:multiLevelType w:val="hybridMultilevel"/>
    <w:tmpl w:val="09567B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34942"/>
    <w:multiLevelType w:val="hybridMultilevel"/>
    <w:tmpl w:val="56A0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6EAE"/>
    <w:multiLevelType w:val="hybridMultilevel"/>
    <w:tmpl w:val="C90EAE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623FF"/>
    <w:multiLevelType w:val="hybridMultilevel"/>
    <w:tmpl w:val="9B8CE428"/>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29AB31D2"/>
    <w:multiLevelType w:val="hybridMultilevel"/>
    <w:tmpl w:val="8F7628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05EF3"/>
    <w:multiLevelType w:val="hybridMultilevel"/>
    <w:tmpl w:val="A3D475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BD6E36"/>
    <w:multiLevelType w:val="hybridMultilevel"/>
    <w:tmpl w:val="99C46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906481"/>
    <w:multiLevelType w:val="hybridMultilevel"/>
    <w:tmpl w:val="035C35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76619"/>
    <w:multiLevelType w:val="hybridMultilevel"/>
    <w:tmpl w:val="9DDEC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D143F"/>
    <w:multiLevelType w:val="hybridMultilevel"/>
    <w:tmpl w:val="4D9AA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A44D0B"/>
    <w:multiLevelType w:val="hybridMultilevel"/>
    <w:tmpl w:val="9E383564"/>
    <w:lvl w:ilvl="0" w:tplc="B268B7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7639EA"/>
    <w:multiLevelType w:val="hybridMultilevel"/>
    <w:tmpl w:val="94D2EA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90B1B"/>
    <w:multiLevelType w:val="hybridMultilevel"/>
    <w:tmpl w:val="01963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3508DD"/>
    <w:multiLevelType w:val="hybridMultilevel"/>
    <w:tmpl w:val="742E9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B51291"/>
    <w:multiLevelType w:val="hybridMultilevel"/>
    <w:tmpl w:val="37FC3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F767D6E"/>
    <w:multiLevelType w:val="hybridMultilevel"/>
    <w:tmpl w:val="76169C5C"/>
    <w:lvl w:ilvl="0" w:tplc="3AC878F4">
      <w:start w:val="1"/>
      <w:numFmt w:val="decimal"/>
      <w:lvlText w:val="%1)"/>
      <w:lvlJc w:val="left"/>
      <w:pPr>
        <w:ind w:left="720" w:hanging="360"/>
      </w:pPr>
      <w:rPr>
        <w:rFonts w:asciiTheme="minorHAnsi" w:hAnsiTheme="minorHAnsi" w:cs="AdvPSA337"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6A6607"/>
    <w:multiLevelType w:val="hybridMultilevel"/>
    <w:tmpl w:val="9D902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A26422"/>
    <w:multiLevelType w:val="hybridMultilevel"/>
    <w:tmpl w:val="16FC0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8576CA"/>
    <w:multiLevelType w:val="hybridMultilevel"/>
    <w:tmpl w:val="AB100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4B05897"/>
    <w:multiLevelType w:val="hybridMultilevel"/>
    <w:tmpl w:val="02E671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F33F66"/>
    <w:multiLevelType w:val="hybridMultilevel"/>
    <w:tmpl w:val="E7C2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8DB3760"/>
    <w:multiLevelType w:val="hybridMultilevel"/>
    <w:tmpl w:val="EB06F538"/>
    <w:lvl w:ilvl="0" w:tplc="54C46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5B4D15"/>
    <w:multiLevelType w:val="hybridMultilevel"/>
    <w:tmpl w:val="87D0E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1663206">
    <w:abstractNumId w:val="24"/>
  </w:num>
  <w:num w:numId="2" w16cid:durableId="2102948062">
    <w:abstractNumId w:val="4"/>
  </w:num>
  <w:num w:numId="3" w16cid:durableId="18748623">
    <w:abstractNumId w:val="21"/>
  </w:num>
  <w:num w:numId="4" w16cid:durableId="3678764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086677">
    <w:abstractNumId w:val="17"/>
  </w:num>
  <w:num w:numId="6" w16cid:durableId="211354790">
    <w:abstractNumId w:val="29"/>
  </w:num>
  <w:num w:numId="7" w16cid:durableId="477844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66922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7237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7889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7198276">
    <w:abstractNumId w:val="12"/>
  </w:num>
  <w:num w:numId="12" w16cid:durableId="1395004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235319">
    <w:abstractNumId w:val="7"/>
  </w:num>
  <w:num w:numId="14" w16cid:durableId="1619604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4792681">
    <w:abstractNumId w:val="7"/>
  </w:num>
  <w:num w:numId="16" w16cid:durableId="1931741234">
    <w:abstractNumId w:val="10"/>
  </w:num>
  <w:num w:numId="17" w16cid:durableId="141847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79262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9958595">
    <w:abstractNumId w:val="26"/>
  </w:num>
  <w:num w:numId="20" w16cid:durableId="1067266346">
    <w:abstractNumId w:val="3"/>
  </w:num>
  <w:num w:numId="21" w16cid:durableId="1847597167">
    <w:abstractNumId w:val="27"/>
  </w:num>
  <w:num w:numId="22" w16cid:durableId="2076200318">
    <w:abstractNumId w:val="2"/>
  </w:num>
  <w:num w:numId="23" w16cid:durableId="398524750">
    <w:abstractNumId w:val="11"/>
  </w:num>
  <w:num w:numId="24" w16cid:durableId="2135632092">
    <w:abstractNumId w:val="1"/>
  </w:num>
  <w:num w:numId="25" w16cid:durableId="2048068532">
    <w:abstractNumId w:val="6"/>
  </w:num>
  <w:num w:numId="26" w16cid:durableId="1103307840">
    <w:abstractNumId w:val="0"/>
  </w:num>
  <w:num w:numId="27" w16cid:durableId="1071998537">
    <w:abstractNumId w:val="14"/>
  </w:num>
  <w:num w:numId="28" w16cid:durableId="1618751050">
    <w:abstractNumId w:val="5"/>
  </w:num>
  <w:num w:numId="29" w16cid:durableId="390350160">
    <w:abstractNumId w:val="23"/>
  </w:num>
  <w:num w:numId="30" w16cid:durableId="1251545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0254946">
    <w:abstractNumId w:val="22"/>
  </w:num>
  <w:num w:numId="32" w16cid:durableId="1860385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A"/>
    <w:rsid w:val="000028C5"/>
    <w:rsid w:val="00006375"/>
    <w:rsid w:val="000114D4"/>
    <w:rsid w:val="00034DA2"/>
    <w:rsid w:val="00036EFB"/>
    <w:rsid w:val="00062D99"/>
    <w:rsid w:val="000938C4"/>
    <w:rsid w:val="000A5877"/>
    <w:rsid w:val="000E3E50"/>
    <w:rsid w:val="000E4EE6"/>
    <w:rsid w:val="00112E35"/>
    <w:rsid w:val="001135E2"/>
    <w:rsid w:val="00125B69"/>
    <w:rsid w:val="0013533F"/>
    <w:rsid w:val="00146B0B"/>
    <w:rsid w:val="00161173"/>
    <w:rsid w:val="00174B84"/>
    <w:rsid w:val="00183961"/>
    <w:rsid w:val="001C1AC2"/>
    <w:rsid w:val="001E4A39"/>
    <w:rsid w:val="001E6492"/>
    <w:rsid w:val="001F2924"/>
    <w:rsid w:val="00211F7E"/>
    <w:rsid w:val="00241DFF"/>
    <w:rsid w:val="002567C3"/>
    <w:rsid w:val="002757D6"/>
    <w:rsid w:val="00286D7A"/>
    <w:rsid w:val="002C7FB2"/>
    <w:rsid w:val="002D4047"/>
    <w:rsid w:val="002E27CD"/>
    <w:rsid w:val="002E7B3E"/>
    <w:rsid w:val="002F4236"/>
    <w:rsid w:val="00313C24"/>
    <w:rsid w:val="00331577"/>
    <w:rsid w:val="0033578D"/>
    <w:rsid w:val="00354F39"/>
    <w:rsid w:val="00362566"/>
    <w:rsid w:val="00381686"/>
    <w:rsid w:val="003A7E4E"/>
    <w:rsid w:val="003B3891"/>
    <w:rsid w:val="003B473D"/>
    <w:rsid w:val="003C402A"/>
    <w:rsid w:val="003E2BE9"/>
    <w:rsid w:val="003E3BC4"/>
    <w:rsid w:val="00424A46"/>
    <w:rsid w:val="00436596"/>
    <w:rsid w:val="00441A01"/>
    <w:rsid w:val="00450044"/>
    <w:rsid w:val="004571AF"/>
    <w:rsid w:val="004C739A"/>
    <w:rsid w:val="004D5309"/>
    <w:rsid w:val="004F3B62"/>
    <w:rsid w:val="004F5E4A"/>
    <w:rsid w:val="004F6524"/>
    <w:rsid w:val="00522960"/>
    <w:rsid w:val="0053244B"/>
    <w:rsid w:val="005359C7"/>
    <w:rsid w:val="0056337E"/>
    <w:rsid w:val="005A1767"/>
    <w:rsid w:val="005A1EEE"/>
    <w:rsid w:val="005B71A4"/>
    <w:rsid w:val="005D0545"/>
    <w:rsid w:val="005D7BF0"/>
    <w:rsid w:val="005F2AED"/>
    <w:rsid w:val="00605342"/>
    <w:rsid w:val="00660992"/>
    <w:rsid w:val="006943D6"/>
    <w:rsid w:val="006A5420"/>
    <w:rsid w:val="006C453D"/>
    <w:rsid w:val="006E21CB"/>
    <w:rsid w:val="00704160"/>
    <w:rsid w:val="00714D9B"/>
    <w:rsid w:val="00722829"/>
    <w:rsid w:val="0074542B"/>
    <w:rsid w:val="00746D0A"/>
    <w:rsid w:val="00752E2C"/>
    <w:rsid w:val="007574E8"/>
    <w:rsid w:val="00795889"/>
    <w:rsid w:val="00796202"/>
    <w:rsid w:val="007A65AA"/>
    <w:rsid w:val="007C1729"/>
    <w:rsid w:val="007C2859"/>
    <w:rsid w:val="007E68A1"/>
    <w:rsid w:val="00803C6B"/>
    <w:rsid w:val="00820588"/>
    <w:rsid w:val="0084178D"/>
    <w:rsid w:val="00844609"/>
    <w:rsid w:val="00845277"/>
    <w:rsid w:val="00866B12"/>
    <w:rsid w:val="008746C3"/>
    <w:rsid w:val="00876447"/>
    <w:rsid w:val="0089584D"/>
    <w:rsid w:val="008A0C70"/>
    <w:rsid w:val="008C4646"/>
    <w:rsid w:val="008C4AA4"/>
    <w:rsid w:val="008D4987"/>
    <w:rsid w:val="00941AE1"/>
    <w:rsid w:val="009532AE"/>
    <w:rsid w:val="009604F0"/>
    <w:rsid w:val="009671B1"/>
    <w:rsid w:val="00973E25"/>
    <w:rsid w:val="00976107"/>
    <w:rsid w:val="00985891"/>
    <w:rsid w:val="00994D5A"/>
    <w:rsid w:val="009D1C62"/>
    <w:rsid w:val="009E3767"/>
    <w:rsid w:val="009F2B34"/>
    <w:rsid w:val="00A06407"/>
    <w:rsid w:val="00A0644D"/>
    <w:rsid w:val="00A45839"/>
    <w:rsid w:val="00A65A2A"/>
    <w:rsid w:val="00A700F8"/>
    <w:rsid w:val="00AB7748"/>
    <w:rsid w:val="00AF1D55"/>
    <w:rsid w:val="00B000B5"/>
    <w:rsid w:val="00B26A1F"/>
    <w:rsid w:val="00B3781D"/>
    <w:rsid w:val="00B82B0C"/>
    <w:rsid w:val="00BB14B5"/>
    <w:rsid w:val="00BB5801"/>
    <w:rsid w:val="00BF2C88"/>
    <w:rsid w:val="00C16DF6"/>
    <w:rsid w:val="00C218BD"/>
    <w:rsid w:val="00C2263B"/>
    <w:rsid w:val="00C241EE"/>
    <w:rsid w:val="00C4079A"/>
    <w:rsid w:val="00C51C06"/>
    <w:rsid w:val="00C81805"/>
    <w:rsid w:val="00C92D56"/>
    <w:rsid w:val="00CC1C99"/>
    <w:rsid w:val="00CD746B"/>
    <w:rsid w:val="00CF4DA2"/>
    <w:rsid w:val="00D17DC1"/>
    <w:rsid w:val="00D32460"/>
    <w:rsid w:val="00D34794"/>
    <w:rsid w:val="00D624AD"/>
    <w:rsid w:val="00D66FCA"/>
    <w:rsid w:val="00D941C7"/>
    <w:rsid w:val="00DC1ECE"/>
    <w:rsid w:val="00E25B1C"/>
    <w:rsid w:val="00E564BE"/>
    <w:rsid w:val="00EC3B5C"/>
    <w:rsid w:val="00F11304"/>
    <w:rsid w:val="00F24C6A"/>
    <w:rsid w:val="00F67650"/>
    <w:rsid w:val="00F95C19"/>
    <w:rsid w:val="00FA3367"/>
    <w:rsid w:val="00F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E0C096"/>
  <w15:docId w15:val="{26359DDD-593A-40CF-8D0E-1B2677A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67"/>
    <w:pPr>
      <w:spacing w:after="200" w:line="276" w:lineRule="auto"/>
    </w:pPr>
    <w:rPr>
      <w:rFonts w:asciiTheme="minorHAnsi" w:eastAsiaTheme="minorHAnsi" w:hAnsiTheme="minorHAnsi" w:cstheme="minorBidi"/>
    </w:rPr>
  </w:style>
  <w:style w:type="paragraph" w:styleId="Heading1">
    <w:name w:val="heading 1"/>
    <w:basedOn w:val="Normal"/>
    <w:next w:val="Normal"/>
    <w:link w:val="Heading1Char"/>
    <w:uiPriority w:val="9"/>
    <w:qFormat/>
    <w:locked/>
    <w:rsid w:val="000028C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0028C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spacing w:after="0" w:line="240" w:lineRule="auto"/>
    </w:pPr>
    <w:rPr>
      <w:rFonts w:eastAsia="Times New Roman" w:cs="Times New Roman"/>
    </w:r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rsid w:val="00BB5801"/>
    <w:rPr>
      <w:rFonts w:cs="Times New Roman"/>
    </w:rPr>
  </w:style>
  <w:style w:type="paragraph" w:styleId="ListParagraph">
    <w:name w:val="List Paragraph"/>
    <w:basedOn w:val="Normal"/>
    <w:uiPriority w:val="34"/>
    <w:qFormat/>
    <w:rsid w:val="001E6492"/>
    <w:pPr>
      <w:ind w:left="720"/>
      <w:contextualSpacing/>
    </w:pPr>
    <w:rPr>
      <w:rFonts w:eastAsia="Times New Roman" w:cs="Times New Roman"/>
    </w:rPr>
  </w:style>
  <w:style w:type="paragraph" w:styleId="BalloonText">
    <w:name w:val="Balloon Text"/>
    <w:basedOn w:val="Normal"/>
    <w:link w:val="BalloonTextChar"/>
    <w:uiPriority w:val="99"/>
    <w:rsid w:val="006C45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line="240" w:lineRule="auto"/>
    </w:pPr>
    <w:rPr>
      <w:rFonts w:ascii="Times New Roman" w:hAnsi="Times New Roman" w:cs="Times New Roman"/>
      <w:sz w:val="24"/>
      <w:szCs w:val="24"/>
    </w:rPr>
  </w:style>
  <w:style w:type="character" w:customStyle="1" w:styleId="CGBoxTextChar">
    <w:name w:val="CG Box Text Char"/>
    <w:basedOn w:val="DefaultParagraphFont"/>
    <w:link w:val="CGBoxText"/>
    <w:uiPriority w:val="2"/>
    <w:locked/>
    <w:rsid w:val="00C16DF6"/>
    <w:rPr>
      <w:rFonts w:ascii="Arial" w:hAnsi="Arial" w:cs="Arial"/>
      <w:color w:val="002060"/>
      <w:szCs w:val="24"/>
    </w:rPr>
  </w:style>
  <w:style w:type="paragraph" w:customStyle="1" w:styleId="CGBoxText">
    <w:name w:val="CG Box Text"/>
    <w:link w:val="CGBoxTextChar"/>
    <w:uiPriority w:val="2"/>
    <w:qFormat/>
    <w:rsid w:val="00C16DF6"/>
    <w:pPr>
      <w:spacing w:after="200"/>
    </w:pPr>
    <w:rPr>
      <w:rFonts w:ascii="Arial" w:hAnsi="Arial" w:cs="Arial"/>
      <w:color w:val="002060"/>
      <w:szCs w:val="24"/>
    </w:rPr>
  </w:style>
  <w:style w:type="character" w:styleId="Hyperlink">
    <w:name w:val="Hyperlink"/>
    <w:basedOn w:val="DefaultParagraphFont"/>
    <w:uiPriority w:val="99"/>
    <w:semiHidden/>
    <w:unhideWhenUsed/>
    <w:rsid w:val="00DC1ECE"/>
    <w:rPr>
      <w:strike w:val="0"/>
      <w:dstrike w:val="0"/>
      <w:color w:val="0000FF"/>
      <w:u w:val="none"/>
      <w:effect w:val="none"/>
    </w:rPr>
  </w:style>
  <w:style w:type="character" w:styleId="Strong">
    <w:name w:val="Strong"/>
    <w:basedOn w:val="DefaultParagraphFont"/>
    <w:uiPriority w:val="22"/>
    <w:qFormat/>
    <w:locked/>
    <w:rsid w:val="000938C4"/>
    <w:rPr>
      <w:b/>
      <w:bCs/>
    </w:rPr>
  </w:style>
  <w:style w:type="table" w:styleId="TableGrid">
    <w:name w:val="Table Grid"/>
    <w:basedOn w:val="TableNormal"/>
    <w:locked/>
    <w:rsid w:val="004F5E4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28C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028C5"/>
    <w:rPr>
      <w:rFonts w:asciiTheme="majorHAnsi" w:eastAsiaTheme="majorEastAsia" w:hAnsiTheme="majorHAnsi" w:cstheme="majorBidi"/>
      <w:color w:val="365F91" w:themeColor="accent1" w:themeShade="BF"/>
      <w:sz w:val="26"/>
      <w:szCs w:val="26"/>
    </w:rPr>
  </w:style>
  <w:style w:type="paragraph" w:customStyle="1" w:styleId="HSCNormal">
    <w:name w:val="HSC Normal"/>
    <w:link w:val="HSCNormalChar"/>
    <w:qFormat/>
    <w:rsid w:val="000028C5"/>
    <w:pPr>
      <w:suppressAutoHyphens/>
    </w:pPr>
    <w:rPr>
      <w:rFonts w:ascii="Arial" w:hAnsi="Arial" w:cs="Courier New"/>
      <w:sz w:val="16"/>
      <w:szCs w:val="24"/>
    </w:rPr>
  </w:style>
  <w:style w:type="paragraph" w:customStyle="1" w:styleId="HSCOL1">
    <w:name w:val="HSC OL1"/>
    <w:basedOn w:val="HSCNormal"/>
    <w:link w:val="HSCOL1CharChar"/>
    <w:qFormat/>
    <w:rsid w:val="000028C5"/>
  </w:style>
  <w:style w:type="character" w:customStyle="1" w:styleId="HSCOL1CharChar">
    <w:name w:val="HSC OL1 Char Char"/>
    <w:basedOn w:val="DefaultParagraphFont"/>
    <w:link w:val="HSCOL1"/>
    <w:rsid w:val="000028C5"/>
    <w:rPr>
      <w:rFonts w:ascii="Arial" w:hAnsi="Arial" w:cs="Courier New"/>
      <w:sz w:val="16"/>
      <w:szCs w:val="24"/>
    </w:rPr>
  </w:style>
  <w:style w:type="character" w:customStyle="1" w:styleId="HSCNormalChar">
    <w:name w:val="HSC Normal Char"/>
    <w:basedOn w:val="DefaultParagraphFont"/>
    <w:link w:val="HSCNormal"/>
    <w:rsid w:val="000028C5"/>
    <w:rPr>
      <w:rFonts w:ascii="Arial" w:hAnsi="Arial" w:cs="Courier New"/>
      <w:sz w:val="16"/>
      <w:szCs w:val="24"/>
    </w:rPr>
  </w:style>
  <w:style w:type="paragraph" w:customStyle="1" w:styleId="HSCGLLineList">
    <w:name w:val="HSC GL LineList"/>
    <w:basedOn w:val="Normal"/>
    <w:next w:val="HSCNormal"/>
    <w:qFormat/>
    <w:rsid w:val="000028C5"/>
    <w:pPr>
      <w:keepNext/>
      <w:keepLines/>
      <w:suppressAutoHyphens/>
      <w:spacing w:after="100" w:line="240" w:lineRule="auto"/>
      <w:ind w:left="360"/>
    </w:pPr>
    <w:rPr>
      <w:rFonts w:ascii="Arial" w:eastAsia="Times New Roman" w:hAnsi="Arial" w:cs="Times New Roman"/>
      <w:bCs/>
      <w:i/>
      <w:sz w:val="16"/>
      <w:szCs w:val="20"/>
    </w:rPr>
  </w:style>
  <w:style w:type="character" w:styleId="IntenseEmphasis">
    <w:name w:val="Intense Emphasis"/>
    <w:basedOn w:val="DefaultParagraphFont"/>
    <w:uiPriority w:val="21"/>
    <w:qFormat/>
    <w:rsid w:val="000028C5"/>
    <w:rPr>
      <w:rFonts w:asciiTheme="minorHAnsi" w:hAnsiTheme="minorHAnsi"/>
      <w:color w:val="4F81BD" w:themeColor="accent1"/>
      <w:sz w:val="24"/>
      <w:szCs w:val="24"/>
    </w:rPr>
  </w:style>
  <w:style w:type="paragraph" w:customStyle="1" w:styleId="Biggerthannormal">
    <w:name w:val="Bigger than normal"/>
    <w:basedOn w:val="Normal"/>
    <w:link w:val="BiggerthannormalChar"/>
    <w:qFormat/>
    <w:rsid w:val="000028C5"/>
    <w:pPr>
      <w:pBdr>
        <w:top w:val="single" w:sz="4" w:space="1" w:color="auto"/>
        <w:left w:val="single" w:sz="4" w:space="4" w:color="auto"/>
        <w:bottom w:val="single" w:sz="4" w:space="1" w:color="auto"/>
        <w:right w:val="single" w:sz="4" w:space="4" w:color="auto"/>
      </w:pBdr>
      <w:tabs>
        <w:tab w:val="left" w:pos="2310"/>
      </w:tabs>
      <w:spacing w:after="0" w:line="240" w:lineRule="auto"/>
    </w:pPr>
    <w:rPr>
      <w:rFonts w:cs="Calibri"/>
      <w:sz w:val="24"/>
    </w:rPr>
  </w:style>
  <w:style w:type="character" w:customStyle="1" w:styleId="BiggerthannormalChar">
    <w:name w:val="Bigger than normal Char"/>
    <w:basedOn w:val="DefaultParagraphFont"/>
    <w:link w:val="Biggerthannormal"/>
    <w:rsid w:val="000028C5"/>
    <w:rPr>
      <w:rFonts w:asciiTheme="minorHAnsi" w:eastAsiaTheme="minorHAnsi" w:hAnsiTheme="minorHAnsi" w:cs="Calibri"/>
      <w:sz w:val="24"/>
    </w:rPr>
  </w:style>
  <w:style w:type="paragraph" w:customStyle="1" w:styleId="HSCBullet1">
    <w:name w:val="HSC Bullet1"/>
    <w:basedOn w:val="HSCNormal"/>
    <w:qFormat/>
    <w:rsid w:val="000028C5"/>
    <w:pPr>
      <w:numPr>
        <w:numId w:val="31"/>
      </w:numPr>
      <w:tabs>
        <w:tab w:val="clear" w:pos="360"/>
      </w:tabs>
      <w:ind w:left="720" w:hanging="36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7754">
      <w:bodyDiv w:val="1"/>
      <w:marLeft w:val="0"/>
      <w:marRight w:val="0"/>
      <w:marTop w:val="0"/>
      <w:marBottom w:val="0"/>
      <w:divBdr>
        <w:top w:val="none" w:sz="0" w:space="0" w:color="auto"/>
        <w:left w:val="none" w:sz="0" w:space="0" w:color="auto"/>
        <w:bottom w:val="none" w:sz="0" w:space="0" w:color="auto"/>
        <w:right w:val="none" w:sz="0" w:space="0" w:color="auto"/>
      </w:divBdr>
    </w:div>
    <w:div w:id="290478740">
      <w:bodyDiv w:val="1"/>
      <w:marLeft w:val="0"/>
      <w:marRight w:val="0"/>
      <w:marTop w:val="0"/>
      <w:marBottom w:val="0"/>
      <w:divBdr>
        <w:top w:val="none" w:sz="0" w:space="0" w:color="auto"/>
        <w:left w:val="none" w:sz="0" w:space="0" w:color="auto"/>
        <w:bottom w:val="none" w:sz="0" w:space="0" w:color="auto"/>
        <w:right w:val="none" w:sz="0" w:space="0" w:color="auto"/>
      </w:divBdr>
    </w:div>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472601986">
      <w:bodyDiv w:val="1"/>
      <w:marLeft w:val="0"/>
      <w:marRight w:val="0"/>
      <w:marTop w:val="0"/>
      <w:marBottom w:val="0"/>
      <w:divBdr>
        <w:top w:val="none" w:sz="0" w:space="0" w:color="auto"/>
        <w:left w:val="none" w:sz="0" w:space="0" w:color="auto"/>
        <w:bottom w:val="none" w:sz="0" w:space="0" w:color="auto"/>
        <w:right w:val="none" w:sz="0" w:space="0" w:color="auto"/>
      </w:divBdr>
    </w:div>
    <w:div w:id="768354473">
      <w:bodyDiv w:val="1"/>
      <w:marLeft w:val="0"/>
      <w:marRight w:val="0"/>
      <w:marTop w:val="0"/>
      <w:marBottom w:val="0"/>
      <w:divBdr>
        <w:top w:val="none" w:sz="0" w:space="0" w:color="auto"/>
        <w:left w:val="none" w:sz="0" w:space="0" w:color="auto"/>
        <w:bottom w:val="none" w:sz="0" w:space="0" w:color="auto"/>
        <w:right w:val="none" w:sz="0" w:space="0" w:color="auto"/>
      </w:divBdr>
    </w:div>
    <w:div w:id="953903602">
      <w:bodyDiv w:val="1"/>
      <w:marLeft w:val="0"/>
      <w:marRight w:val="0"/>
      <w:marTop w:val="0"/>
      <w:marBottom w:val="0"/>
      <w:divBdr>
        <w:top w:val="none" w:sz="0" w:space="0" w:color="auto"/>
        <w:left w:val="none" w:sz="0" w:space="0" w:color="auto"/>
        <w:bottom w:val="none" w:sz="0" w:space="0" w:color="auto"/>
        <w:right w:val="none" w:sz="0" w:space="0" w:color="auto"/>
      </w:divBdr>
    </w:div>
    <w:div w:id="1656372615">
      <w:bodyDiv w:val="1"/>
      <w:marLeft w:val="0"/>
      <w:marRight w:val="0"/>
      <w:marTop w:val="0"/>
      <w:marBottom w:val="0"/>
      <w:divBdr>
        <w:top w:val="none" w:sz="0" w:space="0" w:color="auto"/>
        <w:left w:val="none" w:sz="0" w:space="0" w:color="auto"/>
        <w:bottom w:val="none" w:sz="0" w:space="0" w:color="auto"/>
        <w:right w:val="none" w:sz="0" w:space="0" w:color="auto"/>
      </w:divBdr>
    </w:div>
    <w:div w:id="2001037107">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ha/HPA/DSI-HERC/EvidenceBasedReports/CG%20Urine%20Drug%20Testing.pdf" TargetMode="External"/><Relationship Id="rId18" Type="http://schemas.openxmlformats.org/officeDocument/2006/relationships/hyperlink" Target="https://www.oregon.gov/oha/HPA/DSI-HERC/EvidenceBasedReports/CG%20Urine%20Drug%20Testing.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oregon.gov/oha/HPA/DSI-HERC/SearchablePLdocuments/GL-173-G0481-G0483-definitive-testing-drug-classes.docx" TargetMode="External"/><Relationship Id="rId17" Type="http://schemas.openxmlformats.org/officeDocument/2006/relationships/hyperlink" Target="https://www.oregon.gov/oha/HPA/DSI-HERC/SearchablePLdocuments/GL-173-G0481-G0483-definitive-testing-drug-classes.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ha/HPA/DSI-HERC/Pages/Evidence-based-Report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ha/HPA/DSI-HERC/Pages/Evidence-based-Reports.aspx"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oregon.gov/oha/HPA/DSI-HERC/EvidenceBasedReports/CG%20Urine%20Drug%20Testing.pdf" TargetMode="External"/><Relationship Id="rId23" Type="http://schemas.openxmlformats.org/officeDocument/2006/relationships/header" Target="header3.xml"/><Relationship Id="rId10" Type="http://schemas.openxmlformats.org/officeDocument/2006/relationships/hyperlink" Target="https://www.oregon.gov/oha/HPA/DSI-HERC/EvidenceBasedReports/CG%20Urine%20Drug%20Testing.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cc02.safelinks.protection.outlook.com/?url=https%3A%2F%2Fwww.hca.wa.gov%2Fassets%2Fprogram%2Fdrug-screen-urinalysis-testing.pdf&amp;data=05%7C01%7CARIEL.SMITS%40dhsoha.state.or.us%7C74cd159e370c430b59ec08dae92cdfe8%7C658e63e88d39499c8f4813adc9452f4c%7C0%7C0%7C638078676619470512%7CUnknown%7CTWFpbGZsb3d8eyJWIjoiMC4wLjAwMDAiLCJQIjoiV2luMzIiLCJBTiI6Ik1haWwiLCJXVCI6Mn0%3D%7C3000%7C%7C%7C&amp;sdata=iP0c%2FxURtiGEPT7T1ud%2FAVF20jddD2%2BXXTMxmxCY2Sk%3D&amp;reserved=0"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Local\Microsoft\Windows\Temporary%20Internet%20Files\Content.MSO\150B0E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https://www.oregon.gov/oha/HPA/DSI-HERC/SearchablePLdocuments/GL-173-G0481-G0483-definitive-testing-drug-classes.docx</Url>
      <Description>GL-173-G0481-G0483-definitive-testing-drug-classes.docx</Description>
    </URL>
    <IACategory xmlns="59da1016-2a1b-4f8a-9768-d7a4932f6f16" xsi:nil="true"/>
    <IASubtopic xmlns="59da1016-2a1b-4f8a-9768-d7a4932f6f16" xsi:nil="true"/>
    <DocumentExpirationDate xmlns="59da1016-2a1b-4f8a-9768-d7a4932f6f16" xsi:nil="true"/>
    <Meta_x0020_Keywords xmlns="02aa3302-3726-4429-bc74-2da0b757c478" xsi:nil="true"/>
    <IATopic xmlns="59da1016-2a1b-4f8a-9768-d7a4932f6f16" xsi:nil="true"/>
    <Meta_x0020_Description xmlns="02aa3302-3726-4429-bc74-2da0b757c478">GL173</Meta_x0020_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BB49F-755C-4BCB-8DA5-4AC1C547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02aa3302-3726-4429-bc74-2da0b757c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DCFC2-BA29-4EC1-B974-50A70DF54C1E}">
  <ds:schemaRefs>
    <ds:schemaRef ds:uri="http://schemas.microsoft.com/office/2006/metadata/properties"/>
    <ds:schemaRef ds:uri="http://schemas.microsoft.com/office/infopath/2007/PartnerControls"/>
    <ds:schemaRef ds:uri="http://schemas.microsoft.com/sharepoint/v3"/>
    <ds:schemaRef ds:uri="59da1016-2a1b-4f8a-9768-d7a4932f6f16"/>
    <ds:schemaRef ds:uri="02aa3302-3726-4429-bc74-2da0b757c478"/>
  </ds:schemaRefs>
</ds:datastoreItem>
</file>

<file path=customXml/itemProps3.xml><?xml version="1.0" encoding="utf-8"?>
<ds:datastoreItem xmlns:ds="http://schemas.openxmlformats.org/officeDocument/2006/customXml" ds:itemID="{5640D509-DD36-4796-9DEF-F4F46699C46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150B0EBB.dotx</Template>
  <TotalTime>0</TotalTime>
  <Pages>3</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2025-07-03T23:05:00Z</dcterms:created>
  <dcterms:modified xsi:type="dcterms:W3CDTF">2025-07-03T23:05:00Z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WorkflowChangePath">
    <vt:lpwstr>49790272-483e-4247-9aa2-045ff6165ac0,2;49790272-483e-4247-9aa2-045ff6165ac0,4;</vt:lpwstr>
  </property>
</Properties>
</file>