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B526" w14:textId="77777777" w:rsidR="00323BE1" w:rsidRDefault="00323BE1" w:rsidP="00DC1ECE">
      <w:pPr>
        <w:autoSpaceDE w:val="0"/>
        <w:autoSpaceDN w:val="0"/>
        <w:adjustRightInd w:val="0"/>
        <w:spacing w:after="0" w:line="240" w:lineRule="auto"/>
        <w:rPr>
          <w:rFonts w:cstheme="minorHAnsi"/>
          <w:b/>
          <w:sz w:val="24"/>
          <w:szCs w:val="24"/>
        </w:rPr>
      </w:pPr>
      <w:r>
        <w:rPr>
          <w:rFonts w:cstheme="minorHAnsi"/>
          <w:b/>
          <w:sz w:val="24"/>
          <w:szCs w:val="24"/>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76C4CE85" w14:textId="77777777" w:rsidR="00323BE1" w:rsidRDefault="00323BE1" w:rsidP="00DC1ECE">
      <w:pPr>
        <w:autoSpaceDE w:val="0"/>
        <w:autoSpaceDN w:val="0"/>
        <w:adjustRightInd w:val="0"/>
        <w:spacing w:after="0" w:line="240" w:lineRule="auto"/>
        <w:rPr>
          <w:rFonts w:cstheme="minorHAnsi"/>
          <w:b/>
          <w:sz w:val="24"/>
          <w:szCs w:val="24"/>
        </w:rPr>
      </w:pPr>
    </w:p>
    <w:p w14:paraId="47924D21" w14:textId="49665B2E" w:rsidR="00FA57D5" w:rsidRDefault="00FA57D5" w:rsidP="00DC1ECE">
      <w:pPr>
        <w:autoSpaceDE w:val="0"/>
        <w:autoSpaceDN w:val="0"/>
        <w:adjustRightInd w:val="0"/>
        <w:spacing w:after="0" w:line="240" w:lineRule="auto"/>
        <w:rPr>
          <w:rFonts w:cstheme="minorHAnsi"/>
          <w:b/>
          <w:sz w:val="24"/>
          <w:szCs w:val="24"/>
        </w:rPr>
      </w:pPr>
      <w:r w:rsidRPr="00FA57D5">
        <w:rPr>
          <w:rFonts w:cstheme="minorHAnsi"/>
          <w:b/>
          <w:sz w:val="24"/>
          <w:szCs w:val="24"/>
        </w:rPr>
        <w:t xml:space="preserve">In January 2018, these codes were moved to </w:t>
      </w:r>
      <w:r w:rsidR="00323BE1">
        <w:rPr>
          <w:rFonts w:cstheme="minorHAnsi"/>
          <w:b/>
          <w:sz w:val="24"/>
          <w:szCs w:val="24"/>
        </w:rPr>
        <w:t>Excluded Services Guideline 2</w:t>
      </w:r>
      <w:r w:rsidRPr="00FA57D5">
        <w:rPr>
          <w:rFonts w:cstheme="minorHAnsi"/>
          <w:b/>
          <w:sz w:val="24"/>
          <w:szCs w:val="24"/>
        </w:rPr>
        <w:t>.</w:t>
      </w:r>
    </w:p>
    <w:p w14:paraId="52A5C2BA" w14:textId="77777777" w:rsidR="00FA57D5" w:rsidRDefault="00FA57D5" w:rsidP="00DC1ECE">
      <w:pPr>
        <w:autoSpaceDE w:val="0"/>
        <w:autoSpaceDN w:val="0"/>
        <w:adjustRightInd w:val="0"/>
        <w:spacing w:after="0" w:line="240" w:lineRule="auto"/>
        <w:rPr>
          <w:rFonts w:cstheme="minorHAnsi"/>
          <w:b/>
          <w:sz w:val="24"/>
          <w:szCs w:val="24"/>
        </w:rPr>
      </w:pPr>
    </w:p>
    <w:p w14:paraId="3C2C4E4F" w14:textId="77777777" w:rsidR="00DC1ECE" w:rsidRDefault="000938C4" w:rsidP="00DC1ECE">
      <w:pPr>
        <w:autoSpaceDE w:val="0"/>
        <w:autoSpaceDN w:val="0"/>
        <w:adjustRightInd w:val="0"/>
        <w:spacing w:after="0" w:line="240" w:lineRule="auto"/>
        <w:rPr>
          <w:rFonts w:cstheme="minorHAnsi"/>
          <w:b/>
          <w:sz w:val="24"/>
          <w:szCs w:val="24"/>
        </w:rPr>
      </w:pPr>
      <w:r w:rsidRPr="000938C4">
        <w:rPr>
          <w:rFonts w:cstheme="minorHAnsi"/>
          <w:b/>
          <w:sz w:val="24"/>
          <w:szCs w:val="24"/>
        </w:rPr>
        <w:t xml:space="preserve">CPT </w:t>
      </w:r>
      <w:r w:rsidR="00083CB7">
        <w:rPr>
          <w:rFonts w:cstheme="minorHAnsi"/>
          <w:b/>
          <w:sz w:val="24"/>
          <w:szCs w:val="24"/>
        </w:rPr>
        <w:t>62380 Endoscopic decompression of spinal cord, nerve root(s), including laminectomy, partial facetectomy, foraminotomy, discectomy and/or excision of herniated intervertebral disc</w:t>
      </w:r>
    </w:p>
    <w:p w14:paraId="0AC50664" w14:textId="77777777" w:rsidR="000938C4" w:rsidRPr="003A7E4E" w:rsidRDefault="000938C4" w:rsidP="00DC1ECE">
      <w:pPr>
        <w:autoSpaceDE w:val="0"/>
        <w:autoSpaceDN w:val="0"/>
        <w:adjustRightInd w:val="0"/>
        <w:spacing w:after="0" w:line="240" w:lineRule="auto"/>
        <w:rPr>
          <w:rFonts w:cstheme="minorHAnsi"/>
          <w:b/>
          <w:sz w:val="24"/>
          <w:szCs w:val="24"/>
        </w:rPr>
      </w:pPr>
    </w:p>
    <w:p w14:paraId="4392EE10" w14:textId="77777777" w:rsidR="00DC1ECE" w:rsidRPr="003A7E4E" w:rsidRDefault="003A7E4E" w:rsidP="003A7E4E">
      <w:pPr>
        <w:autoSpaceDE w:val="0"/>
        <w:autoSpaceDN w:val="0"/>
        <w:adjustRightInd w:val="0"/>
        <w:spacing w:after="0" w:line="240" w:lineRule="auto"/>
        <w:rPr>
          <w:rFonts w:cstheme="minorHAnsi"/>
          <w:b/>
          <w:sz w:val="24"/>
          <w:szCs w:val="24"/>
        </w:rPr>
      </w:pPr>
      <w:r w:rsidRPr="003A7E4E">
        <w:rPr>
          <w:rFonts w:cstheme="minorHAnsi"/>
          <w:b/>
          <w:bCs/>
          <w:sz w:val="24"/>
          <w:szCs w:val="24"/>
        </w:rPr>
        <w:t xml:space="preserve">Last reviewed at VbBS in </w:t>
      </w:r>
      <w:r w:rsidR="00F24C6A">
        <w:rPr>
          <w:rFonts w:cstheme="minorHAnsi"/>
          <w:b/>
          <w:bCs/>
          <w:sz w:val="24"/>
          <w:szCs w:val="24"/>
        </w:rPr>
        <w:t>November</w:t>
      </w:r>
      <w:r w:rsidR="00660992">
        <w:rPr>
          <w:rFonts w:cstheme="minorHAnsi"/>
          <w:b/>
          <w:bCs/>
          <w:sz w:val="24"/>
          <w:szCs w:val="24"/>
        </w:rPr>
        <w:t xml:space="preserve"> 2016</w:t>
      </w:r>
      <w:r w:rsidRPr="003A7E4E">
        <w:rPr>
          <w:rFonts w:cstheme="minorHAnsi"/>
          <w:b/>
          <w:bCs/>
          <w:sz w:val="24"/>
          <w:szCs w:val="24"/>
        </w:rPr>
        <w:t xml:space="preserve">. Minutes indicate </w:t>
      </w:r>
      <w:r w:rsidR="000938C4">
        <w:rPr>
          <w:rFonts w:cstheme="minorHAnsi"/>
          <w:b/>
          <w:bCs/>
          <w:sz w:val="24"/>
          <w:szCs w:val="24"/>
        </w:rPr>
        <w:t>that the staff recommendation was accepted without significant discussion.</w:t>
      </w:r>
    </w:p>
    <w:p w14:paraId="76C3BD71" w14:textId="77777777" w:rsidR="00DC1ECE" w:rsidRDefault="00DC1ECE" w:rsidP="00DC1ECE">
      <w:pPr>
        <w:rPr>
          <w:rFonts w:cstheme="minorHAnsi"/>
          <w:sz w:val="24"/>
          <w:szCs w:val="24"/>
        </w:rPr>
      </w:pPr>
    </w:p>
    <w:p w14:paraId="4E478BE4" w14:textId="77777777" w:rsidR="003A7E4E" w:rsidRPr="003A7E4E" w:rsidRDefault="003A7E4E" w:rsidP="00DC1ECE">
      <w:pPr>
        <w:rPr>
          <w:rFonts w:cstheme="minorHAnsi"/>
          <w:b/>
          <w:sz w:val="24"/>
          <w:szCs w:val="24"/>
        </w:rPr>
      </w:pPr>
      <w:r w:rsidRPr="003A7E4E">
        <w:rPr>
          <w:rFonts w:cstheme="minorHAnsi"/>
          <w:b/>
          <w:sz w:val="24"/>
          <w:szCs w:val="24"/>
        </w:rPr>
        <w:t xml:space="preserve">The following was presented in the meeting materials for the </w:t>
      </w:r>
      <w:r w:rsidR="00F24C6A">
        <w:rPr>
          <w:rFonts w:cstheme="minorHAnsi"/>
          <w:b/>
          <w:sz w:val="24"/>
          <w:szCs w:val="24"/>
        </w:rPr>
        <w:t>November</w:t>
      </w:r>
      <w:r w:rsidRPr="003A7E4E">
        <w:rPr>
          <w:rFonts w:cstheme="minorHAnsi"/>
          <w:b/>
          <w:sz w:val="24"/>
          <w:szCs w:val="24"/>
        </w:rPr>
        <w:t>, 2016 VbBS meeting:</w:t>
      </w:r>
    </w:p>
    <w:p w14:paraId="29CE7CC7" w14:textId="77777777" w:rsidR="00083CB7" w:rsidRPr="00083CB7" w:rsidRDefault="00083CB7" w:rsidP="00083CB7">
      <w:pPr>
        <w:spacing w:after="160" w:line="256" w:lineRule="auto"/>
        <w:contextualSpacing/>
        <w:rPr>
          <w:rFonts w:ascii="Univers" w:eastAsia="Calibri" w:hAnsi="Univers" w:cs="Univers"/>
          <w:sz w:val="16"/>
          <w:szCs w:val="16"/>
        </w:rPr>
      </w:pPr>
      <w:r w:rsidRPr="00083CB7">
        <w:rPr>
          <w:rFonts w:ascii="Calibri" w:eastAsia="Calibri" w:hAnsi="Calibri" w:cs="Calibri"/>
          <w:b/>
        </w:rPr>
        <w:t>62380</w:t>
      </w:r>
      <w:r w:rsidRPr="00083CB7">
        <w:rPr>
          <w:rFonts w:ascii="Calibri" w:eastAsia="Calibri" w:hAnsi="Calibri" w:cs="Calibri"/>
        </w:rPr>
        <w:t>: Endoscopic decompression of spinal cord, nerve root(s), including laminotomy, partial facetectomy, foraminotomy, discectomy and/or excision of herniated intervertebral disc, 1 interspace, lumbar</w:t>
      </w:r>
    </w:p>
    <w:p w14:paraId="719594B0" w14:textId="77777777" w:rsidR="00083CB7" w:rsidRPr="00083CB7" w:rsidRDefault="00083CB7" w:rsidP="00083CB7">
      <w:pPr>
        <w:numPr>
          <w:ilvl w:val="0"/>
          <w:numId w:val="26"/>
        </w:numPr>
        <w:spacing w:after="160" w:line="256" w:lineRule="auto"/>
        <w:contextualSpacing/>
        <w:rPr>
          <w:rFonts w:ascii="Calibri" w:eastAsia="Calibri" w:hAnsi="Calibri" w:cs="Calibri"/>
        </w:rPr>
      </w:pPr>
      <w:r w:rsidRPr="00083CB7">
        <w:rPr>
          <w:rFonts w:ascii="Calibri" w:eastAsia="Calibri" w:hAnsi="Calibri" w:cs="Calibri"/>
        </w:rPr>
        <w:t>This is a new code, the first CPT code released for endoscopic minimally invasive spinal surgery.  The open equivalent is 63030 Laminotomy (hemilaminectomy), with decompression of nerve root(s), including partial facetectomy, foraminotomy and/or excision of herniated intervertebral disc; 1 interspace, lumbar which is on lines 154 CERVICAL VERTEBRAL DISLOCATIONS/FRACTURES, OPEN OR CLOSED; OTHER VERTEBRAL DISLOCATIONS/FRACTURES, OPEN OR UNSTABLE; SPINAL CORD INJURIES WITH OR WITHOUT EVIDENCE OF VERTEBRAL INJURY, 351 CONDITIONS OF THE BACK AND SPINE WITH URGENT SURGICAL INDICATIONS, 366 SCOLIOSIS,532 CONDITIONS OF THE BACK AND SPINE WITHOUT URGENT SURGICAL INDICATIONS</w:t>
      </w:r>
    </w:p>
    <w:p w14:paraId="12761F33" w14:textId="77777777" w:rsidR="00083CB7" w:rsidRPr="00083CB7" w:rsidRDefault="00083CB7" w:rsidP="00083CB7">
      <w:pPr>
        <w:numPr>
          <w:ilvl w:val="0"/>
          <w:numId w:val="26"/>
        </w:numPr>
        <w:spacing w:after="160" w:line="256" w:lineRule="auto"/>
        <w:contextualSpacing/>
        <w:rPr>
          <w:rFonts w:ascii="Calibri" w:eastAsia="Calibri" w:hAnsi="Calibri" w:cs="Calibri"/>
        </w:rPr>
      </w:pPr>
      <w:r w:rsidRPr="00083CB7">
        <w:rPr>
          <w:rFonts w:ascii="Calibri" w:eastAsia="Calibri" w:hAnsi="Calibri" w:cs="Calibri"/>
        </w:rPr>
        <w:t>Evidence—lumbar discectomy for lumbar disc herniation</w:t>
      </w:r>
    </w:p>
    <w:p w14:paraId="5897935C" w14:textId="77777777" w:rsidR="00083CB7" w:rsidRPr="00083CB7" w:rsidRDefault="00083CB7" w:rsidP="00083CB7">
      <w:pPr>
        <w:numPr>
          <w:ilvl w:val="1"/>
          <w:numId w:val="26"/>
        </w:numPr>
        <w:spacing w:after="160" w:line="256" w:lineRule="auto"/>
        <w:contextualSpacing/>
        <w:rPr>
          <w:rFonts w:ascii="Calibri" w:eastAsia="Calibri" w:hAnsi="Calibri" w:cs="Calibri"/>
        </w:rPr>
      </w:pPr>
      <w:r w:rsidRPr="00083CB7">
        <w:rPr>
          <w:rFonts w:ascii="Calibri" w:eastAsia="Calibri" w:hAnsi="Calibri" w:cs="Calibri"/>
          <w:b/>
          <w:bCs/>
        </w:rPr>
        <w:t>Rasouli 2014</w:t>
      </w:r>
      <w:r w:rsidRPr="00083CB7">
        <w:rPr>
          <w:rFonts w:ascii="Calibri" w:eastAsia="Calibri" w:hAnsi="Calibri" w:cs="Calibri"/>
          <w:bCs/>
        </w:rPr>
        <w:t xml:space="preserve">, Cochrane review of minimally invasive lumbar discectomy vs open; study not included due to length, can be viewed here: </w:t>
      </w:r>
      <w:hyperlink r:id="rId10" w:history="1">
        <w:r w:rsidRPr="00083CB7">
          <w:rPr>
            <w:rFonts w:ascii="Calibri" w:eastAsia="Calibri" w:hAnsi="Calibri" w:cs="Calibri"/>
            <w:bCs/>
            <w:color w:val="0563C1"/>
            <w:u w:val="single"/>
          </w:rPr>
          <w:t>http://onlinelibrary.wiley.com/doi/10.1002/14651858.CD010328.pub2/pdf</w:t>
        </w:r>
      </w:hyperlink>
    </w:p>
    <w:p w14:paraId="49FD143A"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bCs/>
        </w:rPr>
        <w:t>N=11 studies</w:t>
      </w:r>
      <w:r w:rsidRPr="00083CB7">
        <w:rPr>
          <w:rFonts w:ascii="Calibri" w:eastAsia="Calibri" w:hAnsi="Calibri" w:cs="Calibri"/>
        </w:rPr>
        <w:t xml:space="preserve"> (1172 participants). </w:t>
      </w:r>
    </w:p>
    <w:p w14:paraId="0CFDCCD1"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rPr>
        <w:t xml:space="preserve">There was low quality evidence that MID was associated with worse leg pain than MD/OD at follow-up ranging from six months to two years (e.g. at one year: MD 0.13, 95% CI 0.09 to 0.16), but differences were small (less than 0.5 points on a 0 to 10 scale) and did not meet standard thresholds for clinically meaningful differences. There was low-quality evidence that MID was associated with worse LBP than MD/OD at six-month follow-up (MD 0.35, 95% CI 0.19 to 0.51) and at two years (MD 0.54, 95% CI 0.29 to 0.79). There was no significant difference at one year (0 to 10 scale: MD 0.19, 95%CI -0.22 to 0.59). Statistical heterogeneity was small to high (I2 statistic= 35% at six months, 90% at one year and 65% at two years). There were no clear differences between MID techniques and MD/OD on other primary outcomes related to functional disability (Oswestry Disability Index greater than </w:t>
      </w:r>
      <w:r w:rsidRPr="00083CB7">
        <w:rPr>
          <w:rFonts w:ascii="Calibri" w:eastAsia="Calibri" w:hAnsi="Calibri" w:cs="Calibri"/>
        </w:rPr>
        <w:lastRenderedPageBreak/>
        <w:t xml:space="preserve">six months postoperatively) and persistence of motor and sensory neurological deficits, though evidence on neurological deficits was limited by the small numbers of participants in the trials with neurological deficits at baseline. </w:t>
      </w:r>
    </w:p>
    <w:p w14:paraId="7FA715EF"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rPr>
        <w:t>MID was associated with lower risk of surgical site and other infections, but higher risk of re-hospitalisation due to recurrent disc herniation. In addition, MID was associated with slightly lower quality of life (less than 5 points on a 100-point scale) on some measures of quality of life, such as some physical subclasses of the 36-item Short Form. Some trials found MID to be associated with shorter duration of hospitalisation than MD/OD, but results were inconsistent.</w:t>
      </w:r>
    </w:p>
    <w:p w14:paraId="480171E0"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b/>
          <w:bCs/>
        </w:rPr>
        <w:t xml:space="preserve">Authors’ conclusions </w:t>
      </w:r>
      <w:r w:rsidRPr="00083CB7">
        <w:rPr>
          <w:rFonts w:ascii="Calibri" w:eastAsia="Calibri" w:hAnsi="Calibri" w:cs="Calibri"/>
        </w:rPr>
        <w:t>MID may be inferior in terms of relief of leg pain, LBP and re-hospitalisation; however, differences in pain relief appeared to be small and may not be clinically important. Potential advantages of MID are lower risk of surgical site and other infections. MID may be associated with shorter hospital stay but the evidence was inconsistent. Given these potential advantages, more research is needed to define appropriate indications for MID as an alternative to standard MD/OD.</w:t>
      </w:r>
    </w:p>
    <w:p w14:paraId="7A7A888C" w14:textId="77777777" w:rsidR="00083CB7" w:rsidRPr="00083CB7" w:rsidRDefault="00083CB7" w:rsidP="00083CB7">
      <w:pPr>
        <w:numPr>
          <w:ilvl w:val="1"/>
          <w:numId w:val="26"/>
        </w:numPr>
        <w:spacing w:after="160" w:line="256" w:lineRule="auto"/>
        <w:contextualSpacing/>
        <w:rPr>
          <w:rFonts w:ascii="Calibri" w:eastAsia="Calibri" w:hAnsi="Calibri" w:cs="Calibri"/>
        </w:rPr>
      </w:pPr>
      <w:r w:rsidRPr="00083CB7">
        <w:rPr>
          <w:rFonts w:ascii="Calibri" w:eastAsia="Calibri" w:hAnsi="Calibri" w:cs="Calibri"/>
          <w:b/>
          <w:bCs/>
        </w:rPr>
        <w:t>Wang 2014</w:t>
      </w:r>
      <w:r w:rsidRPr="00083CB7">
        <w:rPr>
          <w:rFonts w:ascii="Calibri" w:eastAsia="Calibri" w:hAnsi="Calibri" w:cs="Calibri"/>
          <w:bCs/>
        </w:rPr>
        <w:t>, meta-analysis of minimally invasive lumbar discectomy vs open for lumbar disc herniation</w:t>
      </w:r>
    </w:p>
    <w:p w14:paraId="49D54B76"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bCs/>
        </w:rPr>
        <w:t>N=11 studies (</w:t>
      </w:r>
      <w:r w:rsidRPr="00083CB7">
        <w:rPr>
          <w:rFonts w:ascii="Calibri" w:eastAsia="Calibri" w:hAnsi="Calibri" w:cs="Calibri"/>
        </w:rPr>
        <w:t xml:space="preserve">1012 patients) </w:t>
      </w:r>
    </w:p>
    <w:p w14:paraId="16BCB73A"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b/>
          <w:bCs/>
        </w:rPr>
        <w:t>T</w:t>
      </w:r>
      <w:r w:rsidRPr="00083CB7">
        <w:rPr>
          <w:rFonts w:ascii="Calibri" w:eastAsia="Calibri" w:hAnsi="Calibri" w:cs="Calibri"/>
        </w:rPr>
        <w:t xml:space="preserve">he results of the meta-analysis indicated that there were significant differences between the two groups in blood loss (SMD = −0.93, 95% CI −1.84, −0.02; p = 0.05), and the number of days stays in hospital (SMD = −0.79, 95% CI −1.55, −0.04; p = 0.04). However, there were no significant differences in the short-term back visual analog scale (VAS) scores (SMD = −0.34, 95% CI −0.81, 0.14; p = 0.16), the long-term back VAS scores (SMD = 0.13, 95% CI −0.04, 0.30; p = 0.14), the short-term leg VAS scores (SMD = 0.14, 95%CI −0.01, 0.29; p = 0.07), the long-term leg VAS scores (SMD = 0.12, 95% CI −0.05, 0.30; p = 0.17), the short-term Oswestry disability index (ODI) scores (SMD = 0.01, 95% CI −0.14, 0.15; p = 0.92), the long-term ODI scores (SMD = 0.11, 95% CI −0.03, 0.25; p = 0.14), and the incidence of complications (RR = 1.22, 95% CI0.88, 1.69; p = 0.24). </w:t>
      </w:r>
    </w:p>
    <w:p w14:paraId="60CDD8E0"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rPr>
        <w:t>The results of this meta-analysis demonstrate that ILMI and MD are both safe and effective surgical procedures for treating LDH. Compared with MD, ILMI can shorten days in hospital, decrease the mounts of blood loss during surgery. However, the overall GRADE evidence quality was very low. Therefore, further validation is required, and medical institutions should conduct high-quality studies.</w:t>
      </w:r>
    </w:p>
    <w:p w14:paraId="5405FB0A" w14:textId="77777777" w:rsidR="00083CB7" w:rsidRPr="00083CB7" w:rsidRDefault="00083CB7" w:rsidP="00083CB7">
      <w:pPr>
        <w:numPr>
          <w:ilvl w:val="1"/>
          <w:numId w:val="26"/>
        </w:numPr>
        <w:spacing w:after="160" w:line="256" w:lineRule="auto"/>
        <w:contextualSpacing/>
        <w:rPr>
          <w:rFonts w:ascii="Calibri" w:eastAsia="Calibri" w:hAnsi="Calibri" w:cs="Calibri"/>
        </w:rPr>
      </w:pPr>
      <w:r w:rsidRPr="00083CB7">
        <w:rPr>
          <w:rFonts w:ascii="Calibri" w:eastAsia="Calibri" w:hAnsi="Calibri" w:cs="Calibri"/>
          <w:b/>
        </w:rPr>
        <w:t>Nerland 2015</w:t>
      </w:r>
      <w:r w:rsidRPr="00083CB7">
        <w:rPr>
          <w:rFonts w:ascii="Calibri" w:eastAsia="Calibri" w:hAnsi="Calibri" w:cs="Calibri"/>
        </w:rPr>
        <w:t>, case series of minimally invasive lumbar decompression for lumbar stenosis</w:t>
      </w:r>
    </w:p>
    <w:p w14:paraId="047C9D88"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rPr>
        <w:lastRenderedPageBreak/>
        <w:t>N=885 patients with central stenosis of the lumbar spine (414 open laminectomy, 471 microdecompression)</w:t>
      </w:r>
    </w:p>
    <w:p w14:paraId="3BB4174A"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rPr>
        <w:t>721 patients (81%) completed the one year follow-up. Equivalence between microdecompression and laminectomy was shown for the Oswestry disability index (difference 1.3 points, 95% confidence interval −1.36 to 3.92, P</w:t>
      </w:r>
      <w:r w:rsidRPr="00083CB7">
        <w:rPr>
          <w:rFonts w:ascii="Calibri" w:eastAsia="SymbolStd" w:hAnsi="Calibri" w:cs="Calibri"/>
        </w:rPr>
        <w:t>&lt;</w:t>
      </w:r>
      <w:r w:rsidRPr="00083CB7">
        <w:rPr>
          <w:rFonts w:ascii="Calibri" w:eastAsia="Calibri" w:hAnsi="Calibri" w:cs="Calibri"/>
        </w:rPr>
        <w:t xml:space="preserve">0.001 for </w:t>
      </w:r>
      <w:r w:rsidRPr="00083CB7">
        <w:rPr>
          <w:rFonts w:ascii="Calibri" w:eastAsia="Calibri" w:hAnsi="Calibri" w:cs="Calibri"/>
          <w:color w:val="000000"/>
        </w:rPr>
        <w:t>equivalence). Equivalence was confirmed in the propensity matched cohort and full information regression analyses. No difference was found between groups in quality of life (EQ-5D) one year after surgery. The number of patients with complications was higher in the laminectomy group (15.0% v 9.8%, P</w:t>
      </w:r>
      <w:r w:rsidRPr="00083CB7">
        <w:rPr>
          <w:rFonts w:ascii="Calibri" w:eastAsia="SymbolStd" w:hAnsi="Calibri" w:cs="Calibri"/>
          <w:color w:val="000000"/>
        </w:rPr>
        <w:t>=</w:t>
      </w:r>
      <w:r w:rsidRPr="00083CB7">
        <w:rPr>
          <w:rFonts w:ascii="Calibri" w:eastAsia="Calibri" w:hAnsi="Calibri" w:cs="Calibri"/>
          <w:color w:val="000000"/>
        </w:rPr>
        <w:t>0.018), but after propensity matching for complications the groups did not differ (P</w:t>
      </w:r>
      <w:r w:rsidRPr="00083CB7">
        <w:rPr>
          <w:rFonts w:ascii="Calibri" w:eastAsia="SymbolStd" w:hAnsi="Calibri" w:cs="Calibri"/>
          <w:color w:val="000000"/>
        </w:rPr>
        <w:t>=</w:t>
      </w:r>
      <w:r w:rsidRPr="00083CB7">
        <w:rPr>
          <w:rFonts w:ascii="Calibri" w:eastAsia="Calibri" w:hAnsi="Calibri" w:cs="Calibri"/>
          <w:color w:val="000000"/>
        </w:rPr>
        <w:t>0.23). The duration of surgery for single level decompression was shorter in the microdecompression group (difference 11.2 minutes, 95% confidence interval 4.9 to 17.5, P</w:t>
      </w:r>
      <w:r w:rsidRPr="00083CB7">
        <w:rPr>
          <w:rFonts w:ascii="Calibri" w:eastAsia="SymbolStd" w:hAnsi="Calibri" w:cs="Calibri"/>
          <w:color w:val="000000"/>
        </w:rPr>
        <w:t>&lt;</w:t>
      </w:r>
      <w:r w:rsidRPr="00083CB7">
        <w:rPr>
          <w:rFonts w:ascii="Calibri" w:eastAsia="Calibri" w:hAnsi="Calibri" w:cs="Calibri"/>
          <w:color w:val="000000"/>
        </w:rPr>
        <w:t>0.001), but after propensity matching the groups did not differ (P</w:t>
      </w:r>
      <w:r w:rsidRPr="00083CB7">
        <w:rPr>
          <w:rFonts w:ascii="Calibri" w:eastAsia="SymbolStd" w:hAnsi="Calibri" w:cs="Calibri"/>
          <w:color w:val="000000"/>
        </w:rPr>
        <w:t>=</w:t>
      </w:r>
      <w:r w:rsidRPr="00083CB7">
        <w:rPr>
          <w:rFonts w:ascii="Calibri" w:eastAsia="Calibri" w:hAnsi="Calibri" w:cs="Calibri"/>
          <w:color w:val="000000"/>
        </w:rPr>
        <w:t>0.15). Patients in the microdecompression group had shorter hospital stays, both for single level decompression (difference 1.5 days, 95% confidence interval 1.7 to 2.6, P</w:t>
      </w:r>
      <w:r w:rsidRPr="00083CB7">
        <w:rPr>
          <w:rFonts w:ascii="Calibri" w:eastAsia="SymbolStd" w:hAnsi="Calibri" w:cs="Calibri"/>
          <w:color w:val="000000"/>
        </w:rPr>
        <w:t>&lt;</w:t>
      </w:r>
      <w:r w:rsidRPr="00083CB7">
        <w:rPr>
          <w:rFonts w:ascii="Calibri" w:eastAsia="Calibri" w:hAnsi="Calibri" w:cs="Calibri"/>
          <w:color w:val="000000"/>
        </w:rPr>
        <w:t>0.001) and two level decompression (0.8 days, 1.0 to 2.2, P</w:t>
      </w:r>
      <w:r w:rsidRPr="00083CB7">
        <w:rPr>
          <w:rFonts w:ascii="Calibri" w:eastAsia="SymbolStd" w:hAnsi="Calibri" w:cs="Calibri"/>
          <w:color w:val="000000"/>
        </w:rPr>
        <w:t>=</w:t>
      </w:r>
      <w:r w:rsidRPr="00083CB7">
        <w:rPr>
          <w:rFonts w:ascii="Calibri" w:eastAsia="Calibri" w:hAnsi="Calibri" w:cs="Calibri"/>
          <w:color w:val="000000"/>
        </w:rPr>
        <w:t xml:space="preserve">0.003). </w:t>
      </w:r>
    </w:p>
    <w:p w14:paraId="06EE4428" w14:textId="77777777" w:rsidR="00083CB7" w:rsidRPr="00083CB7" w:rsidRDefault="00083CB7" w:rsidP="00083CB7">
      <w:pPr>
        <w:numPr>
          <w:ilvl w:val="2"/>
          <w:numId w:val="26"/>
        </w:numPr>
        <w:spacing w:after="160" w:line="256" w:lineRule="auto"/>
        <w:contextualSpacing/>
        <w:rPr>
          <w:rFonts w:ascii="Calibri" w:eastAsia="Calibri" w:hAnsi="Calibri" w:cs="Calibri"/>
        </w:rPr>
      </w:pPr>
      <w:r w:rsidRPr="00083CB7">
        <w:rPr>
          <w:rFonts w:ascii="Calibri" w:eastAsia="Calibri" w:hAnsi="Calibri" w:cs="Calibri"/>
        </w:rPr>
        <w:t xml:space="preserve">Conclusion: </w:t>
      </w:r>
      <w:r w:rsidRPr="00083CB7">
        <w:rPr>
          <w:rFonts w:ascii="Calibri" w:eastAsia="Calibri" w:hAnsi="Calibri" w:cs="Calibri"/>
          <w:color w:val="000000"/>
        </w:rPr>
        <w:t>At one year the effectiveness of microdecompression is equivalent to laminectomy in the surgical treatment of central stenosis of the lumbar spine. Favourable outcomes were observed at one year in both treatment groups.</w:t>
      </w:r>
    </w:p>
    <w:p w14:paraId="7DB976F0" w14:textId="77777777" w:rsidR="00083CB7" w:rsidRPr="00083CB7" w:rsidRDefault="00083CB7" w:rsidP="00083CB7">
      <w:pPr>
        <w:numPr>
          <w:ilvl w:val="0"/>
          <w:numId w:val="26"/>
        </w:numPr>
        <w:spacing w:after="160" w:line="256" w:lineRule="auto"/>
        <w:contextualSpacing/>
        <w:rPr>
          <w:rFonts w:ascii="Calibri" w:eastAsia="Calibri" w:hAnsi="Calibri" w:cs="Calibri"/>
        </w:rPr>
      </w:pPr>
      <w:r w:rsidRPr="00083CB7">
        <w:rPr>
          <w:rFonts w:ascii="Calibri" w:eastAsia="Calibri" w:hAnsi="Calibri" w:cs="Calibri"/>
        </w:rPr>
        <w:t>Other policies</w:t>
      </w:r>
    </w:p>
    <w:p w14:paraId="4F14CF2C" w14:textId="77777777" w:rsidR="00083CB7" w:rsidRPr="00083CB7" w:rsidRDefault="00083CB7" w:rsidP="00083CB7">
      <w:pPr>
        <w:numPr>
          <w:ilvl w:val="1"/>
          <w:numId w:val="26"/>
        </w:numPr>
        <w:spacing w:after="160" w:line="256" w:lineRule="auto"/>
        <w:contextualSpacing/>
        <w:rPr>
          <w:rFonts w:ascii="Calibri" w:eastAsia="Calibri" w:hAnsi="Calibri" w:cs="Calibri"/>
        </w:rPr>
      </w:pPr>
      <w:r w:rsidRPr="00083CB7">
        <w:rPr>
          <w:rFonts w:ascii="Calibri" w:eastAsia="Calibri" w:hAnsi="Calibri" w:cs="Calibri"/>
        </w:rPr>
        <w:t>Premara BCBS and Aetna find minimally invasive lumbar spine surgery investigational</w:t>
      </w:r>
    </w:p>
    <w:p w14:paraId="6C5C99BB" w14:textId="77777777" w:rsidR="00083CB7" w:rsidRPr="00083CB7" w:rsidRDefault="00083CB7" w:rsidP="00083CB7">
      <w:pPr>
        <w:numPr>
          <w:ilvl w:val="0"/>
          <w:numId w:val="26"/>
        </w:numPr>
        <w:spacing w:after="160" w:line="256" w:lineRule="auto"/>
        <w:contextualSpacing/>
        <w:rPr>
          <w:rFonts w:ascii="Calibri" w:eastAsia="Calibri" w:hAnsi="Calibri" w:cs="Calibri"/>
        </w:rPr>
      </w:pPr>
      <w:r w:rsidRPr="00083CB7">
        <w:rPr>
          <w:rFonts w:ascii="Calibri" w:eastAsia="Calibri" w:hAnsi="Calibri" w:cs="Calibri"/>
        </w:rPr>
        <w:t>HERC staff summary: There is limited, low quality evidence regarding percutaneous endoscopic lumbar spinal surgery</w:t>
      </w:r>
    </w:p>
    <w:p w14:paraId="37829777" w14:textId="77777777" w:rsidR="00083CB7" w:rsidRPr="00083CB7" w:rsidRDefault="00083CB7" w:rsidP="00083CB7">
      <w:pPr>
        <w:numPr>
          <w:ilvl w:val="0"/>
          <w:numId w:val="26"/>
        </w:numPr>
        <w:spacing w:after="160" w:line="256" w:lineRule="auto"/>
        <w:contextualSpacing/>
        <w:rPr>
          <w:rFonts w:ascii="Calibri" w:eastAsia="Calibri" w:hAnsi="Calibri" w:cs="Calibri"/>
          <w:b/>
        </w:rPr>
      </w:pPr>
      <w:r w:rsidRPr="00083CB7">
        <w:rPr>
          <w:rFonts w:ascii="Calibri" w:eastAsia="Calibri" w:hAnsi="Calibri" w:cs="Calibri"/>
          <w:b/>
        </w:rPr>
        <w:t>HERC staff recommendation:</w:t>
      </w:r>
    </w:p>
    <w:p w14:paraId="27F985E0" w14:textId="77777777" w:rsidR="00083CB7" w:rsidRPr="00083CB7" w:rsidRDefault="00083CB7" w:rsidP="00083CB7">
      <w:pPr>
        <w:numPr>
          <w:ilvl w:val="1"/>
          <w:numId w:val="26"/>
        </w:numPr>
        <w:spacing w:after="160" w:line="256" w:lineRule="auto"/>
        <w:contextualSpacing/>
        <w:rPr>
          <w:rFonts w:ascii="Univers" w:eastAsia="Calibri" w:hAnsi="Univers" w:cs="Univers"/>
          <w:sz w:val="16"/>
          <w:szCs w:val="16"/>
        </w:rPr>
      </w:pPr>
      <w:r w:rsidRPr="00083CB7">
        <w:rPr>
          <w:rFonts w:ascii="Calibri" w:eastAsia="Calibri" w:hAnsi="Calibri" w:cs="Calibri"/>
        </w:rPr>
        <w:t>Place</w:t>
      </w:r>
      <w:r w:rsidRPr="00083CB7">
        <w:rPr>
          <w:rFonts w:ascii="Calibri" w:eastAsia="Calibri" w:hAnsi="Calibri" w:cs="Calibri"/>
          <w:b/>
        </w:rPr>
        <w:t xml:space="preserve"> 62380</w:t>
      </w:r>
      <w:r w:rsidRPr="00083CB7">
        <w:rPr>
          <w:rFonts w:ascii="Calibri" w:eastAsia="Calibri" w:hAnsi="Calibri" w:cs="Calibri"/>
        </w:rPr>
        <w:t xml:space="preserve">: Endoscopic decompression of spinal cord, nerve root(s), including laminotomy, partial facetectomy, foraminotomy, discectomy and/or excision of herniated intervertebral disc, 1 interspace, lumbar on the </w:t>
      </w:r>
      <w:r w:rsidRPr="00083CB7">
        <w:rPr>
          <w:rFonts w:ascii="Calibri" w:eastAsia="Calibri" w:hAnsi="Calibri" w:cs="Calibri"/>
          <w:b/>
        </w:rPr>
        <w:t xml:space="preserve">Services Recommended for Non-Coverage </w:t>
      </w:r>
      <w:r w:rsidRPr="00083CB7">
        <w:rPr>
          <w:rFonts w:ascii="Calibri" w:eastAsia="Calibri" w:hAnsi="Calibri" w:cs="Calibri"/>
        </w:rPr>
        <w:t>table</w:t>
      </w:r>
    </w:p>
    <w:p w14:paraId="2A91AD74" w14:textId="77777777" w:rsidR="007574E8" w:rsidRPr="00083CB7" w:rsidRDefault="00083CB7" w:rsidP="00083CB7">
      <w:pPr>
        <w:numPr>
          <w:ilvl w:val="3"/>
          <w:numId w:val="26"/>
        </w:numPr>
        <w:spacing w:after="160" w:line="256" w:lineRule="auto"/>
        <w:contextualSpacing/>
        <w:rPr>
          <w:rFonts w:ascii="Calibri" w:eastAsia="Calibri" w:hAnsi="Calibri" w:cs="Calibri"/>
        </w:rPr>
      </w:pPr>
      <w:r w:rsidRPr="00083CB7">
        <w:rPr>
          <w:rFonts w:ascii="Calibri" w:eastAsia="Calibri" w:hAnsi="Calibri" w:cs="Calibri"/>
        </w:rPr>
        <w:t>Investigational</w:t>
      </w:r>
    </w:p>
    <w:sectPr w:rsidR="007574E8" w:rsidRPr="00083CB7"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A515" w14:textId="77777777" w:rsidR="00A65A2A" w:rsidRDefault="00A65A2A">
      <w:r>
        <w:separator/>
      </w:r>
    </w:p>
  </w:endnote>
  <w:endnote w:type="continuationSeparator" w:id="0">
    <w:p w14:paraId="09C66C16" w14:textId="77777777"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ymbolSt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4D14" w14:textId="77777777" w:rsidR="00FA57D5" w:rsidRDefault="00FA5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D7C6" w14:textId="77777777" w:rsidR="003E2BE9" w:rsidRPr="00146B0B" w:rsidRDefault="003E2BE9" w:rsidP="009D1C62">
    <w:pPr>
      <w:pStyle w:val="Footer"/>
    </w:pPr>
    <w:r>
      <w:tab/>
    </w:r>
    <w:r w:rsidR="00D941C7">
      <w:rPr>
        <w:noProof/>
      </w:rPr>
      <w:drawing>
        <wp:inline distT="0" distB="0" distL="0" distR="0" wp14:anchorId="7321DFBC" wp14:editId="75912B86">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8B6DCA">
      <w:rPr>
        <w:noProof/>
      </w:rPr>
      <w:t>1</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05F5" w14:textId="77777777" w:rsidR="00FA57D5" w:rsidRDefault="00FA5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7298" w14:textId="77777777" w:rsidR="00A65A2A" w:rsidRDefault="00A65A2A">
      <w:r>
        <w:separator/>
      </w:r>
    </w:p>
  </w:footnote>
  <w:footnote w:type="continuationSeparator" w:id="0">
    <w:p w14:paraId="34A35CFC" w14:textId="77777777" w:rsidR="00A65A2A" w:rsidRDefault="00A6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448C" w14:textId="77777777" w:rsidR="00FA57D5" w:rsidRDefault="00FA5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17F8"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16F94C0E" w14:textId="7AE68191" w:rsidR="00D17DC1" w:rsidRPr="00876447" w:rsidRDefault="00323BE1"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10C2" w14:textId="77777777" w:rsidR="00FA57D5" w:rsidRDefault="00FA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A4CAB"/>
    <w:multiLevelType w:val="hybridMultilevel"/>
    <w:tmpl w:val="144C04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61035132">
    <w:abstractNumId w:val="18"/>
  </w:num>
  <w:num w:numId="2" w16cid:durableId="623389100">
    <w:abstractNumId w:val="3"/>
  </w:num>
  <w:num w:numId="3" w16cid:durableId="1268659541">
    <w:abstractNumId w:val="17"/>
  </w:num>
  <w:num w:numId="4" w16cid:durableId="15913096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176350">
    <w:abstractNumId w:val="13"/>
  </w:num>
  <w:num w:numId="6" w16cid:durableId="1994916880">
    <w:abstractNumId w:val="23"/>
  </w:num>
  <w:num w:numId="7" w16cid:durableId="1360623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800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136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72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1339190">
    <w:abstractNumId w:val="9"/>
  </w:num>
  <w:num w:numId="12" w16cid:durableId="1255818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3444833">
    <w:abstractNumId w:val="5"/>
  </w:num>
  <w:num w:numId="14" w16cid:durableId="829753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405474">
    <w:abstractNumId w:val="5"/>
  </w:num>
  <w:num w:numId="16" w16cid:durableId="1247379323">
    <w:abstractNumId w:val="7"/>
  </w:num>
  <w:num w:numId="17" w16cid:durableId="79648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7443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8766636">
    <w:abstractNumId w:val="20"/>
  </w:num>
  <w:num w:numId="20" w16cid:durableId="2000621548">
    <w:abstractNumId w:val="2"/>
  </w:num>
  <w:num w:numId="21" w16cid:durableId="1819108892">
    <w:abstractNumId w:val="21"/>
  </w:num>
  <w:num w:numId="22" w16cid:durableId="1021395655">
    <w:abstractNumId w:val="1"/>
  </w:num>
  <w:num w:numId="23" w16cid:durableId="1516654407">
    <w:abstractNumId w:val="8"/>
  </w:num>
  <w:num w:numId="24" w16cid:durableId="793134250">
    <w:abstractNumId w:val="0"/>
  </w:num>
  <w:num w:numId="25" w16cid:durableId="2118329378">
    <w:abstractNumId w:val="4"/>
  </w:num>
  <w:num w:numId="26" w16cid:durableId="523861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62D99"/>
    <w:rsid w:val="00083CB7"/>
    <w:rsid w:val="000938C4"/>
    <w:rsid w:val="000A5877"/>
    <w:rsid w:val="000E3E50"/>
    <w:rsid w:val="000E4EE6"/>
    <w:rsid w:val="00112E35"/>
    <w:rsid w:val="00125B69"/>
    <w:rsid w:val="00146B0B"/>
    <w:rsid w:val="00161173"/>
    <w:rsid w:val="00174B84"/>
    <w:rsid w:val="00183961"/>
    <w:rsid w:val="001C1AC2"/>
    <w:rsid w:val="001E6492"/>
    <w:rsid w:val="001F2924"/>
    <w:rsid w:val="00211F7E"/>
    <w:rsid w:val="00241DFF"/>
    <w:rsid w:val="002567C3"/>
    <w:rsid w:val="002757D6"/>
    <w:rsid w:val="00286D7A"/>
    <w:rsid w:val="002C7FB2"/>
    <w:rsid w:val="002E7B3E"/>
    <w:rsid w:val="002F4236"/>
    <w:rsid w:val="00313C24"/>
    <w:rsid w:val="00323BE1"/>
    <w:rsid w:val="00331577"/>
    <w:rsid w:val="00354F39"/>
    <w:rsid w:val="00362566"/>
    <w:rsid w:val="00381686"/>
    <w:rsid w:val="003A7E4E"/>
    <w:rsid w:val="003B3891"/>
    <w:rsid w:val="003B473D"/>
    <w:rsid w:val="003E2BE9"/>
    <w:rsid w:val="003E3BC4"/>
    <w:rsid w:val="00424A46"/>
    <w:rsid w:val="00436596"/>
    <w:rsid w:val="00441A01"/>
    <w:rsid w:val="004571AF"/>
    <w:rsid w:val="004C739A"/>
    <w:rsid w:val="004D5309"/>
    <w:rsid w:val="004F6524"/>
    <w:rsid w:val="00522960"/>
    <w:rsid w:val="0053244B"/>
    <w:rsid w:val="005359C7"/>
    <w:rsid w:val="0056337E"/>
    <w:rsid w:val="005A1767"/>
    <w:rsid w:val="005A1EEE"/>
    <w:rsid w:val="005B71A4"/>
    <w:rsid w:val="005D7BF0"/>
    <w:rsid w:val="005F2AED"/>
    <w:rsid w:val="00660992"/>
    <w:rsid w:val="006943D6"/>
    <w:rsid w:val="006A5420"/>
    <w:rsid w:val="006C453D"/>
    <w:rsid w:val="006E21CB"/>
    <w:rsid w:val="00704160"/>
    <w:rsid w:val="00714D9B"/>
    <w:rsid w:val="00722829"/>
    <w:rsid w:val="0074542B"/>
    <w:rsid w:val="00752E2C"/>
    <w:rsid w:val="007574E8"/>
    <w:rsid w:val="00795889"/>
    <w:rsid w:val="00796202"/>
    <w:rsid w:val="007A65AA"/>
    <w:rsid w:val="007C1729"/>
    <w:rsid w:val="007C2859"/>
    <w:rsid w:val="007E68A1"/>
    <w:rsid w:val="007E75CE"/>
    <w:rsid w:val="00803C6B"/>
    <w:rsid w:val="0084178D"/>
    <w:rsid w:val="00844609"/>
    <w:rsid w:val="00845277"/>
    <w:rsid w:val="008746C3"/>
    <w:rsid w:val="00876447"/>
    <w:rsid w:val="008A0C70"/>
    <w:rsid w:val="008B6DCA"/>
    <w:rsid w:val="008C4AA4"/>
    <w:rsid w:val="008D4987"/>
    <w:rsid w:val="00941AE1"/>
    <w:rsid w:val="009532AE"/>
    <w:rsid w:val="009604F0"/>
    <w:rsid w:val="00976107"/>
    <w:rsid w:val="00985891"/>
    <w:rsid w:val="00994D5A"/>
    <w:rsid w:val="009D1C62"/>
    <w:rsid w:val="009E3767"/>
    <w:rsid w:val="009F2B34"/>
    <w:rsid w:val="00A06407"/>
    <w:rsid w:val="00A0644D"/>
    <w:rsid w:val="00A45839"/>
    <w:rsid w:val="00A65A2A"/>
    <w:rsid w:val="00A700F8"/>
    <w:rsid w:val="00AE03BC"/>
    <w:rsid w:val="00AF1D55"/>
    <w:rsid w:val="00B26A1F"/>
    <w:rsid w:val="00B3781D"/>
    <w:rsid w:val="00B82B0C"/>
    <w:rsid w:val="00BB14B5"/>
    <w:rsid w:val="00BB5801"/>
    <w:rsid w:val="00BF2C88"/>
    <w:rsid w:val="00C16DF6"/>
    <w:rsid w:val="00C218BD"/>
    <w:rsid w:val="00C2263B"/>
    <w:rsid w:val="00C241EE"/>
    <w:rsid w:val="00C4079A"/>
    <w:rsid w:val="00C51C06"/>
    <w:rsid w:val="00C81805"/>
    <w:rsid w:val="00C92D56"/>
    <w:rsid w:val="00CD746B"/>
    <w:rsid w:val="00CF4DA2"/>
    <w:rsid w:val="00D17DC1"/>
    <w:rsid w:val="00D32460"/>
    <w:rsid w:val="00D34794"/>
    <w:rsid w:val="00D66FCA"/>
    <w:rsid w:val="00D941C7"/>
    <w:rsid w:val="00DC1ECE"/>
    <w:rsid w:val="00E25B1C"/>
    <w:rsid w:val="00E564BE"/>
    <w:rsid w:val="00EC3B5C"/>
    <w:rsid w:val="00ED4494"/>
    <w:rsid w:val="00F11304"/>
    <w:rsid w:val="00F24C6A"/>
    <w:rsid w:val="00F67650"/>
    <w:rsid w:val="00F95C19"/>
    <w:rsid w:val="00FA3367"/>
    <w:rsid w:val="00FA57D5"/>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0D62BFB"/>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uiPriority w:val="99"/>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667757671">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1765565149">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onlinelibrary.wiley.com/doi/10.1002/14651858.CD010328.pub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https://www.oregon.gov/oha/HPA/DSI-HERC/SearchablePLdocuments/GL173-decompression-spinal-cord-62380.docx</Url>
      <Description>GL173-decompression-spinal-cord-62380</Description>
    </URL>
    <IACategory xmlns="59da1016-2a1b-4f8a-9768-d7a4932f6f16" xsi:nil="true"/>
    <IASubtopic xmlns="59da1016-2a1b-4f8a-9768-d7a4932f6f16" xsi:nil="true"/>
    <DocumentExpirationDate xmlns="59da1016-2a1b-4f8a-9768-d7a4932f6f16" xsi:nil="true"/>
    <Meta_x0020_Keywords xmlns="02aa3302-3726-4429-bc74-2da0b757c478">;</Meta_x0020_Keywords>
    <IATopic xmlns="59da1016-2a1b-4f8a-9768-d7a4932f6f16" xsi:nil="true"/>
    <Meta_x0020_Description xmlns="02aa3302-3726-4429-bc74-2da0b757c478">GL173</Meta_x0020_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9646D-C346-4778-8225-2292DB386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DCFC2-BA29-4EC1-B974-50A70DF54C1E}">
  <ds:schemaRefs>
    <ds:schemaRef ds:uri="http://schemas.microsoft.com/office/2006/metadata/properties"/>
    <ds:schemaRef ds:uri="http://schemas.microsoft.com/office/infopath/2007/PartnerControls"/>
    <ds:schemaRef ds:uri="http://schemas.microsoft.com/sharepoint/v3"/>
    <ds:schemaRef ds:uri="59da1016-2a1b-4f8a-9768-d7a4932f6f16"/>
    <ds:schemaRef ds:uri="02aa3302-3726-4429-bc74-2da0b757c478"/>
  </ds:schemaRefs>
</ds:datastoreItem>
</file>

<file path=customXml/itemProps3.xml><?xml version="1.0" encoding="utf-8"?>
<ds:datastoreItem xmlns:ds="http://schemas.openxmlformats.org/officeDocument/2006/customXml" ds:itemID="{5640D509-DD36-4796-9DEF-F4F46699C46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150B0EBB.dotx</Template>
  <TotalTime>0</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Services Recommended for Non-Coverage - Rationale 62380</vt:lpstr>
    </vt:vector>
  </TitlesOfParts>
  <Company>State of Oregon</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GL173-decompression-spinal-cord-62380</dc:title>
  <dc:creator>Jason Gingerich</dc:creator>
  <cp:lastModifiedBy>Jason Gingerich</cp:lastModifiedBy>
  <cp:revision>2</cp:revision>
  <dcterms:created xsi:type="dcterms:W3CDTF">2025-07-03T23:12:00Z</dcterms:created>
  <dcterms:modified xsi:type="dcterms:W3CDTF">2025-07-03T23:12:00Z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e0fd33a0-6abf-4466-b8dc-af1bac9c3e31,2;e0fd33a0-6abf-4466-b8dc-af1bac9c3e31,5;e0fd33a0-6abf-4466-b8dc-af1bac9c3e31,7;e0fd33a0-6abf-4466-b8dc-af1bac9c3e31,9;e0fd33a0-6abf-4466-b8dc-af1bac9c3e31,3;</vt:lpwstr>
  </property>
  <property fmtid="{D5CDD505-2E9C-101B-9397-08002B2CF9AE}" pid="4" name="Order">
    <vt:r8>87700</vt:r8>
  </property>
</Properties>
</file>