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6904" w14:textId="77777777" w:rsidR="00B8618F" w:rsidRPr="00B8618F" w:rsidRDefault="00B8618F" w:rsidP="00B8618F">
      <w:pPr>
        <w:pStyle w:val="Heading1"/>
        <w:rPr>
          <w:rFonts w:cs="Calibri"/>
        </w:rPr>
      </w:pPr>
      <w:bookmarkStart w:id="0" w:name="GuidelineNote0037"/>
      <w:r w:rsidRPr="00B8618F">
        <w:rPr>
          <w:rFonts w:cs="Calibri"/>
        </w:rPr>
        <w:t>GUIDELINE NOTE 37, SURGICAL INTERVENTIONS FOR CONDITIONS OF THE BACK AND SPINE OTHER THAN SCOLIOSIS</w:t>
      </w:r>
      <w:bookmarkEnd w:id="0"/>
    </w:p>
    <w:p w14:paraId="260FAC3A" w14:textId="77777777" w:rsidR="00B8618F" w:rsidRPr="00B8618F" w:rsidRDefault="00B8618F" w:rsidP="00B8618F">
      <w:pPr>
        <w:pStyle w:val="HSCGLLineList"/>
        <w:rPr>
          <w:rFonts w:cs="Calibri"/>
        </w:rPr>
      </w:pPr>
      <w:r w:rsidRPr="00B8618F">
        <w:rPr>
          <w:rFonts w:cs="Calibri"/>
        </w:rPr>
        <w:t>Lines 343,​523</w:t>
      </w:r>
    </w:p>
    <w:p w14:paraId="424EE484" w14:textId="77777777" w:rsidR="00B8618F" w:rsidRPr="00B8618F" w:rsidRDefault="00B8618F" w:rsidP="00B8618F">
      <w:pPr>
        <w:pStyle w:val="HSCNormal"/>
        <w:rPr>
          <w:rFonts w:cs="Calibri"/>
          <w:szCs w:val="16"/>
        </w:rPr>
      </w:pPr>
      <w:r w:rsidRPr="00B8618F">
        <w:rPr>
          <w:rFonts w:cs="Calibri"/>
          <w:szCs w:val="16"/>
        </w:rPr>
        <w:t>Spine surgery is included on Line 343 only in the following circumstances:</w:t>
      </w:r>
    </w:p>
    <w:p w14:paraId="67A185AD" w14:textId="77777777" w:rsidR="00B8618F" w:rsidRPr="00B8618F" w:rsidRDefault="00B8618F" w:rsidP="00B8618F">
      <w:pPr>
        <w:pStyle w:val="HSCNormal"/>
        <w:numPr>
          <w:ilvl w:val="0"/>
          <w:numId w:val="25"/>
        </w:numPr>
        <w:rPr>
          <w:rFonts w:cs="Calibri"/>
          <w:szCs w:val="16"/>
        </w:rPr>
      </w:pPr>
      <w:r w:rsidRPr="00B8618F">
        <w:rPr>
          <w:rFonts w:cs="Calibri"/>
          <w:szCs w:val="16"/>
        </w:rPr>
        <w:t>Decompressive surgery is included on Line 343 to treat debilitating symptoms due to central or foraminal spinal stenosis, and only when the patient meets the following criteria:</w:t>
      </w:r>
    </w:p>
    <w:p w14:paraId="3A922300" w14:textId="77777777" w:rsidR="00B8618F" w:rsidRPr="00B8618F" w:rsidRDefault="00B8618F" w:rsidP="00B8618F">
      <w:pPr>
        <w:pStyle w:val="HSCNormal"/>
        <w:numPr>
          <w:ilvl w:val="1"/>
          <w:numId w:val="25"/>
        </w:numPr>
        <w:rPr>
          <w:rFonts w:cs="Calibri"/>
          <w:szCs w:val="16"/>
        </w:rPr>
      </w:pPr>
      <w:r w:rsidRPr="00B8618F">
        <w:rPr>
          <w:rFonts w:cs="Calibri"/>
          <w:szCs w:val="16"/>
        </w:rPr>
        <w:t>Has MRI evidence of moderate or severe central or foraminal spinal stenosis AND either</w:t>
      </w:r>
    </w:p>
    <w:p w14:paraId="13559916" w14:textId="77777777" w:rsidR="00B8618F" w:rsidRPr="00B8618F" w:rsidRDefault="00B8618F" w:rsidP="00B8618F">
      <w:pPr>
        <w:pStyle w:val="HSCNormal"/>
        <w:numPr>
          <w:ilvl w:val="2"/>
          <w:numId w:val="25"/>
        </w:numPr>
        <w:rPr>
          <w:rFonts w:cs="Calibri"/>
          <w:szCs w:val="16"/>
        </w:rPr>
      </w:pPr>
      <w:r w:rsidRPr="00B8618F">
        <w:rPr>
          <w:rFonts w:cs="Calibri"/>
          <w:szCs w:val="16"/>
        </w:rPr>
        <w:t>Has neurogenic claudication OR</w:t>
      </w:r>
    </w:p>
    <w:p w14:paraId="55DE8B8D" w14:textId="77777777" w:rsidR="00B8618F" w:rsidRPr="00B8618F" w:rsidRDefault="00B8618F" w:rsidP="00B8618F">
      <w:pPr>
        <w:pStyle w:val="HSCNormal"/>
        <w:numPr>
          <w:ilvl w:val="2"/>
          <w:numId w:val="25"/>
        </w:numPr>
        <w:rPr>
          <w:rFonts w:cs="Calibri"/>
          <w:szCs w:val="16"/>
        </w:rPr>
      </w:pPr>
      <w:r w:rsidRPr="00B8618F">
        <w:rPr>
          <w:rFonts w:cs="Calibri"/>
          <w:szCs w:val="16"/>
        </w:rPr>
        <w:t>Has objective neurologic impairment consistent with the MRI findings. Neurologic impairment is defined as objective evidence of one or more of the following:</w:t>
      </w:r>
    </w:p>
    <w:p w14:paraId="559C80A8" w14:textId="77777777" w:rsidR="00B8618F" w:rsidRPr="00B8618F" w:rsidRDefault="00B8618F" w:rsidP="00B8618F">
      <w:pPr>
        <w:pStyle w:val="HSCNormal"/>
        <w:numPr>
          <w:ilvl w:val="3"/>
          <w:numId w:val="25"/>
        </w:numPr>
        <w:rPr>
          <w:rFonts w:cs="Calibri"/>
          <w:szCs w:val="16"/>
        </w:rPr>
      </w:pPr>
      <w:r w:rsidRPr="00B8618F">
        <w:rPr>
          <w:rFonts w:cs="Calibri"/>
          <w:szCs w:val="16"/>
        </w:rPr>
        <w:t>Markedly abnormal reflexes</w:t>
      </w:r>
    </w:p>
    <w:p w14:paraId="70007E1A" w14:textId="77777777" w:rsidR="00B8618F" w:rsidRPr="00B8618F" w:rsidRDefault="00B8618F" w:rsidP="00B8618F">
      <w:pPr>
        <w:pStyle w:val="HSCNormal"/>
        <w:numPr>
          <w:ilvl w:val="3"/>
          <w:numId w:val="25"/>
        </w:numPr>
        <w:rPr>
          <w:rFonts w:cs="Calibri"/>
          <w:szCs w:val="16"/>
        </w:rPr>
      </w:pPr>
      <w:r w:rsidRPr="00B8618F">
        <w:rPr>
          <w:rFonts w:cs="Calibri"/>
          <w:szCs w:val="16"/>
        </w:rPr>
        <w:t>Segmental muscle weakness</w:t>
      </w:r>
    </w:p>
    <w:p w14:paraId="5DF299D0" w14:textId="77777777" w:rsidR="00B8618F" w:rsidRPr="00B8618F" w:rsidRDefault="00B8618F" w:rsidP="00B8618F">
      <w:pPr>
        <w:pStyle w:val="HSCNormal"/>
        <w:numPr>
          <w:ilvl w:val="3"/>
          <w:numId w:val="25"/>
        </w:numPr>
        <w:rPr>
          <w:rFonts w:cs="Calibri"/>
          <w:szCs w:val="16"/>
        </w:rPr>
      </w:pPr>
      <w:r w:rsidRPr="00B8618F">
        <w:rPr>
          <w:rFonts w:cs="Calibri"/>
          <w:szCs w:val="16"/>
        </w:rPr>
        <w:t>Segmental sensory loss</w:t>
      </w:r>
    </w:p>
    <w:p w14:paraId="3F03AFD5" w14:textId="77777777" w:rsidR="00B8618F" w:rsidRPr="00B8618F" w:rsidRDefault="00B8618F" w:rsidP="00B8618F">
      <w:pPr>
        <w:pStyle w:val="HSCNormal"/>
        <w:numPr>
          <w:ilvl w:val="3"/>
          <w:numId w:val="25"/>
        </w:numPr>
        <w:rPr>
          <w:rFonts w:cs="Calibri"/>
          <w:szCs w:val="16"/>
        </w:rPr>
      </w:pPr>
      <w:r w:rsidRPr="00B8618F">
        <w:rPr>
          <w:rFonts w:cs="Calibri"/>
          <w:szCs w:val="16"/>
        </w:rPr>
        <w:t>EMG or NCV evidence of nerve root impingement</w:t>
      </w:r>
    </w:p>
    <w:p w14:paraId="0B7D4E1B" w14:textId="77777777" w:rsidR="00B8618F" w:rsidRPr="00B8618F" w:rsidRDefault="00B8618F" w:rsidP="00B8618F">
      <w:pPr>
        <w:pStyle w:val="HSCNormal"/>
        <w:numPr>
          <w:ilvl w:val="3"/>
          <w:numId w:val="25"/>
        </w:numPr>
        <w:rPr>
          <w:rFonts w:cs="Calibri"/>
          <w:szCs w:val="16"/>
        </w:rPr>
      </w:pPr>
      <w:r w:rsidRPr="00B8618F">
        <w:rPr>
          <w:rFonts w:cs="Calibri"/>
          <w:szCs w:val="16"/>
        </w:rPr>
        <w:t>Cauda equina syndrome</w:t>
      </w:r>
    </w:p>
    <w:p w14:paraId="612A1F79" w14:textId="77777777" w:rsidR="00B8618F" w:rsidRPr="00B8618F" w:rsidRDefault="00B8618F" w:rsidP="00B8618F">
      <w:pPr>
        <w:pStyle w:val="HSCNormal"/>
        <w:numPr>
          <w:ilvl w:val="3"/>
          <w:numId w:val="25"/>
        </w:numPr>
        <w:rPr>
          <w:rFonts w:cs="Calibri"/>
          <w:szCs w:val="16"/>
        </w:rPr>
      </w:pPr>
      <w:r w:rsidRPr="00B8618F">
        <w:rPr>
          <w:rFonts w:cs="Calibri"/>
          <w:szCs w:val="16"/>
        </w:rPr>
        <w:t>Neurogenic bowel or bladder</w:t>
      </w:r>
    </w:p>
    <w:p w14:paraId="2806519B" w14:textId="77777777" w:rsidR="00B8618F" w:rsidRPr="00B8618F" w:rsidRDefault="00B8618F" w:rsidP="00B8618F">
      <w:pPr>
        <w:pStyle w:val="HSCNormal"/>
        <w:numPr>
          <w:ilvl w:val="3"/>
          <w:numId w:val="25"/>
        </w:numPr>
        <w:rPr>
          <w:rFonts w:cs="Calibri"/>
          <w:szCs w:val="16"/>
        </w:rPr>
      </w:pPr>
      <w:r w:rsidRPr="00B8618F">
        <w:rPr>
          <w:rFonts w:cs="Calibri"/>
          <w:szCs w:val="16"/>
        </w:rPr>
        <w:t>Long tract abnormalities</w:t>
      </w:r>
    </w:p>
    <w:p w14:paraId="15756953" w14:textId="77777777" w:rsidR="00B8618F" w:rsidRPr="00B8618F" w:rsidRDefault="00B8618F" w:rsidP="00B8618F">
      <w:pPr>
        <w:pStyle w:val="HSCNormal"/>
        <w:ind w:left="720"/>
        <w:rPr>
          <w:rFonts w:cs="Calibri"/>
          <w:szCs w:val="16"/>
        </w:rPr>
      </w:pPr>
      <w:r w:rsidRPr="00B8618F">
        <w:rPr>
          <w:rFonts w:cs="Calibri"/>
          <w:szCs w:val="16"/>
        </w:rPr>
        <w:t>Foraminal or central spinal stenosis causing only radiating pain (e.g. radiculopathic pain) is included only on Line 523.</w:t>
      </w:r>
    </w:p>
    <w:p w14:paraId="5456499A" w14:textId="77777777" w:rsidR="00B8618F" w:rsidRPr="00B8618F" w:rsidRDefault="00B8618F" w:rsidP="00B8618F">
      <w:pPr>
        <w:pStyle w:val="HSCNormal"/>
        <w:ind w:left="720"/>
        <w:rPr>
          <w:rFonts w:cs="Calibri"/>
          <w:szCs w:val="16"/>
        </w:rPr>
      </w:pPr>
    </w:p>
    <w:p w14:paraId="0D52787B" w14:textId="77777777" w:rsidR="00B8618F" w:rsidRPr="00B8618F" w:rsidRDefault="00B8618F" w:rsidP="00B8618F">
      <w:pPr>
        <w:pStyle w:val="HSCNormal"/>
        <w:numPr>
          <w:ilvl w:val="0"/>
          <w:numId w:val="25"/>
        </w:numPr>
        <w:rPr>
          <w:rFonts w:cs="Calibri"/>
          <w:szCs w:val="16"/>
        </w:rPr>
      </w:pPr>
      <w:r w:rsidRPr="00B8618F">
        <w:rPr>
          <w:rFonts w:cs="Calibri"/>
          <w:szCs w:val="16"/>
        </w:rPr>
        <w:t>Spinal fusion procedures are included on Line 343 for patients with MRI evidence of moderate or severe central or foraminal spinal stenosis only when one of the following conditions are met:</w:t>
      </w:r>
    </w:p>
    <w:p w14:paraId="2FE4D0DD" w14:textId="77777777" w:rsidR="00B8618F" w:rsidRPr="00B8618F" w:rsidRDefault="00B8618F" w:rsidP="00B8618F">
      <w:pPr>
        <w:pStyle w:val="HSCNormal"/>
        <w:numPr>
          <w:ilvl w:val="1"/>
          <w:numId w:val="25"/>
        </w:numPr>
        <w:rPr>
          <w:rFonts w:cs="Calibri"/>
          <w:szCs w:val="16"/>
        </w:rPr>
      </w:pPr>
      <w:r w:rsidRPr="00B8618F">
        <w:rPr>
          <w:rFonts w:cs="Calibri"/>
          <w:szCs w:val="16"/>
        </w:rPr>
        <w:t>spinal stenosis in the cervical spine (with or without spondylolisthesis) which results in objective neurologic impairment as defined above OR</w:t>
      </w:r>
    </w:p>
    <w:p w14:paraId="782D8161" w14:textId="77777777" w:rsidR="00B8618F" w:rsidRPr="00B8618F" w:rsidRDefault="00B8618F" w:rsidP="00B8618F">
      <w:pPr>
        <w:pStyle w:val="HSCNormal"/>
        <w:numPr>
          <w:ilvl w:val="1"/>
          <w:numId w:val="25"/>
        </w:numPr>
        <w:rPr>
          <w:rFonts w:cs="Calibri"/>
          <w:szCs w:val="16"/>
        </w:rPr>
      </w:pPr>
      <w:r w:rsidRPr="00B8618F">
        <w:rPr>
          <w:rFonts w:cs="Calibri"/>
          <w:szCs w:val="16"/>
        </w:rPr>
        <w:t>spinal stenosis in the thoracic or lumbar spine caused by spondylolisthesis resulting in signs and symptoms of neurogenic claudication and which correlate with x-ray flexion/extension films showing at least a 5 mm translation OR</w:t>
      </w:r>
    </w:p>
    <w:p w14:paraId="04C950F1" w14:textId="77777777" w:rsidR="00B8618F" w:rsidRPr="00B8618F" w:rsidRDefault="00B8618F" w:rsidP="00B8618F">
      <w:pPr>
        <w:pStyle w:val="HSCNormal"/>
        <w:numPr>
          <w:ilvl w:val="1"/>
          <w:numId w:val="25"/>
        </w:numPr>
        <w:rPr>
          <w:rFonts w:cs="Calibri"/>
          <w:szCs w:val="16"/>
        </w:rPr>
      </w:pPr>
      <w:r w:rsidRPr="00B8618F">
        <w:rPr>
          <w:rFonts w:cs="Calibri"/>
          <w:szCs w:val="16"/>
        </w:rPr>
        <w:t>pre-existing or expected post-surgical spinal instability (e.g. degenerative scoliosis &gt;10 deg, &gt;50% of facet joints per level expected to be resected)</w:t>
      </w:r>
    </w:p>
    <w:p w14:paraId="3A32D3D7" w14:textId="77777777" w:rsidR="00B8618F" w:rsidRPr="00B8618F" w:rsidRDefault="00B8618F" w:rsidP="00B8618F">
      <w:pPr>
        <w:pStyle w:val="HSCNormal"/>
        <w:rPr>
          <w:rFonts w:cs="Calibri"/>
          <w:szCs w:val="16"/>
        </w:rPr>
      </w:pPr>
    </w:p>
    <w:p w14:paraId="4AF5B1FA" w14:textId="77777777" w:rsidR="00B8618F" w:rsidRPr="00B8618F" w:rsidRDefault="00B8618F" w:rsidP="00B8618F">
      <w:pPr>
        <w:pStyle w:val="HSCNormal"/>
        <w:rPr>
          <w:rFonts w:cs="Calibri"/>
          <w:szCs w:val="16"/>
        </w:rPr>
      </w:pPr>
      <w:r w:rsidRPr="00B8618F">
        <w:rPr>
          <w:rFonts w:cs="Calibri"/>
          <w:szCs w:val="16"/>
        </w:rPr>
        <w:t>Note: for foraminal stenosis, there must be MRI evidence of moderate or severe foraminal stenosis of the nerve root that correlates with the objective findings above in section A.</w:t>
      </w:r>
    </w:p>
    <w:p w14:paraId="4EB9999D" w14:textId="77777777" w:rsidR="00B8618F" w:rsidRPr="00B8618F" w:rsidRDefault="00B8618F" w:rsidP="00B8618F">
      <w:pPr>
        <w:pStyle w:val="HSCNormal"/>
        <w:rPr>
          <w:rFonts w:cs="Calibri"/>
          <w:szCs w:val="16"/>
        </w:rPr>
      </w:pPr>
    </w:p>
    <w:p w14:paraId="4146F50D" w14:textId="77777777" w:rsidR="00B8618F" w:rsidRPr="00B8618F" w:rsidRDefault="00B8618F" w:rsidP="00B8618F">
      <w:pPr>
        <w:pStyle w:val="HSCNormal"/>
        <w:rPr>
          <w:rFonts w:cs="Calibri"/>
          <w:szCs w:val="16"/>
        </w:rPr>
      </w:pPr>
      <w:r w:rsidRPr="00B8618F">
        <w:rPr>
          <w:rFonts w:cs="Calibri"/>
          <w:szCs w:val="16"/>
        </w:rPr>
        <w:t xml:space="preserve">For all other indications, spine surgery is included on Line 523. </w:t>
      </w:r>
    </w:p>
    <w:p w14:paraId="5A33C578" w14:textId="77777777" w:rsidR="00B8618F" w:rsidRPr="00B8618F" w:rsidRDefault="00B8618F" w:rsidP="00B8618F">
      <w:pPr>
        <w:pStyle w:val="HSCNormal"/>
        <w:rPr>
          <w:rFonts w:cs="Calibri"/>
          <w:szCs w:val="16"/>
        </w:rPr>
      </w:pPr>
    </w:p>
    <w:p w14:paraId="0F2B6CF4" w14:textId="77777777" w:rsidR="00B8618F" w:rsidRPr="00B8618F" w:rsidRDefault="00B8618F" w:rsidP="00B8618F">
      <w:pPr>
        <w:pStyle w:val="HSCNormal"/>
        <w:rPr>
          <w:rFonts w:cs="Calibri"/>
          <w:szCs w:val="16"/>
        </w:rPr>
      </w:pPr>
      <w:r w:rsidRPr="00B8618F">
        <w:rPr>
          <w:rFonts w:cs="Calibri"/>
        </w:rPr>
        <w:t xml:space="preserve">The following interventions are not </w:t>
      </w:r>
      <w:r w:rsidRPr="00B8618F">
        <w:rPr>
          <w:rFonts w:cs="Calibri"/>
          <w:szCs w:val="16"/>
        </w:rPr>
        <w:t xml:space="preserve">included on these lines due to lack of evidence of effectiveness for the treatment of conditions on these lines, including cervical, thoracic, lumbar, and sacral conditions: </w:t>
      </w:r>
    </w:p>
    <w:p w14:paraId="0FFF96BF" w14:textId="77777777" w:rsidR="00B8618F" w:rsidRPr="00B8618F" w:rsidRDefault="00B8618F" w:rsidP="00B8618F">
      <w:pPr>
        <w:pStyle w:val="HSCBullet1"/>
        <w:rPr>
          <w:rFonts w:cs="Calibri"/>
        </w:rPr>
      </w:pPr>
      <w:r w:rsidRPr="00B8618F">
        <w:rPr>
          <w:rFonts w:cs="Calibri"/>
        </w:rPr>
        <w:t>local injections (including ozone therapy injections)</w:t>
      </w:r>
    </w:p>
    <w:p w14:paraId="5B46E983" w14:textId="77777777" w:rsidR="00B8618F" w:rsidRPr="00B8618F" w:rsidRDefault="00B8618F" w:rsidP="00B8618F">
      <w:pPr>
        <w:pStyle w:val="HSCBullet1"/>
        <w:rPr>
          <w:rFonts w:cs="Calibri"/>
        </w:rPr>
      </w:pPr>
      <w:r w:rsidRPr="00B8618F">
        <w:rPr>
          <w:rFonts w:cs="Calibri"/>
        </w:rPr>
        <w:t>botulinum toxin injection</w:t>
      </w:r>
    </w:p>
    <w:p w14:paraId="4A793569" w14:textId="77777777" w:rsidR="00B8618F" w:rsidRPr="00B8618F" w:rsidRDefault="00B8618F" w:rsidP="00B8618F">
      <w:pPr>
        <w:pStyle w:val="HSCBullet1"/>
        <w:rPr>
          <w:rFonts w:cs="Calibri"/>
        </w:rPr>
      </w:pPr>
      <w:r w:rsidRPr="00B8618F">
        <w:rPr>
          <w:rFonts w:cs="Calibri"/>
        </w:rPr>
        <w:t>intradiscal electrothermal therapy</w:t>
      </w:r>
    </w:p>
    <w:p w14:paraId="2702C96C" w14:textId="77777777" w:rsidR="00B8618F" w:rsidRPr="00B8618F" w:rsidRDefault="00B8618F" w:rsidP="00B8618F">
      <w:pPr>
        <w:pStyle w:val="HSCBullet1"/>
        <w:rPr>
          <w:rFonts w:cs="Calibri"/>
        </w:rPr>
      </w:pPr>
      <w:r w:rsidRPr="00B8618F">
        <w:rPr>
          <w:rFonts w:cs="Calibri"/>
        </w:rPr>
        <w:t>therapeutic medial branch block</w:t>
      </w:r>
    </w:p>
    <w:p w14:paraId="30F60AA1" w14:textId="77777777" w:rsidR="00B8618F" w:rsidRPr="00B8618F" w:rsidRDefault="00B8618F" w:rsidP="00B8618F">
      <w:pPr>
        <w:pStyle w:val="HSCBullet1"/>
        <w:rPr>
          <w:rFonts w:cs="Calibri"/>
        </w:rPr>
      </w:pPr>
      <w:r w:rsidRPr="00B8618F">
        <w:rPr>
          <w:rFonts w:cs="Calibri"/>
        </w:rPr>
        <w:t>coblation nucleoplasty</w:t>
      </w:r>
    </w:p>
    <w:p w14:paraId="6A028685" w14:textId="77777777" w:rsidR="00B8618F" w:rsidRPr="00B8618F" w:rsidRDefault="00B8618F" w:rsidP="00B8618F">
      <w:pPr>
        <w:pStyle w:val="HSCBullet1"/>
        <w:rPr>
          <w:rFonts w:cs="Calibri"/>
        </w:rPr>
      </w:pPr>
      <w:r w:rsidRPr="00B8618F">
        <w:rPr>
          <w:rFonts w:cs="Calibri"/>
        </w:rPr>
        <w:t>percutaneous intradiscal radiofrequency thermocoagulation</w:t>
      </w:r>
    </w:p>
    <w:p w14:paraId="7DEF99D1" w14:textId="77777777" w:rsidR="00B8618F" w:rsidRPr="00B8618F" w:rsidRDefault="00B8618F" w:rsidP="00B8618F">
      <w:pPr>
        <w:pStyle w:val="HSCBullet1"/>
        <w:rPr>
          <w:rFonts w:cs="Calibri"/>
        </w:rPr>
      </w:pPr>
      <w:r w:rsidRPr="00B8618F">
        <w:rPr>
          <w:rFonts w:cs="Calibri"/>
        </w:rPr>
        <w:t>percutaneous laser disc decompression</w:t>
      </w:r>
    </w:p>
    <w:p w14:paraId="6BECF0A4" w14:textId="77777777" w:rsidR="00B8618F" w:rsidRPr="00B8618F" w:rsidRDefault="00B8618F" w:rsidP="00B8618F">
      <w:pPr>
        <w:pStyle w:val="HSCBullet1"/>
        <w:rPr>
          <w:rFonts w:cs="Calibri"/>
        </w:rPr>
      </w:pPr>
      <w:r w:rsidRPr="00B8618F">
        <w:rPr>
          <w:rFonts w:cs="Calibri"/>
        </w:rPr>
        <w:t>radiofrequency denervation</w:t>
      </w:r>
    </w:p>
    <w:p w14:paraId="7BD8BE62" w14:textId="77777777" w:rsidR="00B8618F" w:rsidRPr="00B8618F" w:rsidRDefault="00B8618F" w:rsidP="00B8618F">
      <w:pPr>
        <w:pStyle w:val="HSCBullet1"/>
        <w:rPr>
          <w:rFonts w:cs="Calibri"/>
        </w:rPr>
      </w:pPr>
      <w:r w:rsidRPr="00B8618F">
        <w:rPr>
          <w:rFonts w:cs="Calibri"/>
        </w:rPr>
        <w:t>corticosteroid injections for cervical pain</w:t>
      </w:r>
    </w:p>
    <w:p w14:paraId="450CAAB7" w14:textId="77777777" w:rsidR="00B8618F" w:rsidRPr="00B8618F" w:rsidRDefault="00B8618F" w:rsidP="00B8618F">
      <w:pPr>
        <w:pStyle w:val="HSCBullet1"/>
        <w:rPr>
          <w:rFonts w:cs="Calibri"/>
        </w:rPr>
      </w:pPr>
      <w:r w:rsidRPr="00B8618F">
        <w:rPr>
          <w:rFonts w:cs="Calibri"/>
        </w:rPr>
        <w:t>intradiscal injections, including platelet rich plasma, stem cells, methylene blue, or ozone</w:t>
      </w:r>
    </w:p>
    <w:p w14:paraId="11FE04BA" w14:textId="77777777" w:rsidR="00B8618F" w:rsidRPr="00B8618F" w:rsidRDefault="00B8618F" w:rsidP="00B8618F">
      <w:pPr>
        <w:pStyle w:val="HSCBullet1"/>
        <w:numPr>
          <w:ilvl w:val="0"/>
          <w:numId w:val="0"/>
        </w:numPr>
        <w:ind w:left="216"/>
        <w:rPr>
          <w:rFonts w:cs="Calibri"/>
        </w:rPr>
      </w:pPr>
    </w:p>
    <w:p w14:paraId="590809AB" w14:textId="77777777" w:rsidR="00B8618F" w:rsidRPr="00B8618F" w:rsidRDefault="00B8618F" w:rsidP="00B8618F">
      <w:pPr>
        <w:pStyle w:val="HSCNormal"/>
        <w:rPr>
          <w:rFonts w:cs="Calibri"/>
        </w:rPr>
      </w:pPr>
      <w:r w:rsidRPr="00B8618F">
        <w:rPr>
          <w:rFonts w:cs="Calibri"/>
        </w:rPr>
        <w:t>Corticosteroid injections for low back pain with or without radiculopathy are only included on Line 523. Diagnostic anesthetic injections for selective nerve root blocks are included on Line 523 for lumbar or sacral symptoms.</w:t>
      </w:r>
    </w:p>
    <w:p w14:paraId="2467C482" w14:textId="77777777" w:rsidR="00B8618F" w:rsidRPr="00B8618F" w:rsidRDefault="00B8618F" w:rsidP="00B8618F">
      <w:pPr>
        <w:pStyle w:val="HSCBullet1"/>
        <w:numPr>
          <w:ilvl w:val="0"/>
          <w:numId w:val="0"/>
        </w:numPr>
        <w:ind w:left="216"/>
        <w:rPr>
          <w:rFonts w:cs="Calibri"/>
        </w:rPr>
      </w:pPr>
    </w:p>
    <w:p w14:paraId="3BEA6B78" w14:textId="77777777" w:rsidR="00B8618F" w:rsidRPr="00B8618F" w:rsidRDefault="00B8618F" w:rsidP="00B8618F">
      <w:pPr>
        <w:pStyle w:val="HSCNormal"/>
        <w:spacing w:after="320"/>
        <w:rPr>
          <w:rFonts w:cs="Calibri"/>
        </w:rPr>
      </w:pPr>
      <w:r w:rsidRPr="00B8618F">
        <w:rPr>
          <w:rFonts w:cs="Calibri"/>
        </w:rPr>
        <w:t xml:space="preserve">The development of this guideline note was informed by HERC coverage guidances on </w:t>
      </w:r>
      <w:hyperlink r:id="rId11" w:history="1">
        <w:r w:rsidRPr="00B8618F">
          <w:rPr>
            <w:rStyle w:val="Hyperlink"/>
            <w:rFonts w:cs="Calibri"/>
          </w:rPr>
          <w:t>Percutaneous Interventions for Low Back Pain</w:t>
        </w:r>
      </w:hyperlink>
      <w:r w:rsidRPr="00B8618F">
        <w:rPr>
          <w:rFonts w:cs="Calibri"/>
        </w:rPr>
        <w:t xml:space="preserve">, </w:t>
      </w:r>
      <w:hyperlink r:id="rId12" w:history="1">
        <w:r w:rsidRPr="00B8618F">
          <w:rPr>
            <w:rStyle w:val="Hyperlink"/>
            <w:rFonts w:cs="Calibri"/>
          </w:rPr>
          <w:t>Percutaneous Interventions for Cervical Spine Pain</w:t>
        </w:r>
      </w:hyperlink>
      <w:r w:rsidRPr="00B8618F">
        <w:rPr>
          <w:rStyle w:val="Hyperlink"/>
          <w:rFonts w:cs="Calibri"/>
        </w:rPr>
        <w:t>,</w:t>
      </w:r>
      <w:r w:rsidRPr="00B8618F">
        <w:rPr>
          <w:rFonts w:cs="Calibri"/>
        </w:rPr>
        <w:t xml:space="preserve"> </w:t>
      </w:r>
      <w:hyperlink r:id="rId13" w:history="1">
        <w:r w:rsidRPr="00B8618F">
          <w:rPr>
            <w:rStyle w:val="Hyperlink"/>
            <w:rFonts w:cs="Calibri"/>
          </w:rPr>
          <w:t>Low Back Pain: Corticosteroid Injections</w:t>
        </w:r>
      </w:hyperlink>
      <w:r w:rsidRPr="00B8618F">
        <w:rPr>
          <w:rFonts w:cs="Calibri"/>
        </w:rPr>
        <w:t xml:space="preserve"> and </w:t>
      </w:r>
      <w:hyperlink r:id="rId14" w:history="1">
        <w:r w:rsidRPr="00B8618F">
          <w:rPr>
            <w:rStyle w:val="Hyperlink"/>
            <w:rFonts w:cs="Calibri"/>
          </w:rPr>
          <w:t>Low Back Pain: Minimally Invasive and Non-Cordicosteroid Percutaneous Interventions</w:t>
        </w:r>
      </w:hyperlink>
      <w:r w:rsidRPr="00B8618F">
        <w:rPr>
          <w:rFonts w:cs="Calibri"/>
        </w:rPr>
        <w:t xml:space="preserve">. See </w:t>
      </w:r>
      <w:hyperlink r:id="rId15" w:history="1">
        <w:r w:rsidRPr="00B8618F">
          <w:rPr>
            <w:rStyle w:val="Hyperlink"/>
            <w:rFonts w:cs="Calibri"/>
          </w:rPr>
          <w:t>https://www.oregon.gov/oha/HPA/DSI-HERC/Pages/Evidence-based-Reports.aspx</w:t>
        </w:r>
      </w:hyperlink>
    </w:p>
    <w:p w14:paraId="789ADC32" w14:textId="77777777" w:rsidR="00B8618F" w:rsidRPr="00B8618F" w:rsidRDefault="00B8618F" w:rsidP="00B8618F">
      <w:pPr>
        <w:rPr>
          <w:rFonts w:cs="Calibri"/>
        </w:rPr>
      </w:pPr>
    </w:p>
    <w:p w14:paraId="2DA4D120" w14:textId="07B65300" w:rsidR="00EE19D1" w:rsidRPr="00B8618F" w:rsidRDefault="00EE19D1" w:rsidP="00B8618F">
      <w:pPr>
        <w:rPr>
          <w:rFonts w:cs="Calibri"/>
        </w:rPr>
      </w:pPr>
    </w:p>
    <w:sectPr w:rsidR="00EE19D1" w:rsidRPr="00B8618F" w:rsidSect="00A06407">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08770EA"/>
    <w:multiLevelType w:val="hybridMultilevel"/>
    <w:tmpl w:val="4476CA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43E5D"/>
    <w:multiLevelType w:val="hybridMultilevel"/>
    <w:tmpl w:val="8842CDD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A3A86"/>
    <w:multiLevelType w:val="multilevel"/>
    <w:tmpl w:val="B2AC182A"/>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7169CC"/>
    <w:multiLevelType w:val="multilevel"/>
    <w:tmpl w:val="F75E998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CD4409"/>
    <w:multiLevelType w:val="hybridMultilevel"/>
    <w:tmpl w:val="FD0669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D1C9F"/>
    <w:multiLevelType w:val="hybridMultilevel"/>
    <w:tmpl w:val="6984814E"/>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B09B5"/>
    <w:multiLevelType w:val="hybridMultilevel"/>
    <w:tmpl w:val="03E47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D418A"/>
    <w:multiLevelType w:val="multilevel"/>
    <w:tmpl w:val="C00294A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F04765"/>
    <w:multiLevelType w:val="multilevel"/>
    <w:tmpl w:val="791CCBA8"/>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A900D7F"/>
    <w:multiLevelType w:val="hybridMultilevel"/>
    <w:tmpl w:val="03CADA44"/>
    <w:lvl w:ilvl="0" w:tplc="7D5005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6C215D"/>
    <w:multiLevelType w:val="multilevel"/>
    <w:tmpl w:val="6B1447B4"/>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94A100C"/>
    <w:multiLevelType w:val="hybridMultilevel"/>
    <w:tmpl w:val="8842CDD4"/>
    <w:lvl w:ilvl="0" w:tplc="FFFFFFFF">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CF4E18"/>
    <w:multiLevelType w:val="multilevel"/>
    <w:tmpl w:val="2F0C652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6C372B"/>
    <w:multiLevelType w:val="hybridMultilevel"/>
    <w:tmpl w:val="388A71CA"/>
    <w:lvl w:ilvl="0" w:tplc="91C249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F00C3"/>
    <w:multiLevelType w:val="hybridMultilevel"/>
    <w:tmpl w:val="C9462A18"/>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A7F9D"/>
    <w:multiLevelType w:val="hybridMultilevel"/>
    <w:tmpl w:val="E330260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82C1A"/>
    <w:multiLevelType w:val="hybridMultilevel"/>
    <w:tmpl w:val="4A668E7E"/>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F31BB"/>
    <w:multiLevelType w:val="hybridMultilevel"/>
    <w:tmpl w:val="0720AE8C"/>
    <w:lvl w:ilvl="0" w:tplc="0780312A">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D315E"/>
    <w:multiLevelType w:val="hybridMultilevel"/>
    <w:tmpl w:val="5B8ED0EA"/>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7"/>
  </w:num>
  <w:num w:numId="2" w16cid:durableId="309944727">
    <w:abstractNumId w:val="24"/>
  </w:num>
  <w:num w:numId="3" w16cid:durableId="210121214">
    <w:abstractNumId w:val="0"/>
  </w:num>
  <w:num w:numId="4" w16cid:durableId="1690333115">
    <w:abstractNumId w:val="17"/>
  </w:num>
  <w:num w:numId="5" w16cid:durableId="826164800">
    <w:abstractNumId w:val="8"/>
  </w:num>
  <w:num w:numId="6" w16cid:durableId="104203676">
    <w:abstractNumId w:val="10"/>
  </w:num>
  <w:num w:numId="7" w16cid:durableId="518741733">
    <w:abstractNumId w:val="21"/>
  </w:num>
  <w:num w:numId="8" w16cid:durableId="1852179205">
    <w:abstractNumId w:val="19"/>
  </w:num>
  <w:num w:numId="9" w16cid:durableId="116720218">
    <w:abstractNumId w:val="13"/>
  </w:num>
  <w:num w:numId="10" w16cid:durableId="800920849">
    <w:abstractNumId w:val="22"/>
  </w:num>
  <w:num w:numId="11" w16cid:durableId="1946376845">
    <w:abstractNumId w:val="2"/>
  </w:num>
  <w:num w:numId="12" w16cid:durableId="1196889196">
    <w:abstractNumId w:val="15"/>
  </w:num>
  <w:num w:numId="13" w16cid:durableId="1980649730">
    <w:abstractNumId w:val="20"/>
  </w:num>
  <w:num w:numId="14" w16cid:durableId="1901554191">
    <w:abstractNumId w:val="6"/>
  </w:num>
  <w:num w:numId="15" w16cid:durableId="1719935631">
    <w:abstractNumId w:val="23"/>
  </w:num>
  <w:num w:numId="16" w16cid:durableId="1253195908">
    <w:abstractNumId w:val="16"/>
    <w:lvlOverride w:ilvl="0">
      <w:startOverride w:val="1"/>
    </w:lvlOverride>
  </w:num>
  <w:num w:numId="17" w16cid:durableId="831869098">
    <w:abstractNumId w:val="4"/>
  </w:num>
  <w:num w:numId="18" w16cid:durableId="1096946318">
    <w:abstractNumId w:val="5"/>
  </w:num>
  <w:num w:numId="19" w16cid:durableId="497694810">
    <w:abstractNumId w:val="18"/>
  </w:num>
  <w:num w:numId="20" w16cid:durableId="1683776281">
    <w:abstractNumId w:val="3"/>
  </w:num>
  <w:num w:numId="21" w16cid:durableId="1046947293">
    <w:abstractNumId w:val="12"/>
  </w:num>
  <w:num w:numId="22" w16cid:durableId="23604019">
    <w:abstractNumId w:val="1"/>
  </w:num>
  <w:num w:numId="23" w16cid:durableId="1979455953">
    <w:abstractNumId w:val="9"/>
  </w:num>
  <w:num w:numId="24" w16cid:durableId="468717092">
    <w:abstractNumId w:val="14"/>
  </w:num>
  <w:num w:numId="25" w16cid:durableId="97761389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0761"/>
    <w:rsid w:val="000114D4"/>
    <w:rsid w:val="0001300B"/>
    <w:rsid w:val="00024D16"/>
    <w:rsid w:val="0003191F"/>
    <w:rsid w:val="00034DA2"/>
    <w:rsid w:val="00051F07"/>
    <w:rsid w:val="00054024"/>
    <w:rsid w:val="00062D99"/>
    <w:rsid w:val="000633E0"/>
    <w:rsid w:val="00066F07"/>
    <w:rsid w:val="00081A42"/>
    <w:rsid w:val="0008596C"/>
    <w:rsid w:val="0008670B"/>
    <w:rsid w:val="00087363"/>
    <w:rsid w:val="000939D4"/>
    <w:rsid w:val="00093B77"/>
    <w:rsid w:val="000D6135"/>
    <w:rsid w:val="000E4EE6"/>
    <w:rsid w:val="000F0DDA"/>
    <w:rsid w:val="00101DE8"/>
    <w:rsid w:val="00106F41"/>
    <w:rsid w:val="001104DD"/>
    <w:rsid w:val="00112E35"/>
    <w:rsid w:val="00121C76"/>
    <w:rsid w:val="00125B69"/>
    <w:rsid w:val="00127706"/>
    <w:rsid w:val="00145AF5"/>
    <w:rsid w:val="00146B0B"/>
    <w:rsid w:val="00146EE4"/>
    <w:rsid w:val="00147501"/>
    <w:rsid w:val="00161173"/>
    <w:rsid w:val="00174B84"/>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DFF"/>
    <w:rsid w:val="00242B6C"/>
    <w:rsid w:val="00250B2B"/>
    <w:rsid w:val="002567C3"/>
    <w:rsid w:val="00257633"/>
    <w:rsid w:val="00282F7B"/>
    <w:rsid w:val="00284E4F"/>
    <w:rsid w:val="00290648"/>
    <w:rsid w:val="00294366"/>
    <w:rsid w:val="002A421D"/>
    <w:rsid w:val="002B1AD7"/>
    <w:rsid w:val="002C2568"/>
    <w:rsid w:val="002C31C9"/>
    <w:rsid w:val="002C7FB2"/>
    <w:rsid w:val="002E7B3E"/>
    <w:rsid w:val="002F1F44"/>
    <w:rsid w:val="002F37E9"/>
    <w:rsid w:val="002F4236"/>
    <w:rsid w:val="002F57AB"/>
    <w:rsid w:val="00313C24"/>
    <w:rsid w:val="0032160A"/>
    <w:rsid w:val="003345A0"/>
    <w:rsid w:val="0033513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44010"/>
    <w:rsid w:val="004531D1"/>
    <w:rsid w:val="0046445D"/>
    <w:rsid w:val="00473A94"/>
    <w:rsid w:val="0049417F"/>
    <w:rsid w:val="004A7235"/>
    <w:rsid w:val="004B0CC3"/>
    <w:rsid w:val="004C739A"/>
    <w:rsid w:val="004C7416"/>
    <w:rsid w:val="004D5309"/>
    <w:rsid w:val="004E4BCC"/>
    <w:rsid w:val="004E7751"/>
    <w:rsid w:val="004F6524"/>
    <w:rsid w:val="00506107"/>
    <w:rsid w:val="00522960"/>
    <w:rsid w:val="00531BDA"/>
    <w:rsid w:val="0053244B"/>
    <w:rsid w:val="005359C7"/>
    <w:rsid w:val="0053712E"/>
    <w:rsid w:val="00561E16"/>
    <w:rsid w:val="0056337E"/>
    <w:rsid w:val="00573586"/>
    <w:rsid w:val="005755F3"/>
    <w:rsid w:val="00577175"/>
    <w:rsid w:val="00580F8F"/>
    <w:rsid w:val="00584A1F"/>
    <w:rsid w:val="00584A4D"/>
    <w:rsid w:val="005912E3"/>
    <w:rsid w:val="00595E74"/>
    <w:rsid w:val="00597280"/>
    <w:rsid w:val="005979C1"/>
    <w:rsid w:val="005A1767"/>
    <w:rsid w:val="005A6143"/>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C453D"/>
    <w:rsid w:val="006C665B"/>
    <w:rsid w:val="006D16FC"/>
    <w:rsid w:val="006E4E93"/>
    <w:rsid w:val="006F055B"/>
    <w:rsid w:val="007018AC"/>
    <w:rsid w:val="00704160"/>
    <w:rsid w:val="0071276F"/>
    <w:rsid w:val="007233FA"/>
    <w:rsid w:val="00732921"/>
    <w:rsid w:val="007356F1"/>
    <w:rsid w:val="00735A34"/>
    <w:rsid w:val="00742D17"/>
    <w:rsid w:val="0074542B"/>
    <w:rsid w:val="00752E2C"/>
    <w:rsid w:val="00765591"/>
    <w:rsid w:val="00765A07"/>
    <w:rsid w:val="00770E6A"/>
    <w:rsid w:val="00784E7A"/>
    <w:rsid w:val="00785B78"/>
    <w:rsid w:val="00786EB4"/>
    <w:rsid w:val="0078755C"/>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7157"/>
    <w:rsid w:val="008746C3"/>
    <w:rsid w:val="00874DB1"/>
    <w:rsid w:val="00882ADA"/>
    <w:rsid w:val="00890647"/>
    <w:rsid w:val="008A0C70"/>
    <w:rsid w:val="008C4145"/>
    <w:rsid w:val="008D5487"/>
    <w:rsid w:val="008F2511"/>
    <w:rsid w:val="008F257A"/>
    <w:rsid w:val="00915395"/>
    <w:rsid w:val="00927ADC"/>
    <w:rsid w:val="00937159"/>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45839"/>
    <w:rsid w:val="00A5567F"/>
    <w:rsid w:val="00A61C44"/>
    <w:rsid w:val="00A63C9D"/>
    <w:rsid w:val="00A648F7"/>
    <w:rsid w:val="00A73C21"/>
    <w:rsid w:val="00A97DE2"/>
    <w:rsid w:val="00AA2C21"/>
    <w:rsid w:val="00AC6424"/>
    <w:rsid w:val="00AE2BF8"/>
    <w:rsid w:val="00AE6680"/>
    <w:rsid w:val="00AF1D55"/>
    <w:rsid w:val="00B26A1F"/>
    <w:rsid w:val="00B31638"/>
    <w:rsid w:val="00B33D17"/>
    <w:rsid w:val="00B34BC0"/>
    <w:rsid w:val="00B41A58"/>
    <w:rsid w:val="00B43251"/>
    <w:rsid w:val="00B50775"/>
    <w:rsid w:val="00B5657E"/>
    <w:rsid w:val="00B72AEF"/>
    <w:rsid w:val="00B73AF0"/>
    <w:rsid w:val="00B82B0C"/>
    <w:rsid w:val="00B8618F"/>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66FD1"/>
    <w:rsid w:val="00C7319F"/>
    <w:rsid w:val="00C74CFE"/>
    <w:rsid w:val="00C8096C"/>
    <w:rsid w:val="00C81805"/>
    <w:rsid w:val="00C83E43"/>
    <w:rsid w:val="00C92D56"/>
    <w:rsid w:val="00C94071"/>
    <w:rsid w:val="00CD6660"/>
    <w:rsid w:val="00CD746B"/>
    <w:rsid w:val="00CD7906"/>
    <w:rsid w:val="00CE66B6"/>
    <w:rsid w:val="00CF51B2"/>
    <w:rsid w:val="00D06D6D"/>
    <w:rsid w:val="00D11FEE"/>
    <w:rsid w:val="00D17380"/>
    <w:rsid w:val="00D20D04"/>
    <w:rsid w:val="00D3359B"/>
    <w:rsid w:val="00D33D72"/>
    <w:rsid w:val="00D34794"/>
    <w:rsid w:val="00D3693B"/>
    <w:rsid w:val="00D505C8"/>
    <w:rsid w:val="00D57DD3"/>
    <w:rsid w:val="00D60314"/>
    <w:rsid w:val="00D67AD9"/>
    <w:rsid w:val="00D67D97"/>
    <w:rsid w:val="00D77743"/>
    <w:rsid w:val="00D91C43"/>
    <w:rsid w:val="00D941C7"/>
    <w:rsid w:val="00D974CB"/>
    <w:rsid w:val="00DC29A3"/>
    <w:rsid w:val="00DC4D21"/>
    <w:rsid w:val="00DD457E"/>
    <w:rsid w:val="00DD7721"/>
    <w:rsid w:val="00DD7ED0"/>
    <w:rsid w:val="00DE7B3B"/>
    <w:rsid w:val="00E12A21"/>
    <w:rsid w:val="00E13947"/>
    <w:rsid w:val="00E25B1C"/>
    <w:rsid w:val="00E34570"/>
    <w:rsid w:val="00E37246"/>
    <w:rsid w:val="00E6046F"/>
    <w:rsid w:val="00E659B0"/>
    <w:rsid w:val="00E82B61"/>
    <w:rsid w:val="00E927F8"/>
    <w:rsid w:val="00E9311E"/>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PA/DSI-HERC/EvidenceBasedReports/Coverage%20Guidance%20-%20Low%20back%20pain-Corticosteroid%20Inject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oregon.gov/OHA/HPA/DSI-HERC/Pages/Evidence-based-Reports-Blog.aspx?View=%7b2905450B-49B8-4A9B-AF17-5E1E03AB8B6B%7d&amp;SelectedID=19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EvidenceBasedReports/Percutaneous-Interventions-Cervical-Spine-Pain-Approved-3-15-2015.pdf" TargetMode="External"/><Relationship Id="rId5" Type="http://schemas.openxmlformats.org/officeDocument/2006/relationships/numbering" Target="numbering.xml"/><Relationship Id="rId15" Type="http://schemas.openxmlformats.org/officeDocument/2006/relationships/hyperlink" Target="https://www.oregon.gov/oha/HPA/DSI-HERC/Pages/Evidence-based-Report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PA/DSI-HERC/EvidenceBasedReports/Low-Back-Pain-Non-Pharmacologic-Non-Invasive-Interventions-11-13-14.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C32EA2DD-6EB9-40B7-BD49-A4AF5253E375}"/>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2025-01-07T00:49:00Z</dcterms:created>
  <dcterms:modified xsi:type="dcterms:W3CDTF">2025-01-07T00:49:00Z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