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D120" w14:textId="77777777" w:rsidR="004B0CC3" w:rsidRPr="004B0CC3" w:rsidRDefault="004B0CC3" w:rsidP="004B0CC3">
      <w:pPr>
        <w:pStyle w:val="Heading1"/>
        <w:rPr>
          <w:rFonts w:cs="Calibri"/>
        </w:rPr>
      </w:pPr>
      <w:bookmarkStart w:id="0" w:name="GuidelineNote0056"/>
      <w:r w:rsidRPr="004B0CC3">
        <w:rPr>
          <w:rFonts w:cs="Calibri"/>
          <w:szCs w:val="16"/>
        </w:rPr>
        <w:t>GUIDELINE NOTE 56, NON-INTERVENTIONAL TREATMENTS FOR CONDITIONS OF THE BACK AND SPINE</w:t>
      </w:r>
      <w:bookmarkEnd w:id="0"/>
    </w:p>
    <w:p w14:paraId="13207E63" w14:textId="77777777" w:rsidR="004B0CC3" w:rsidRPr="004B0CC3" w:rsidRDefault="004B0CC3" w:rsidP="004B0CC3">
      <w:pPr>
        <w:pStyle w:val="HSCGLLineList"/>
        <w:rPr>
          <w:rFonts w:cs="Calibri"/>
        </w:rPr>
      </w:pPr>
      <w:r w:rsidRPr="004B0CC3">
        <w:rPr>
          <w:rFonts w:cs="Calibri"/>
        </w:rPr>
        <w:t>Lines 358,​399</w:t>
      </w:r>
    </w:p>
    <w:p w14:paraId="609D538F" w14:textId="77777777" w:rsidR="004B0CC3" w:rsidRPr="004B0CC3" w:rsidRDefault="004B0CC3" w:rsidP="004B0CC3">
      <w:pPr>
        <w:pStyle w:val="HSCNormal"/>
        <w:rPr>
          <w:rFonts w:cs="Calibri"/>
        </w:rPr>
      </w:pPr>
      <w:r w:rsidRPr="004B0CC3">
        <w:rPr>
          <w:rFonts w:cs="Calibri"/>
        </w:rPr>
        <w:t xml:space="preserve">Patients seeking care for back pain should be assessed for potentially serious conditions (“red flag” symptoms requiring immediate diagnostic testing), as defined in Diagnostic Guideline D4. Patients lacking red flag symptoms should be assessed using a validated assessment tool (e.g. STarT Back Assessment Tool) in order to determine their risk level for poor functional prognosis based on psychosocial indicators. </w:t>
      </w:r>
    </w:p>
    <w:p w14:paraId="0E9B8C9D" w14:textId="77777777" w:rsidR="004B0CC3" w:rsidRPr="004B0CC3" w:rsidRDefault="004B0CC3" w:rsidP="004B0CC3">
      <w:pPr>
        <w:pStyle w:val="HSCNormal"/>
        <w:rPr>
          <w:rFonts w:cs="Calibri"/>
        </w:rPr>
      </w:pPr>
      <w:r w:rsidRPr="004B0CC3">
        <w:rPr>
          <w:rFonts w:cs="Calibri"/>
        </w:rPr>
        <w:t>For patients who are determined to be low risk on the assessment tool, the following services are included on these lines:</w:t>
      </w:r>
    </w:p>
    <w:p w14:paraId="006E1996" w14:textId="77777777" w:rsidR="004B0CC3" w:rsidRPr="004B0CC3" w:rsidRDefault="004B0CC3" w:rsidP="004B0CC3">
      <w:pPr>
        <w:pStyle w:val="HSCNormal"/>
        <w:numPr>
          <w:ilvl w:val="0"/>
          <w:numId w:val="45"/>
        </w:numPr>
        <w:rPr>
          <w:rFonts w:cs="Calibri"/>
        </w:rPr>
      </w:pPr>
      <w:r w:rsidRPr="004B0CC3">
        <w:rPr>
          <w:rFonts w:cs="Calibri"/>
        </w:rPr>
        <w:t xml:space="preserve">Office evaluation and education, </w:t>
      </w:r>
    </w:p>
    <w:p w14:paraId="1AD84BF6" w14:textId="77777777" w:rsidR="004B0CC3" w:rsidRPr="004B0CC3" w:rsidRDefault="004B0CC3" w:rsidP="004B0CC3">
      <w:pPr>
        <w:pStyle w:val="HSCNormal"/>
        <w:numPr>
          <w:ilvl w:val="0"/>
          <w:numId w:val="45"/>
        </w:numPr>
        <w:rPr>
          <w:rFonts w:cs="Calibri"/>
        </w:rPr>
      </w:pPr>
      <w:r w:rsidRPr="004B0CC3">
        <w:rPr>
          <w:rFonts w:cs="Calibri"/>
        </w:rPr>
        <w:t>Up to four total visits, consisting of the following treatments: OMT/CMT, acupuncture, and PT/OT. Massage, if available, may be provided as part of these four total visits.</w:t>
      </w:r>
    </w:p>
    <w:p w14:paraId="76E6E63F" w14:textId="77777777" w:rsidR="004B0CC3" w:rsidRPr="004B0CC3" w:rsidRDefault="004B0CC3" w:rsidP="004B0CC3">
      <w:pPr>
        <w:pStyle w:val="HSCNormal"/>
        <w:numPr>
          <w:ilvl w:val="0"/>
          <w:numId w:val="45"/>
        </w:numPr>
        <w:rPr>
          <w:rFonts w:cs="Calibri"/>
        </w:rPr>
      </w:pPr>
      <w:r w:rsidRPr="004B0CC3">
        <w:rPr>
          <w:rFonts w:cs="Calibri"/>
        </w:rPr>
        <w:t>First line medications: NSAIDs, acetaminophen, and/or muscle relaxers. Opioids may be considered as a second line treatment, subject to the limitations on coverage of opioids in Guideline Note 60 OPIOIDS FOR CONDITIONS OF THE BACK AND SPINE.</w:t>
      </w:r>
    </w:p>
    <w:p w14:paraId="131BE7FA" w14:textId="77777777" w:rsidR="004B0CC3" w:rsidRPr="004B0CC3" w:rsidRDefault="004B0CC3" w:rsidP="004B0CC3">
      <w:pPr>
        <w:pStyle w:val="HSCNormal"/>
        <w:rPr>
          <w:rFonts w:cs="Calibri"/>
        </w:rPr>
      </w:pPr>
    </w:p>
    <w:p w14:paraId="309F1F0A" w14:textId="77777777" w:rsidR="004B0CC3" w:rsidRPr="004B0CC3" w:rsidRDefault="004B0CC3" w:rsidP="004B0CC3">
      <w:pPr>
        <w:pStyle w:val="HSCNormal"/>
        <w:rPr>
          <w:rFonts w:cs="Calibri"/>
        </w:rPr>
      </w:pPr>
      <w:r w:rsidRPr="004B0CC3">
        <w:rPr>
          <w:rFonts w:cs="Calibri"/>
        </w:rPr>
        <w:t>For patients who are determined to be medium- or high risk on the validated assessment tool, as well as patients undergoing opioid tapers as in Guideline Note 60 OPIOIDS FOR CONDITIONS OF THE BACK AND SPINE, the following treatments are included on these lines:</w:t>
      </w:r>
    </w:p>
    <w:p w14:paraId="63768578" w14:textId="77777777" w:rsidR="004B0CC3" w:rsidRPr="004B0CC3" w:rsidRDefault="004B0CC3" w:rsidP="004B0CC3">
      <w:pPr>
        <w:pStyle w:val="HSCNormal"/>
        <w:numPr>
          <w:ilvl w:val="0"/>
          <w:numId w:val="45"/>
        </w:numPr>
        <w:rPr>
          <w:rFonts w:cs="Calibri"/>
        </w:rPr>
      </w:pPr>
      <w:r w:rsidRPr="004B0CC3">
        <w:rPr>
          <w:rFonts w:cs="Calibri"/>
        </w:rPr>
        <w:t xml:space="preserve">Office evaluation, consultation and education </w:t>
      </w:r>
    </w:p>
    <w:p w14:paraId="54EB2755" w14:textId="77777777" w:rsidR="004B0CC3" w:rsidRPr="004B0CC3" w:rsidRDefault="004B0CC3" w:rsidP="004B0CC3">
      <w:pPr>
        <w:pStyle w:val="HSCNormal"/>
        <w:numPr>
          <w:ilvl w:val="0"/>
          <w:numId w:val="45"/>
        </w:numPr>
        <w:rPr>
          <w:rFonts w:cs="Calibri"/>
        </w:rPr>
      </w:pPr>
      <w:r w:rsidRPr="004B0CC3">
        <w:rPr>
          <w:rFonts w:cs="Calibri"/>
        </w:rPr>
        <w:t>Cognitive behavioral therapy. The necessity for cognitive behavioral therapy should be re-evaluated every 90 days and coverage will only be continued if there is documented evidence of decreasing depression or anxiety symptomatology, improved ability to work/function, increased self-efficacy, or other clinically significant, objective improvement.</w:t>
      </w:r>
    </w:p>
    <w:p w14:paraId="5C50C071" w14:textId="77777777" w:rsidR="004B0CC3" w:rsidRPr="004B0CC3" w:rsidRDefault="004B0CC3" w:rsidP="004B0CC3">
      <w:pPr>
        <w:pStyle w:val="HSCNormal"/>
        <w:numPr>
          <w:ilvl w:val="0"/>
          <w:numId w:val="45"/>
        </w:numPr>
        <w:rPr>
          <w:rFonts w:cs="Calibri"/>
        </w:rPr>
      </w:pPr>
      <w:r w:rsidRPr="004B0CC3">
        <w:rPr>
          <w:rFonts w:cs="Calibri"/>
        </w:rPr>
        <w:t>Prescription and over-the-counter medications; opioid medications subject to the limitations on coverage of opioids in Guideline Note 60 OPIOIDS FOR CONDITIONS OF THE BACK AND SPINE.</w:t>
      </w:r>
    </w:p>
    <w:p w14:paraId="20F3A3B7" w14:textId="77777777" w:rsidR="004B0CC3" w:rsidRPr="004B0CC3" w:rsidRDefault="004B0CC3" w:rsidP="004B0CC3">
      <w:pPr>
        <w:pStyle w:val="HSCNormal"/>
        <w:numPr>
          <w:ilvl w:val="0"/>
          <w:numId w:val="45"/>
        </w:numPr>
        <w:rPr>
          <w:rFonts w:cs="Calibri"/>
        </w:rPr>
      </w:pPr>
      <w:r w:rsidRPr="004B0CC3">
        <w:rPr>
          <w:rFonts w:cs="Calibri"/>
        </w:rPr>
        <w:t>The following evidence-based therapies, when available, may be provided: yoga, massage when not billed under 97124 and limited to one session per week, Pilates, supervised exercise therapy, intensive interdisciplinary rehabilitation. HCPCS S9451 is only included on Line 399 for the provision of yoga or supervised exercise therapy.</w:t>
      </w:r>
    </w:p>
    <w:p w14:paraId="3DDC7634" w14:textId="77777777" w:rsidR="004B0CC3" w:rsidRPr="004B0CC3" w:rsidRDefault="004B0CC3" w:rsidP="004B0CC3">
      <w:pPr>
        <w:pStyle w:val="HSCNormal"/>
        <w:numPr>
          <w:ilvl w:val="0"/>
          <w:numId w:val="45"/>
        </w:numPr>
        <w:rPr>
          <w:rFonts w:cs="Calibri"/>
        </w:rPr>
      </w:pPr>
      <w:r w:rsidRPr="004B0CC3">
        <w:rPr>
          <w:rFonts w:cs="Calibri"/>
        </w:rPr>
        <w:t>A total of 30 visits per year of any combination of the following evidence-based therapies when available and medically appropriate. These therapies are only included on these lines if provided by a provider licensed to provide the therapy and when there is documentation of measurable clinically significant progress toward the therapy plan of care goals and objectives using evidence based objective tools (e.g. Oswestry, Neck Disability Index, SF-MPQ, and MSPQ).</w:t>
      </w:r>
    </w:p>
    <w:p w14:paraId="4DAF70BF" w14:textId="77777777" w:rsidR="004B0CC3" w:rsidRPr="004B0CC3" w:rsidRDefault="004B0CC3" w:rsidP="004B0CC3">
      <w:pPr>
        <w:pStyle w:val="HSCNormal"/>
        <w:numPr>
          <w:ilvl w:val="0"/>
          <w:numId w:val="46"/>
        </w:numPr>
        <w:rPr>
          <w:rFonts w:cs="Calibri"/>
        </w:rPr>
      </w:pPr>
      <w:r w:rsidRPr="004B0CC3">
        <w:rPr>
          <w:rFonts w:cs="Calibri"/>
        </w:rPr>
        <w:t>Rehabilitative therapy (physical and/or occupational therapy), if provided according to Guideline Note 6 REHABILITATIVE AND HABILITATIVE THERAPIES. Rehabilitation services provided under this guideline also count towards visit totals in Guideline Note 6. Massage billed under CPT 97124 is included in this category and is subject to the restrictions on massage in Guideline Note 6.</w:t>
      </w:r>
    </w:p>
    <w:p w14:paraId="5E8530A4" w14:textId="77777777" w:rsidR="004B0CC3" w:rsidRPr="004B0CC3" w:rsidRDefault="004B0CC3" w:rsidP="004B0CC3">
      <w:pPr>
        <w:pStyle w:val="HSCNormal"/>
        <w:numPr>
          <w:ilvl w:val="0"/>
          <w:numId w:val="46"/>
        </w:numPr>
        <w:rPr>
          <w:rFonts w:cs="Calibri"/>
        </w:rPr>
      </w:pPr>
      <w:r w:rsidRPr="004B0CC3">
        <w:rPr>
          <w:rFonts w:cs="Calibri"/>
        </w:rPr>
        <w:t xml:space="preserve">Chiropractic or osteopathic manipulation </w:t>
      </w:r>
    </w:p>
    <w:p w14:paraId="36A7FAF1" w14:textId="77777777" w:rsidR="004B0CC3" w:rsidRPr="004B0CC3" w:rsidRDefault="004B0CC3" w:rsidP="004B0CC3">
      <w:pPr>
        <w:pStyle w:val="HSCNormal"/>
        <w:numPr>
          <w:ilvl w:val="0"/>
          <w:numId w:val="46"/>
        </w:numPr>
        <w:rPr>
          <w:rFonts w:cs="Calibri"/>
        </w:rPr>
      </w:pPr>
      <w:r w:rsidRPr="004B0CC3">
        <w:rPr>
          <w:rFonts w:cs="Calibri"/>
        </w:rPr>
        <w:t>Acupuncture</w:t>
      </w:r>
    </w:p>
    <w:p w14:paraId="6552B096" w14:textId="77777777" w:rsidR="004B0CC3" w:rsidRPr="004B0CC3" w:rsidRDefault="004B0CC3" w:rsidP="004B0CC3">
      <w:pPr>
        <w:pStyle w:val="HSCNormal"/>
        <w:rPr>
          <w:rFonts w:cs="Calibri"/>
        </w:rPr>
      </w:pPr>
    </w:p>
    <w:p w14:paraId="304D5DCF" w14:textId="77777777" w:rsidR="004B0CC3" w:rsidRPr="004B0CC3" w:rsidRDefault="004B0CC3" w:rsidP="004B0CC3">
      <w:pPr>
        <w:pStyle w:val="HSCNormal"/>
        <w:rPr>
          <w:rFonts w:cs="Calibri"/>
        </w:rPr>
      </w:pPr>
      <w:r w:rsidRPr="004B0CC3">
        <w:rPr>
          <w:rFonts w:cs="Calibri"/>
        </w:rPr>
        <w:t>Mechanical traction (CPT 97012) is not included on these lines, due to evidence of lack of effectiveness for treatment of back and neck conditions.</w:t>
      </w:r>
    </w:p>
    <w:p w14:paraId="23149695" w14:textId="77777777" w:rsidR="004B0CC3" w:rsidRPr="004B0CC3" w:rsidRDefault="004B0CC3" w:rsidP="004B0CC3">
      <w:pPr>
        <w:pStyle w:val="HSCNormal"/>
        <w:rPr>
          <w:rFonts w:cs="Calibri"/>
        </w:rPr>
      </w:pPr>
    </w:p>
    <w:p w14:paraId="67E1976F" w14:textId="77777777" w:rsidR="004B0CC3" w:rsidRPr="004B0CC3" w:rsidRDefault="004B0CC3" w:rsidP="004B0CC3">
      <w:pPr>
        <w:pStyle w:val="HSCNormal"/>
        <w:rPr>
          <w:rFonts w:cs="Calibri"/>
          <w:color w:val="0000FF"/>
          <w:u w:val="single"/>
        </w:rPr>
      </w:pPr>
      <w:r w:rsidRPr="004B0CC3">
        <w:rPr>
          <w:rFonts w:cs="Calibri"/>
        </w:rPr>
        <w:t xml:space="preserve">The development of this guideline note was informed by HERC coverage guidances on </w:t>
      </w:r>
      <w:hyperlink r:id="rId11" w:history="1">
        <w:r w:rsidRPr="004B0CC3">
          <w:rPr>
            <w:rStyle w:val="Hyperlink"/>
            <w:rFonts w:cs="Calibri"/>
          </w:rPr>
          <w:t>Low Back Pain Non-Pharmacologic, Non-Invasive Intervention</w:t>
        </w:r>
      </w:hyperlink>
      <w:r w:rsidRPr="004B0CC3">
        <w:rPr>
          <w:rFonts w:cs="Calibri"/>
        </w:rPr>
        <w:t xml:space="preserve">, </w:t>
      </w:r>
      <w:hyperlink r:id="rId12" w:history="1">
        <w:r w:rsidRPr="004B0CC3">
          <w:rPr>
            <w:rStyle w:val="Hyperlink"/>
            <w:rFonts w:cs="Calibri"/>
          </w:rPr>
          <w:t>Low Back Pain, Pharmacological and Herbal Therapies</w:t>
        </w:r>
      </w:hyperlink>
      <w:r w:rsidRPr="004B0CC3">
        <w:rPr>
          <w:rFonts w:cs="Calibri"/>
        </w:rPr>
        <w:t xml:space="preserve">. See </w:t>
      </w:r>
      <w:hyperlink r:id="rId13" w:history="1">
        <w:r w:rsidRPr="004B0CC3">
          <w:rPr>
            <w:rStyle w:val="Hyperlink"/>
            <w:rFonts w:cs="Calibri"/>
          </w:rPr>
          <w:t>https://www.oregon.gov/oha/HPA/DSI-HERC/Pages/Evidence-based-Reports.aspx</w:t>
        </w:r>
      </w:hyperlink>
    </w:p>
    <w:p w14:paraId="547B7E33" w14:textId="77777777" w:rsidR="004B0CC3" w:rsidRPr="004B0CC3" w:rsidRDefault="004B0CC3" w:rsidP="004B0CC3">
      <w:pPr>
        <w:pStyle w:val="HSCNormal"/>
        <w:spacing w:after="320"/>
        <w:rPr>
          <w:rFonts w:cs="Calibri"/>
        </w:rPr>
      </w:pPr>
      <w:r w:rsidRPr="004B0CC3">
        <w:rPr>
          <w:rFonts w:cs="Calibri"/>
        </w:rPr>
        <w:t xml:space="preserve"> </w:t>
      </w:r>
    </w:p>
    <w:p w14:paraId="6F3D1880" w14:textId="77777777" w:rsidR="004B0CC3" w:rsidRPr="004B0CC3" w:rsidRDefault="004B0CC3" w:rsidP="004B0CC3">
      <w:pPr>
        <w:rPr>
          <w:rFonts w:cs="Calibri"/>
        </w:rPr>
      </w:pPr>
    </w:p>
    <w:p w14:paraId="2DA4D120" w14:textId="535B4399" w:rsidR="00EE19D1" w:rsidRPr="004B0CC3" w:rsidRDefault="00EE19D1" w:rsidP="004B0CC3">
      <w:pPr>
        <w:rPr>
          <w:rFonts w:cs="Calibri"/>
        </w:rPr>
      </w:pPr>
    </w:p>
    <w:sectPr w:rsidR="00EE19D1" w:rsidRPr="004B0CC3" w:rsidSect="00A06407">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3A21B5D"/>
    <w:multiLevelType w:val="multilevel"/>
    <w:tmpl w:val="5F861B04"/>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8409D4"/>
    <w:multiLevelType w:val="multilevel"/>
    <w:tmpl w:val="4E62598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DD616D"/>
    <w:multiLevelType w:val="hybridMultilevel"/>
    <w:tmpl w:val="A0C8BC7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3489"/>
    <w:multiLevelType w:val="multilevel"/>
    <w:tmpl w:val="60A65B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216E1"/>
    <w:multiLevelType w:val="hybridMultilevel"/>
    <w:tmpl w:val="C812E1B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42FD"/>
    <w:multiLevelType w:val="multilevel"/>
    <w:tmpl w:val="D944AB4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E4939"/>
    <w:multiLevelType w:val="hybridMultilevel"/>
    <w:tmpl w:val="6AB8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F082F"/>
    <w:multiLevelType w:val="multilevel"/>
    <w:tmpl w:val="DDC8D4C6"/>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FE3862"/>
    <w:multiLevelType w:val="hybridMultilevel"/>
    <w:tmpl w:val="AA4252A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80D52"/>
    <w:multiLevelType w:val="hybridMultilevel"/>
    <w:tmpl w:val="58D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3629B"/>
    <w:multiLevelType w:val="multilevel"/>
    <w:tmpl w:val="758A95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EF6D28"/>
    <w:multiLevelType w:val="multilevel"/>
    <w:tmpl w:val="ED322E3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6C2428"/>
    <w:multiLevelType w:val="multilevel"/>
    <w:tmpl w:val="47420184"/>
    <w:lvl w:ilvl="0">
      <w:start w:val="1"/>
      <w:numFmt w:val="decimal"/>
      <w:lvlText w:val="%1)"/>
      <w:lvlJc w:val="left"/>
      <w:pPr>
        <w:tabs>
          <w:tab w:val="num" w:pos="1080"/>
        </w:tabs>
        <w:ind w:left="1080" w:hanging="360"/>
      </w:pPr>
      <w:rPr>
        <w:rFonts w:hint="default"/>
        <w:b w:val="0"/>
        <w:i w:val="0"/>
        <w:sz w:val="24"/>
      </w:rPr>
    </w:lvl>
    <w:lvl w:ilvl="1">
      <w:start w:val="1"/>
      <w:numFmt w:val="decimal"/>
      <w:lvlText w:val="%2)"/>
      <w:lvlJc w:val="left"/>
      <w:pPr>
        <w:tabs>
          <w:tab w:val="num" w:pos="1440"/>
        </w:tabs>
        <w:ind w:left="1440" w:hanging="360"/>
      </w:pPr>
      <w:rPr>
        <w:rFonts w:ascii="Arial" w:hAnsi="Arial" w:hint="default"/>
        <w:b w:val="0"/>
        <w:i w:val="0"/>
        <w:sz w:val="16"/>
      </w:rPr>
    </w:lvl>
    <w:lvl w:ilvl="2">
      <w:start w:val="1"/>
      <w:numFmt w:val="lowerLetter"/>
      <w:lvlText w:val="%3)"/>
      <w:lvlJc w:val="left"/>
      <w:pPr>
        <w:tabs>
          <w:tab w:val="num" w:pos="1800"/>
        </w:tabs>
        <w:ind w:left="1800" w:hanging="360"/>
      </w:pPr>
      <w:rPr>
        <w:rFonts w:ascii="Arial" w:hAnsi="Arial" w:hint="default"/>
        <w:b w:val="0"/>
        <w:i w:val="0"/>
        <w:sz w:val="16"/>
      </w:rPr>
    </w:lvl>
    <w:lvl w:ilvl="3">
      <w:start w:val="1"/>
      <w:numFmt w:val="lowerRoman"/>
      <w:lvlText w:val="%4)"/>
      <w:lvlJc w:val="left"/>
      <w:pPr>
        <w:tabs>
          <w:tab w:val="num" w:pos="2160"/>
        </w:tabs>
        <w:ind w:left="2160" w:hanging="360"/>
      </w:pPr>
      <w:rPr>
        <w:rFonts w:ascii="Arial" w:hAnsi="Arial" w:hint="default"/>
        <w:b w:val="0"/>
        <w:i w:val="0"/>
        <w:sz w:val="16"/>
      </w:rPr>
    </w:lvl>
    <w:lvl w:ilvl="4">
      <w:start w:val="1"/>
      <w:numFmt w:val="lowerLetter"/>
      <w:lvlText w:val="(%5)"/>
      <w:lvlJc w:val="left"/>
      <w:pPr>
        <w:tabs>
          <w:tab w:val="num" w:pos="2520"/>
        </w:tabs>
        <w:ind w:left="2520" w:hanging="360"/>
      </w:pPr>
      <w:rPr>
        <w:rFonts w:ascii="Courier New" w:hAnsi="Courier New" w:hint="default"/>
        <w:b/>
        <w:i w:val="0"/>
        <w:sz w:val="16"/>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2EF0574D"/>
    <w:multiLevelType w:val="multilevel"/>
    <w:tmpl w:val="295026D2"/>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Calibri" w:eastAsia="Times New Roman" w:hAnsi="Calibri" w:cs="Calibri"/>
      </w:rPr>
    </w:lvl>
    <w:lvl w:ilvl="2">
      <w:start w:val="1"/>
      <w:numFmt w:val="decimal"/>
      <w:lvlText w:val="%3)"/>
      <w:lvlJc w:val="left"/>
      <w:pPr>
        <w:tabs>
          <w:tab w:val="num" w:pos="1080"/>
        </w:tabs>
        <w:ind w:left="1080" w:hanging="360"/>
      </w:pPr>
      <w:rPr>
        <w:rFonts w:ascii="Calibri" w:eastAsia="Times New Roman" w:hAnsi="Calibri" w:cs="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060878"/>
    <w:multiLevelType w:val="multilevel"/>
    <w:tmpl w:val="DE2E2D88"/>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6281"/>
    <w:multiLevelType w:val="hybridMultilevel"/>
    <w:tmpl w:val="96443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168F9"/>
    <w:multiLevelType w:val="multilevel"/>
    <w:tmpl w:val="872AEB2A"/>
    <w:lvl w:ilvl="0">
      <w:start w:val="1"/>
      <w:numFmt w:val="decimal"/>
      <w:lvlText w:val="%1)"/>
      <w:lvlJc w:val="left"/>
      <w:pPr>
        <w:tabs>
          <w:tab w:val="num" w:pos="720"/>
        </w:tabs>
        <w:ind w:left="720" w:hanging="360"/>
      </w:pPr>
      <w:rPr>
        <w:rFonts w:hint="default"/>
        <w:b w:val="0"/>
        <w:i w:val="0"/>
        <w:sz w:val="16"/>
      </w:rPr>
    </w:lvl>
    <w:lvl w:ilvl="1">
      <w:start w:val="1"/>
      <w:numFmt w:val="upperLetter"/>
      <w:lvlText w:val="%2)"/>
      <w:lvlJc w:val="left"/>
      <w:pPr>
        <w:tabs>
          <w:tab w:val="num" w:pos="1080"/>
        </w:tabs>
        <w:ind w:left="108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3D61DEC"/>
    <w:multiLevelType w:val="multilevel"/>
    <w:tmpl w:val="6DA6DDB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996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293F1D"/>
    <w:multiLevelType w:val="multilevel"/>
    <w:tmpl w:val="0409001D"/>
    <w:numStyleLink w:val="1ai"/>
  </w:abstractNum>
  <w:abstractNum w:abstractNumId="28"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76C12"/>
    <w:multiLevelType w:val="multilevel"/>
    <w:tmpl w:val="24985FC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4F4580A"/>
    <w:multiLevelType w:val="hybridMultilevel"/>
    <w:tmpl w:val="993A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6185B"/>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531F77"/>
    <w:multiLevelType w:val="multilevel"/>
    <w:tmpl w:val="E392F2E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F4E18"/>
    <w:multiLevelType w:val="multilevel"/>
    <w:tmpl w:val="0BAABA0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551CF"/>
    <w:multiLevelType w:val="multilevel"/>
    <w:tmpl w:val="01741B7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0C57C09"/>
    <w:multiLevelType w:val="multilevel"/>
    <w:tmpl w:val="FA54329E"/>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37A6DE3"/>
    <w:multiLevelType w:val="multilevel"/>
    <w:tmpl w:val="6532AAB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7F4CBC"/>
    <w:multiLevelType w:val="hybridMultilevel"/>
    <w:tmpl w:val="38E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E2CE5"/>
    <w:multiLevelType w:val="hybridMultilevel"/>
    <w:tmpl w:val="4A98FB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4F5E5184">
      <w:start w:val="1"/>
      <w:numFmt w:val="upperLetter"/>
      <w:lvlText w:val="%5)"/>
      <w:lvlJc w:val="left"/>
      <w:pPr>
        <w:ind w:left="72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9"/>
  </w:num>
  <w:num w:numId="2" w16cid:durableId="309944727">
    <w:abstractNumId w:val="45"/>
  </w:num>
  <w:num w:numId="3" w16cid:durableId="210121214">
    <w:abstractNumId w:val="0"/>
  </w:num>
  <w:num w:numId="4" w16cid:durableId="1690333115">
    <w:abstractNumId w:val="36"/>
  </w:num>
  <w:num w:numId="5" w16cid:durableId="826164800">
    <w:abstractNumId w:val="11"/>
  </w:num>
  <w:num w:numId="6" w16cid:durableId="104203676">
    <w:abstractNumId w:val="20"/>
  </w:num>
  <w:num w:numId="7" w16cid:durableId="1243224123">
    <w:abstractNumId w:val="28"/>
  </w:num>
  <w:num w:numId="8" w16cid:durableId="1579242965">
    <w:abstractNumId w:val="44"/>
  </w:num>
  <w:num w:numId="9" w16cid:durableId="1578440477">
    <w:abstractNumId w:val="37"/>
  </w:num>
  <w:num w:numId="10" w16cid:durableId="1278441472">
    <w:abstractNumId w:val="2"/>
  </w:num>
  <w:num w:numId="11" w16cid:durableId="1964799004">
    <w:abstractNumId w:val="22"/>
  </w:num>
  <w:num w:numId="12" w16cid:durableId="464086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297554">
    <w:abstractNumId w:val="38"/>
  </w:num>
  <w:num w:numId="14" w16cid:durableId="651371775">
    <w:abstractNumId w:val="25"/>
  </w:num>
  <w:num w:numId="15" w16cid:durableId="105736294">
    <w:abstractNumId w:val="10"/>
  </w:num>
  <w:num w:numId="16" w16cid:durableId="790901109">
    <w:abstractNumId w:val="13"/>
  </w:num>
  <w:num w:numId="17" w16cid:durableId="1566800213">
    <w:abstractNumId w:val="21"/>
  </w:num>
  <w:num w:numId="18" w16cid:durableId="796527644">
    <w:abstractNumId w:val="6"/>
  </w:num>
  <w:num w:numId="19" w16cid:durableId="1720206214">
    <w:abstractNumId w:val="1"/>
  </w:num>
  <w:num w:numId="20" w16cid:durableId="329337800">
    <w:abstractNumId w:val="34"/>
  </w:num>
  <w:num w:numId="21" w16cid:durableId="2043700170">
    <w:abstractNumId w:val="39"/>
  </w:num>
  <w:num w:numId="22" w16cid:durableId="1721787811">
    <w:abstractNumId w:val="41"/>
  </w:num>
  <w:num w:numId="23" w16cid:durableId="1106001671">
    <w:abstractNumId w:val="4"/>
  </w:num>
  <w:num w:numId="24" w16cid:durableId="909198477">
    <w:abstractNumId w:val="33"/>
  </w:num>
  <w:num w:numId="25" w16cid:durableId="938030496">
    <w:abstractNumId w:val="29"/>
  </w:num>
  <w:num w:numId="26" w16cid:durableId="504788194">
    <w:abstractNumId w:val="17"/>
  </w:num>
  <w:num w:numId="27" w16cid:durableId="284583143">
    <w:abstractNumId w:val="32"/>
  </w:num>
  <w:num w:numId="28" w16cid:durableId="1956523112">
    <w:abstractNumId w:val="43"/>
  </w:num>
  <w:num w:numId="29" w16cid:durableId="635986618">
    <w:abstractNumId w:val="40"/>
  </w:num>
  <w:num w:numId="30" w16cid:durableId="134570168">
    <w:abstractNumId w:val="24"/>
  </w:num>
  <w:num w:numId="31" w16cid:durableId="1032152473">
    <w:abstractNumId w:val="15"/>
  </w:num>
  <w:num w:numId="32" w16cid:durableId="1199124639">
    <w:abstractNumId w:val="3"/>
  </w:num>
  <w:num w:numId="33" w16cid:durableId="1561478428">
    <w:abstractNumId w:val="14"/>
  </w:num>
  <w:num w:numId="34" w16cid:durableId="937064060">
    <w:abstractNumId w:val="7"/>
  </w:num>
  <w:num w:numId="35" w16cid:durableId="1297681752">
    <w:abstractNumId w:val="23"/>
  </w:num>
  <w:num w:numId="36" w16cid:durableId="1595355299">
    <w:abstractNumId w:val="30"/>
  </w:num>
  <w:num w:numId="37" w16cid:durableId="1580090295">
    <w:abstractNumId w:val="31"/>
  </w:num>
  <w:num w:numId="38" w16cid:durableId="1451970477">
    <w:abstractNumId w:val="26"/>
  </w:num>
  <w:num w:numId="39" w16cid:durableId="1488742141">
    <w:abstractNumId w:val="8"/>
  </w:num>
  <w:num w:numId="40" w16cid:durableId="1429425507">
    <w:abstractNumId w:val="5"/>
  </w:num>
  <w:num w:numId="41" w16cid:durableId="859396374">
    <w:abstractNumId w:val="42"/>
  </w:num>
  <w:num w:numId="42" w16cid:durableId="218321423">
    <w:abstractNumId w:val="27"/>
  </w:num>
  <w:num w:numId="43" w16cid:durableId="1598563422">
    <w:abstractNumId w:val="19"/>
  </w:num>
  <w:num w:numId="44" w16cid:durableId="11586158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9195123">
    <w:abstractNumId w:val="12"/>
  </w:num>
  <w:num w:numId="46" w16cid:durableId="33295144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1300B"/>
    <w:rsid w:val="00024D16"/>
    <w:rsid w:val="0003191F"/>
    <w:rsid w:val="00034DA2"/>
    <w:rsid w:val="00051F07"/>
    <w:rsid w:val="00062D99"/>
    <w:rsid w:val="000633E0"/>
    <w:rsid w:val="00066F07"/>
    <w:rsid w:val="00081A42"/>
    <w:rsid w:val="0008596C"/>
    <w:rsid w:val="0008670B"/>
    <w:rsid w:val="00087363"/>
    <w:rsid w:val="000939D4"/>
    <w:rsid w:val="00093B77"/>
    <w:rsid w:val="000E4EE6"/>
    <w:rsid w:val="000F0DDA"/>
    <w:rsid w:val="00101DE8"/>
    <w:rsid w:val="00106F41"/>
    <w:rsid w:val="001104DD"/>
    <w:rsid w:val="00112E35"/>
    <w:rsid w:val="00121C76"/>
    <w:rsid w:val="00125B69"/>
    <w:rsid w:val="00127706"/>
    <w:rsid w:val="00145AF5"/>
    <w:rsid w:val="00146B0B"/>
    <w:rsid w:val="00147501"/>
    <w:rsid w:val="00161173"/>
    <w:rsid w:val="00174B84"/>
    <w:rsid w:val="001851C7"/>
    <w:rsid w:val="001C0685"/>
    <w:rsid w:val="001C1AC2"/>
    <w:rsid w:val="001E0C1A"/>
    <w:rsid w:val="001E6492"/>
    <w:rsid w:val="001E665E"/>
    <w:rsid w:val="001F2924"/>
    <w:rsid w:val="001F3D7D"/>
    <w:rsid w:val="001F6631"/>
    <w:rsid w:val="00207D3E"/>
    <w:rsid w:val="00215625"/>
    <w:rsid w:val="00217CCF"/>
    <w:rsid w:val="00221598"/>
    <w:rsid w:val="0022405E"/>
    <w:rsid w:val="00233FAF"/>
    <w:rsid w:val="00235E63"/>
    <w:rsid w:val="002362AE"/>
    <w:rsid w:val="00241DFF"/>
    <w:rsid w:val="00242B6C"/>
    <w:rsid w:val="00250B2B"/>
    <w:rsid w:val="002567C3"/>
    <w:rsid w:val="00257633"/>
    <w:rsid w:val="00282F7B"/>
    <w:rsid w:val="00284E4F"/>
    <w:rsid w:val="00290648"/>
    <w:rsid w:val="00294366"/>
    <w:rsid w:val="002A421D"/>
    <w:rsid w:val="002B1AD7"/>
    <w:rsid w:val="002C2568"/>
    <w:rsid w:val="002C31C9"/>
    <w:rsid w:val="002C7FB2"/>
    <w:rsid w:val="002E7B3E"/>
    <w:rsid w:val="002F1F44"/>
    <w:rsid w:val="002F37E9"/>
    <w:rsid w:val="002F4236"/>
    <w:rsid w:val="002F57AB"/>
    <w:rsid w:val="00313C24"/>
    <w:rsid w:val="0032160A"/>
    <w:rsid w:val="003345A0"/>
    <w:rsid w:val="0033513D"/>
    <w:rsid w:val="00346BA9"/>
    <w:rsid w:val="00362566"/>
    <w:rsid w:val="00366EB8"/>
    <w:rsid w:val="00370424"/>
    <w:rsid w:val="0037388F"/>
    <w:rsid w:val="003A1B72"/>
    <w:rsid w:val="003A48AA"/>
    <w:rsid w:val="003B3891"/>
    <w:rsid w:val="003B473D"/>
    <w:rsid w:val="003D013C"/>
    <w:rsid w:val="003D0F65"/>
    <w:rsid w:val="003E1FC5"/>
    <w:rsid w:val="003E2BE9"/>
    <w:rsid w:val="003F289B"/>
    <w:rsid w:val="003F4AD9"/>
    <w:rsid w:val="003F4EAA"/>
    <w:rsid w:val="00410446"/>
    <w:rsid w:val="004149C6"/>
    <w:rsid w:val="00424A46"/>
    <w:rsid w:val="004305F7"/>
    <w:rsid w:val="00434A38"/>
    <w:rsid w:val="00441A01"/>
    <w:rsid w:val="004531D1"/>
    <w:rsid w:val="00473A94"/>
    <w:rsid w:val="0049417F"/>
    <w:rsid w:val="004A7235"/>
    <w:rsid w:val="004B0CC3"/>
    <w:rsid w:val="004C739A"/>
    <w:rsid w:val="004C7416"/>
    <w:rsid w:val="004D5309"/>
    <w:rsid w:val="004E4BCC"/>
    <w:rsid w:val="004E7751"/>
    <w:rsid w:val="004F6524"/>
    <w:rsid w:val="00506107"/>
    <w:rsid w:val="00522960"/>
    <w:rsid w:val="00531BDA"/>
    <w:rsid w:val="0053244B"/>
    <w:rsid w:val="005359C7"/>
    <w:rsid w:val="0053712E"/>
    <w:rsid w:val="00561E16"/>
    <w:rsid w:val="0056337E"/>
    <w:rsid w:val="00573586"/>
    <w:rsid w:val="005755F3"/>
    <w:rsid w:val="00577175"/>
    <w:rsid w:val="00580F8F"/>
    <w:rsid w:val="00584A4D"/>
    <w:rsid w:val="005912E3"/>
    <w:rsid w:val="00595E74"/>
    <w:rsid w:val="00597280"/>
    <w:rsid w:val="005979C1"/>
    <w:rsid w:val="005A1767"/>
    <w:rsid w:val="005B71A4"/>
    <w:rsid w:val="005C7381"/>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C453D"/>
    <w:rsid w:val="006C665B"/>
    <w:rsid w:val="006D16FC"/>
    <w:rsid w:val="006E4E93"/>
    <w:rsid w:val="006F055B"/>
    <w:rsid w:val="007018AC"/>
    <w:rsid w:val="00704160"/>
    <w:rsid w:val="0071276F"/>
    <w:rsid w:val="007233FA"/>
    <w:rsid w:val="00732921"/>
    <w:rsid w:val="007356F1"/>
    <w:rsid w:val="00735A34"/>
    <w:rsid w:val="00742D17"/>
    <w:rsid w:val="0074542B"/>
    <w:rsid w:val="00752E2C"/>
    <w:rsid w:val="00765591"/>
    <w:rsid w:val="00770E6A"/>
    <w:rsid w:val="00785B78"/>
    <w:rsid w:val="00786EB4"/>
    <w:rsid w:val="0078755C"/>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46C2E"/>
    <w:rsid w:val="00857157"/>
    <w:rsid w:val="008746C3"/>
    <w:rsid w:val="00874DB1"/>
    <w:rsid w:val="00882ADA"/>
    <w:rsid w:val="00890647"/>
    <w:rsid w:val="008A0C70"/>
    <w:rsid w:val="008C4145"/>
    <w:rsid w:val="008D5487"/>
    <w:rsid w:val="008F2511"/>
    <w:rsid w:val="008F257A"/>
    <w:rsid w:val="00915395"/>
    <w:rsid w:val="00927ADC"/>
    <w:rsid w:val="00941AE1"/>
    <w:rsid w:val="009532AE"/>
    <w:rsid w:val="00964474"/>
    <w:rsid w:val="00970AA4"/>
    <w:rsid w:val="00976107"/>
    <w:rsid w:val="009815CB"/>
    <w:rsid w:val="00983F76"/>
    <w:rsid w:val="00985891"/>
    <w:rsid w:val="00986468"/>
    <w:rsid w:val="00994D5A"/>
    <w:rsid w:val="00994F06"/>
    <w:rsid w:val="00997E1E"/>
    <w:rsid w:val="009B4C2A"/>
    <w:rsid w:val="009B7E14"/>
    <w:rsid w:val="009D1C62"/>
    <w:rsid w:val="009D341F"/>
    <w:rsid w:val="009E4892"/>
    <w:rsid w:val="009F04B1"/>
    <w:rsid w:val="009F2B34"/>
    <w:rsid w:val="009F5DE9"/>
    <w:rsid w:val="00A00E8E"/>
    <w:rsid w:val="00A01BE1"/>
    <w:rsid w:val="00A0390B"/>
    <w:rsid w:val="00A05F1F"/>
    <w:rsid w:val="00A06407"/>
    <w:rsid w:val="00A32DBD"/>
    <w:rsid w:val="00A45839"/>
    <w:rsid w:val="00A5567F"/>
    <w:rsid w:val="00A61C44"/>
    <w:rsid w:val="00A63C9D"/>
    <w:rsid w:val="00A648F7"/>
    <w:rsid w:val="00A73C21"/>
    <w:rsid w:val="00A97DE2"/>
    <w:rsid w:val="00AA2C21"/>
    <w:rsid w:val="00AC6424"/>
    <w:rsid w:val="00AE2BF8"/>
    <w:rsid w:val="00AE6680"/>
    <w:rsid w:val="00AF1D55"/>
    <w:rsid w:val="00B26A1F"/>
    <w:rsid w:val="00B31638"/>
    <w:rsid w:val="00B34BC0"/>
    <w:rsid w:val="00B41A58"/>
    <w:rsid w:val="00B43251"/>
    <w:rsid w:val="00B50775"/>
    <w:rsid w:val="00B5657E"/>
    <w:rsid w:val="00B72AEF"/>
    <w:rsid w:val="00B73AF0"/>
    <w:rsid w:val="00B82B0C"/>
    <w:rsid w:val="00B90818"/>
    <w:rsid w:val="00B944BC"/>
    <w:rsid w:val="00BA2E2F"/>
    <w:rsid w:val="00BB14B5"/>
    <w:rsid w:val="00BB5801"/>
    <w:rsid w:val="00BC01DD"/>
    <w:rsid w:val="00BE2049"/>
    <w:rsid w:val="00BF2C88"/>
    <w:rsid w:val="00BF2ECB"/>
    <w:rsid w:val="00C033F5"/>
    <w:rsid w:val="00C20B11"/>
    <w:rsid w:val="00C2263B"/>
    <w:rsid w:val="00C241EE"/>
    <w:rsid w:val="00C24423"/>
    <w:rsid w:val="00C35A14"/>
    <w:rsid w:val="00C366BD"/>
    <w:rsid w:val="00C4463D"/>
    <w:rsid w:val="00C46E39"/>
    <w:rsid w:val="00C509B8"/>
    <w:rsid w:val="00C51C06"/>
    <w:rsid w:val="00C7319F"/>
    <w:rsid w:val="00C74CFE"/>
    <w:rsid w:val="00C8096C"/>
    <w:rsid w:val="00C81805"/>
    <w:rsid w:val="00C83E43"/>
    <w:rsid w:val="00C92D56"/>
    <w:rsid w:val="00C94071"/>
    <w:rsid w:val="00CD6660"/>
    <w:rsid w:val="00CD746B"/>
    <w:rsid w:val="00CD7906"/>
    <w:rsid w:val="00CE66B6"/>
    <w:rsid w:val="00D06D6D"/>
    <w:rsid w:val="00D11FEE"/>
    <w:rsid w:val="00D17380"/>
    <w:rsid w:val="00D20D04"/>
    <w:rsid w:val="00D3359B"/>
    <w:rsid w:val="00D33D72"/>
    <w:rsid w:val="00D34794"/>
    <w:rsid w:val="00D505C8"/>
    <w:rsid w:val="00D57DD3"/>
    <w:rsid w:val="00D60314"/>
    <w:rsid w:val="00D67D97"/>
    <w:rsid w:val="00D77743"/>
    <w:rsid w:val="00D91C43"/>
    <w:rsid w:val="00D941C7"/>
    <w:rsid w:val="00D974CB"/>
    <w:rsid w:val="00DC29A3"/>
    <w:rsid w:val="00DC4D21"/>
    <w:rsid w:val="00DD457E"/>
    <w:rsid w:val="00DD7721"/>
    <w:rsid w:val="00DD7ED0"/>
    <w:rsid w:val="00DE7B3B"/>
    <w:rsid w:val="00E12A21"/>
    <w:rsid w:val="00E13947"/>
    <w:rsid w:val="00E25B1C"/>
    <w:rsid w:val="00E34570"/>
    <w:rsid w:val="00E37246"/>
    <w:rsid w:val="00E659B0"/>
    <w:rsid w:val="00E82B61"/>
    <w:rsid w:val="00E927F8"/>
    <w:rsid w:val="00EA610E"/>
    <w:rsid w:val="00EB22E6"/>
    <w:rsid w:val="00EB3E71"/>
    <w:rsid w:val="00EC080D"/>
    <w:rsid w:val="00EC3B5C"/>
    <w:rsid w:val="00EC42D7"/>
    <w:rsid w:val="00ED1A95"/>
    <w:rsid w:val="00EE19D1"/>
    <w:rsid w:val="00EE67CE"/>
    <w:rsid w:val="00EF3BC6"/>
    <w:rsid w:val="00F162E8"/>
    <w:rsid w:val="00F37F0D"/>
    <w:rsid w:val="00F51267"/>
    <w:rsid w:val="00F564E6"/>
    <w:rsid w:val="00F71690"/>
    <w:rsid w:val="00F802FA"/>
    <w:rsid w:val="00F82445"/>
    <w:rsid w:val="00F952D0"/>
    <w:rsid w:val="00F95C19"/>
    <w:rsid w:val="00FA5C1E"/>
    <w:rsid w:val="00FB0CFD"/>
    <w:rsid w:val="00FB73F9"/>
    <w:rsid w:val="00FB7A1B"/>
    <w:rsid w:val="00FB7E31"/>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PA/DSI-HERC/Pages/Evidence-based-Report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ha/HPA/DSI-HERC/EvidenceBasedReports/Low-Back-Pain-Pharmacologic-Interventions-Final-11-13-1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HERC/EvidenceBasedReports/Low-Back-Pain-Non-Pharmacologic-Non-Invasive-Interventions-11-13-1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59D91AC5-9E75-4E45-855F-3EC03690A4EE}"/>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2025-01-07T00:49:00Z</dcterms:created>
  <dcterms:modified xsi:type="dcterms:W3CDTF">2025-01-07T00:49:00Z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