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6A6B" w14:textId="77777777" w:rsidR="00301B97" w:rsidRPr="00301B97" w:rsidRDefault="00301B97" w:rsidP="00301B97">
      <w:pPr>
        <w:pStyle w:val="Heading1"/>
        <w:rPr>
          <w:rFonts w:cs="Calibri"/>
        </w:rPr>
      </w:pPr>
      <w:bookmarkStart w:id="0" w:name="GuidelineNote0178"/>
      <w:r w:rsidRPr="00301B97">
        <w:rPr>
          <w:rFonts w:cs="Calibri"/>
        </w:rPr>
        <w:t xml:space="preserve">GUIDELINE NOTE 178, SPINAL CORD STIMULATOR THERAPY </w:t>
      </w:r>
      <w:bookmarkEnd w:id="0"/>
    </w:p>
    <w:p w14:paraId="7F1E7617" w14:textId="77777777" w:rsidR="00301B97" w:rsidRPr="00301B97" w:rsidRDefault="00301B97" w:rsidP="00301B97">
      <w:pPr>
        <w:pStyle w:val="HSCGLLineList"/>
        <w:rPr>
          <w:rFonts w:cs="Calibri"/>
        </w:rPr>
      </w:pPr>
      <w:r w:rsidRPr="00301B97">
        <w:rPr>
          <w:rFonts w:cs="Calibri"/>
        </w:rPr>
        <w:t>Lines 290,​343,​517</w:t>
      </w:r>
    </w:p>
    <w:p w14:paraId="4EA54DC9" w14:textId="77777777" w:rsidR="00301B97" w:rsidRPr="00301B97" w:rsidRDefault="00301B97" w:rsidP="00301B97">
      <w:pPr>
        <w:pStyle w:val="HSCNormal"/>
        <w:rPr>
          <w:rFonts w:cs="Calibri"/>
        </w:rPr>
      </w:pPr>
      <w:r w:rsidRPr="00301B97">
        <w:rPr>
          <w:rFonts w:cs="Calibri"/>
        </w:rPr>
        <w:t>A spinal cord stimulator trial is included on Lines 290 and 343 only when a patient meets all of the following criteria:</w:t>
      </w:r>
    </w:p>
    <w:p w14:paraId="36A5F48F" w14:textId="77777777" w:rsidR="00301B97" w:rsidRPr="00301B97" w:rsidRDefault="00301B97" w:rsidP="00301B97">
      <w:pPr>
        <w:pStyle w:val="HSCNormal"/>
        <w:numPr>
          <w:ilvl w:val="0"/>
          <w:numId w:val="15"/>
        </w:numPr>
        <w:rPr>
          <w:rFonts w:cs="Calibri"/>
        </w:rPr>
      </w:pPr>
      <w:r w:rsidRPr="00301B97">
        <w:rPr>
          <w:rFonts w:cs="Calibri"/>
        </w:rPr>
        <w:t>The patient has moderate to severe (&gt;5 on the VAS pain scale) neuropathic pain and objective neurologic impairment with documented pathology related to pain complaint (i.e., abnormal MRI). Neurologic impairment is defined as objective evidence of one or more of the following:</w:t>
      </w:r>
    </w:p>
    <w:p w14:paraId="17A3D1F1" w14:textId="77777777" w:rsidR="00301B97" w:rsidRPr="00301B97" w:rsidRDefault="00301B97" w:rsidP="00301B97">
      <w:pPr>
        <w:pStyle w:val="HSCNormal"/>
        <w:numPr>
          <w:ilvl w:val="1"/>
          <w:numId w:val="16"/>
        </w:numPr>
        <w:rPr>
          <w:rFonts w:cs="Calibri"/>
        </w:rPr>
      </w:pPr>
      <w:r w:rsidRPr="00301B97">
        <w:rPr>
          <w:rFonts w:cs="Calibri"/>
        </w:rPr>
        <w:t>Markedly abnormal reflexes</w:t>
      </w:r>
    </w:p>
    <w:p w14:paraId="02B9C2AD" w14:textId="77777777" w:rsidR="00301B97" w:rsidRPr="00301B97" w:rsidRDefault="00301B97" w:rsidP="00301B97">
      <w:pPr>
        <w:pStyle w:val="HSCNormal"/>
        <w:numPr>
          <w:ilvl w:val="1"/>
          <w:numId w:val="16"/>
        </w:numPr>
        <w:rPr>
          <w:rFonts w:cs="Calibri"/>
        </w:rPr>
      </w:pPr>
      <w:r w:rsidRPr="00301B97">
        <w:rPr>
          <w:rFonts w:cs="Calibri"/>
        </w:rPr>
        <w:t>Segmental muscle weakness</w:t>
      </w:r>
    </w:p>
    <w:p w14:paraId="2B6E1C33" w14:textId="77777777" w:rsidR="00301B97" w:rsidRPr="00301B97" w:rsidRDefault="00301B97" w:rsidP="00301B97">
      <w:pPr>
        <w:pStyle w:val="HSCNormal"/>
        <w:numPr>
          <w:ilvl w:val="1"/>
          <w:numId w:val="16"/>
        </w:numPr>
        <w:rPr>
          <w:rFonts w:cs="Calibri"/>
        </w:rPr>
      </w:pPr>
      <w:r w:rsidRPr="00301B97">
        <w:rPr>
          <w:rFonts w:cs="Calibri"/>
        </w:rPr>
        <w:t>Segmental sensory loss</w:t>
      </w:r>
    </w:p>
    <w:p w14:paraId="3A3C9098" w14:textId="77777777" w:rsidR="00301B97" w:rsidRPr="00301B97" w:rsidRDefault="00301B97" w:rsidP="00301B97">
      <w:pPr>
        <w:pStyle w:val="HSCNormal"/>
        <w:numPr>
          <w:ilvl w:val="1"/>
          <w:numId w:val="16"/>
        </w:numPr>
        <w:rPr>
          <w:rFonts w:cs="Calibri"/>
        </w:rPr>
      </w:pPr>
      <w:r w:rsidRPr="00301B97">
        <w:rPr>
          <w:rFonts w:cs="Calibri"/>
        </w:rPr>
        <w:t>EMG or NCV evidence of nerve root impingement</w:t>
      </w:r>
    </w:p>
    <w:p w14:paraId="4083ED50" w14:textId="77777777" w:rsidR="00301B97" w:rsidRPr="00301B97" w:rsidRDefault="00301B97" w:rsidP="00301B97">
      <w:pPr>
        <w:pStyle w:val="HSCNormal"/>
        <w:numPr>
          <w:ilvl w:val="1"/>
          <w:numId w:val="16"/>
        </w:numPr>
        <w:rPr>
          <w:rFonts w:cs="Calibri"/>
        </w:rPr>
      </w:pPr>
      <w:r w:rsidRPr="00301B97">
        <w:rPr>
          <w:rFonts w:cs="Calibri"/>
        </w:rPr>
        <w:t>Cauda equina syndrome</w:t>
      </w:r>
    </w:p>
    <w:p w14:paraId="2033E497" w14:textId="77777777" w:rsidR="00301B97" w:rsidRPr="00301B97" w:rsidRDefault="00301B97" w:rsidP="00301B97">
      <w:pPr>
        <w:pStyle w:val="HSCNormal"/>
        <w:numPr>
          <w:ilvl w:val="1"/>
          <w:numId w:val="16"/>
        </w:numPr>
        <w:rPr>
          <w:rFonts w:cs="Calibri"/>
        </w:rPr>
      </w:pPr>
      <w:r w:rsidRPr="00301B97">
        <w:rPr>
          <w:rFonts w:cs="Calibri"/>
        </w:rPr>
        <w:t>Neurogenic bowel or bladder</w:t>
      </w:r>
    </w:p>
    <w:p w14:paraId="01D5361F" w14:textId="77777777" w:rsidR="00301B97" w:rsidRPr="00301B97" w:rsidRDefault="00301B97" w:rsidP="00301B97">
      <w:pPr>
        <w:pStyle w:val="HSCNormal"/>
        <w:numPr>
          <w:ilvl w:val="1"/>
          <w:numId w:val="16"/>
        </w:numPr>
        <w:rPr>
          <w:rFonts w:cs="Calibri"/>
        </w:rPr>
      </w:pPr>
      <w:r w:rsidRPr="00301B97">
        <w:rPr>
          <w:rFonts w:cs="Calibri"/>
        </w:rPr>
        <w:t>Long tract abnormalities; AND</w:t>
      </w:r>
    </w:p>
    <w:p w14:paraId="6B89FEC1" w14:textId="77777777" w:rsidR="00301B97" w:rsidRPr="00301B97" w:rsidRDefault="00301B97" w:rsidP="00301B97">
      <w:pPr>
        <w:pStyle w:val="HSCNormal"/>
        <w:numPr>
          <w:ilvl w:val="0"/>
          <w:numId w:val="15"/>
        </w:numPr>
        <w:rPr>
          <w:rFonts w:cs="Calibri"/>
        </w:rPr>
      </w:pPr>
      <w:r w:rsidRPr="00301B97">
        <w:rPr>
          <w:rFonts w:cs="Calibri"/>
        </w:rPr>
        <w:t>The patient has failed 12 or more months of other treatment modalities (e.g., pharmacological, surgical, physical therapy, cognitive therapy, and activity lifestyle modification); AND</w:t>
      </w:r>
    </w:p>
    <w:p w14:paraId="27FF1480" w14:textId="77777777" w:rsidR="00301B97" w:rsidRPr="00301B97" w:rsidRDefault="00301B97" w:rsidP="00301B97">
      <w:pPr>
        <w:pStyle w:val="HSCNormal"/>
        <w:numPr>
          <w:ilvl w:val="0"/>
          <w:numId w:val="15"/>
        </w:numPr>
        <w:rPr>
          <w:rFonts w:cs="Calibri"/>
        </w:rPr>
      </w:pPr>
      <w:r w:rsidRPr="00301B97">
        <w:rPr>
          <w:rFonts w:cs="Calibri"/>
        </w:rPr>
        <w:t xml:space="preserve">The patient has had an evaluation by a mental health provider (e.g., a face-to-face assessment with or without psychological questionnaires and/or psychological testing) which revealed no evidence of an inadequately controlled mental health problem (e.g., alcohol or drug dependence, depression, psychosis) and the patient receives written clearance from the mental health provider for device placement. </w:t>
      </w:r>
    </w:p>
    <w:p w14:paraId="7FC22992" w14:textId="77777777" w:rsidR="00301B97" w:rsidRPr="00301B97" w:rsidRDefault="00301B97" w:rsidP="00301B97">
      <w:pPr>
        <w:pStyle w:val="HSCNormal"/>
        <w:rPr>
          <w:rFonts w:cs="Calibri"/>
        </w:rPr>
      </w:pPr>
    </w:p>
    <w:p w14:paraId="56C1B349" w14:textId="77777777" w:rsidR="00301B97" w:rsidRPr="00301B97" w:rsidRDefault="00301B97" w:rsidP="00301B97">
      <w:pPr>
        <w:pStyle w:val="HSCNormal"/>
        <w:rPr>
          <w:rFonts w:cs="Calibri"/>
        </w:rPr>
      </w:pPr>
      <w:r w:rsidRPr="00301B97">
        <w:rPr>
          <w:rFonts w:cs="Calibri"/>
        </w:rPr>
        <w:t>Implantation of a spinal cord stimulator is included on Lines 290 and 343 when the trial criteria above are met and the patient experienced significant pain reduction (50% or more) with a 3-to-7-day trial of percutaneous spinal stimulation.</w:t>
      </w:r>
    </w:p>
    <w:p w14:paraId="6007CB10" w14:textId="77777777" w:rsidR="00301B97" w:rsidRPr="00301B97" w:rsidRDefault="00301B97" w:rsidP="00301B97">
      <w:pPr>
        <w:pStyle w:val="HSCNormal"/>
        <w:rPr>
          <w:rFonts w:cs="Calibri"/>
        </w:rPr>
      </w:pPr>
    </w:p>
    <w:p w14:paraId="260612F6" w14:textId="77777777" w:rsidR="00301B97" w:rsidRPr="00301B97" w:rsidRDefault="00301B97" w:rsidP="00301B97">
      <w:pPr>
        <w:pStyle w:val="HSCNormal"/>
        <w:rPr>
          <w:rFonts w:cs="Calibri"/>
        </w:rPr>
      </w:pPr>
      <w:r w:rsidRPr="00301B97">
        <w:rPr>
          <w:rFonts w:cs="Calibri"/>
        </w:rPr>
        <w:t>Spinal cord stimulation (CPT * 63650-63688) is not included on Line 290 when paired with ICD-10-CM category G90.5 Complex regional pain syndrome/reflex sympathetic dystrophy.</w:t>
      </w:r>
    </w:p>
    <w:p w14:paraId="52121B4B" w14:textId="77777777" w:rsidR="00301B97" w:rsidRPr="00301B97" w:rsidRDefault="00301B97" w:rsidP="00301B97">
      <w:pPr>
        <w:pStyle w:val="HSCNormal"/>
        <w:rPr>
          <w:rFonts w:cs="Calibri"/>
        </w:rPr>
      </w:pPr>
    </w:p>
    <w:p w14:paraId="1BADE15E" w14:textId="77777777" w:rsidR="00301B97" w:rsidRPr="00301B97" w:rsidRDefault="00301B97" w:rsidP="00301B97">
      <w:pPr>
        <w:pStyle w:val="HSCNormal"/>
        <w:rPr>
          <w:rFonts w:cs="Calibri"/>
        </w:rPr>
      </w:pPr>
      <w:r w:rsidRPr="00301B97">
        <w:rPr>
          <w:rFonts w:cs="Calibri"/>
        </w:rPr>
        <w:t>Replacement of a spinal cord stimulator is included on Lines 290 and 343 only for patients who:</w:t>
      </w:r>
    </w:p>
    <w:p w14:paraId="78AB93CF" w14:textId="77777777" w:rsidR="00301B97" w:rsidRPr="00301B97" w:rsidRDefault="00301B97" w:rsidP="00301B97">
      <w:pPr>
        <w:pStyle w:val="HSCNormal"/>
        <w:ind w:left="720"/>
        <w:rPr>
          <w:rFonts w:cs="Calibri"/>
        </w:rPr>
      </w:pPr>
      <w:r w:rsidRPr="00301B97">
        <w:rPr>
          <w:rFonts w:cs="Calibri"/>
        </w:rPr>
        <w:t>1)   meet the criteria for initial insertion above; AND</w:t>
      </w:r>
    </w:p>
    <w:p w14:paraId="69526309" w14:textId="77777777" w:rsidR="00301B97" w:rsidRPr="00301B97" w:rsidRDefault="00301B97" w:rsidP="00301B97">
      <w:pPr>
        <w:pStyle w:val="HSCNormal"/>
        <w:ind w:left="720"/>
        <w:rPr>
          <w:rFonts w:cs="Calibri"/>
        </w:rPr>
      </w:pPr>
      <w:r w:rsidRPr="00301B97">
        <w:rPr>
          <w:rFonts w:cs="Calibri"/>
        </w:rPr>
        <w:t>2)   have experienced significant pain reduction (50% or more) with the stimulator prior to its malfunction; AND</w:t>
      </w:r>
    </w:p>
    <w:p w14:paraId="18AE2D68" w14:textId="77777777" w:rsidR="00301B97" w:rsidRPr="00301B97" w:rsidRDefault="00301B97" w:rsidP="00301B97">
      <w:pPr>
        <w:pStyle w:val="HSCNormal"/>
        <w:ind w:left="720"/>
        <w:rPr>
          <w:rFonts w:cs="Calibri"/>
        </w:rPr>
      </w:pPr>
      <w:r w:rsidRPr="00301B97">
        <w:rPr>
          <w:rFonts w:cs="Calibri"/>
        </w:rPr>
        <w:t>3)   and the existing stimulator is no longer under warranty and cannot be repaired.</w:t>
      </w:r>
    </w:p>
    <w:p w14:paraId="6D10C027" w14:textId="77777777" w:rsidR="00301B97" w:rsidRPr="00301B97" w:rsidRDefault="00301B97" w:rsidP="00301B97">
      <w:pPr>
        <w:pStyle w:val="HSCNormal"/>
        <w:ind w:left="720"/>
        <w:rPr>
          <w:rFonts w:cs="Calibri"/>
        </w:rPr>
      </w:pPr>
    </w:p>
    <w:p w14:paraId="36A87C0C" w14:textId="77777777" w:rsidR="00301B97" w:rsidRPr="00301B97" w:rsidRDefault="00301B97" w:rsidP="00301B97">
      <w:pPr>
        <w:pStyle w:val="HSCNormal"/>
        <w:spacing w:after="320"/>
        <w:rPr>
          <w:rFonts w:cs="Calibri"/>
        </w:rPr>
      </w:pPr>
      <w:r w:rsidRPr="00301B97">
        <w:rPr>
          <w:rFonts w:cs="Calibri"/>
        </w:rPr>
        <w:t>Otherwise, spinal cord stimulation therapy is included on Line 517.</w:t>
      </w:r>
    </w:p>
    <w:p w14:paraId="4DD8D58C" w14:textId="77777777" w:rsidR="00301B97" w:rsidRPr="00301B97" w:rsidRDefault="00301B97" w:rsidP="00301B97">
      <w:pPr>
        <w:rPr>
          <w:rFonts w:cs="Calibri"/>
        </w:rPr>
      </w:pPr>
    </w:p>
    <w:p w14:paraId="573D7E45" w14:textId="2F0AD6A2" w:rsidR="00EE19D1" w:rsidRPr="00301B97" w:rsidRDefault="00EE19D1" w:rsidP="00301B97">
      <w:pPr>
        <w:rPr>
          <w:rFonts w:cs="Calibri"/>
        </w:rPr>
      </w:pPr>
    </w:p>
    <w:sectPr w:rsidR="00EE19D1" w:rsidRPr="00301B97"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47C3" w14:textId="77777777" w:rsidR="000A6DD4" w:rsidRDefault="000A6DD4">
      <w:r>
        <w:separator/>
      </w:r>
    </w:p>
  </w:endnote>
  <w:endnote w:type="continuationSeparator" w:id="0">
    <w:p w14:paraId="002899B6" w14:textId="77777777" w:rsidR="000A6DD4" w:rsidRDefault="000A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F798" w14:textId="77777777" w:rsidR="0008545F" w:rsidRDefault="0008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CCF5" w14:textId="77777777" w:rsidR="00EF41C4" w:rsidRPr="00EF41C4" w:rsidRDefault="00EF41C4" w:rsidP="00EF41C4">
    <w:pPr>
      <w:pStyle w:val="Footer"/>
      <w:ind w:right="-720"/>
      <w:rPr>
        <w:rFonts w:asciiTheme="minorHAnsi" w:hAnsiTheme="minorHAnsi" w:cstheme="minorHAnsi"/>
        <w:i/>
        <w:sz w:val="20"/>
      </w:rPr>
    </w:pPr>
    <w:r w:rsidRPr="00EF41C4">
      <w:rPr>
        <w:rFonts w:asciiTheme="minorHAnsi" w:hAnsiTheme="minorHAnsi" w:cstheme="minorHAnsi"/>
        <w:i/>
        <w:sz w:val="20"/>
      </w:rPr>
      <w:t>*CPT only copyright 2025 American Medical Association. All rights reserved.</w:t>
    </w:r>
  </w:p>
  <w:p w14:paraId="61539BFB" w14:textId="77777777" w:rsidR="00EF41C4" w:rsidRDefault="00EF41C4" w:rsidP="00EF41C4">
    <w:pPr>
      <w:pStyle w:val="Footer"/>
      <w:tabs>
        <w:tab w:val="clear" w:pos="4320"/>
        <w:tab w:val="clear" w:pos="8640"/>
        <w:tab w:val="right" w:pos="9360"/>
      </w:tabs>
      <w:ind w:right="-720"/>
      <w:rPr>
        <w:rFonts w:asciiTheme="minorHAnsi" w:hAnsiTheme="minorHAnsi" w:cstheme="minorHAnsi"/>
        <w:i/>
        <w:sz w:val="20"/>
      </w:rPr>
    </w:pPr>
    <w:r w:rsidRPr="00EF41C4">
      <w:rPr>
        <w:rFonts w:asciiTheme="minorHAnsi" w:hAnsiTheme="minorHAnsi" w:cstheme="minorHAnsi"/>
        <w:i/>
        <w:sz w:val="20"/>
      </w:rPr>
      <w:t>** Current Dental Terminology © 2025 American Dental Association. All rights reserved</w:t>
    </w:r>
  </w:p>
  <w:p w14:paraId="5F93E93D" w14:textId="77777777" w:rsidR="003E2BE9" w:rsidRPr="00AE6680" w:rsidRDefault="009B4C2A" w:rsidP="00EF41C4">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08545F">
      <w:rPr>
        <w:rStyle w:val="PageNumber"/>
        <w:rFonts w:asciiTheme="minorHAnsi" w:hAnsiTheme="minorHAnsi" w:cstheme="minorHAnsi"/>
        <w:i/>
        <w:sz w:val="20"/>
      </w:rPr>
      <w:t>12-31-2025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CB07" w14:textId="77777777" w:rsidR="0008545F" w:rsidRDefault="000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6E52" w14:textId="77777777" w:rsidR="000A6DD4" w:rsidRDefault="000A6DD4">
      <w:r>
        <w:separator/>
      </w:r>
    </w:p>
  </w:footnote>
  <w:footnote w:type="continuationSeparator" w:id="0">
    <w:p w14:paraId="21B65902" w14:textId="77777777" w:rsidR="000A6DD4" w:rsidRDefault="000A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76A1" w14:textId="77777777" w:rsidR="0008545F" w:rsidRDefault="0008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735"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12F2BFC2" wp14:editId="05B3432E">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1078CA4B"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08545F">
      <w:rPr>
        <w:rFonts w:asciiTheme="majorHAnsi" w:hAnsiTheme="majorHAnsi" w:cstheme="majorHAnsi"/>
        <w:i/>
        <w:noProof/>
      </w:rPr>
      <w:t>January 1, 2026</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DE32" w14:textId="77777777" w:rsidR="0008545F" w:rsidRDefault="0008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7FF7237"/>
    <w:multiLevelType w:val="hybridMultilevel"/>
    <w:tmpl w:val="DF36A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145678"/>
    <w:multiLevelType w:val="multilevel"/>
    <w:tmpl w:val="7B7A547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A07648"/>
    <w:multiLevelType w:val="multilevel"/>
    <w:tmpl w:val="E44E255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537A7B"/>
    <w:multiLevelType w:val="multilevel"/>
    <w:tmpl w:val="C1345CB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E2C9A"/>
    <w:multiLevelType w:val="multilevel"/>
    <w:tmpl w:val="729E993E"/>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579F6"/>
    <w:multiLevelType w:val="multilevel"/>
    <w:tmpl w:val="1172A37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313E14"/>
    <w:multiLevelType w:val="multilevel"/>
    <w:tmpl w:val="8480A62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EC6B82"/>
    <w:multiLevelType w:val="hybridMultilevel"/>
    <w:tmpl w:val="3BF6A3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555D3"/>
    <w:multiLevelType w:val="multilevel"/>
    <w:tmpl w:val="15C4542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8844337"/>
    <w:multiLevelType w:val="multilevel"/>
    <w:tmpl w:val="349EE6B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5"/>
  </w:num>
  <w:num w:numId="2" w16cid:durableId="309944727">
    <w:abstractNumId w:val="15"/>
  </w:num>
  <w:num w:numId="3" w16cid:durableId="210121214">
    <w:abstractNumId w:val="0"/>
  </w:num>
  <w:num w:numId="4" w16cid:durableId="1690333115">
    <w:abstractNumId w:val="11"/>
  </w:num>
  <w:num w:numId="5" w16cid:durableId="826164800">
    <w:abstractNumId w:val="6"/>
  </w:num>
  <w:num w:numId="6" w16cid:durableId="104203676">
    <w:abstractNumId w:val="8"/>
  </w:num>
  <w:num w:numId="7" w16cid:durableId="189997004">
    <w:abstractNumId w:val="13"/>
  </w:num>
  <w:num w:numId="8" w16cid:durableId="885487912">
    <w:abstractNumId w:val="12"/>
  </w:num>
  <w:num w:numId="9" w16cid:durableId="1562793061">
    <w:abstractNumId w:val="4"/>
  </w:num>
  <w:num w:numId="10" w16cid:durableId="1580672399">
    <w:abstractNumId w:val="1"/>
  </w:num>
  <w:num w:numId="11" w16cid:durableId="1730179973">
    <w:abstractNumId w:val="14"/>
  </w:num>
  <w:num w:numId="12" w16cid:durableId="230388391">
    <w:abstractNumId w:val="10"/>
  </w:num>
  <w:num w:numId="13" w16cid:durableId="586891124">
    <w:abstractNumId w:val="2"/>
  </w:num>
  <w:num w:numId="14" w16cid:durableId="1943370326">
    <w:abstractNumId w:val="9"/>
  </w:num>
  <w:num w:numId="15" w16cid:durableId="1307902125">
    <w:abstractNumId w:val="3"/>
  </w:num>
  <w:num w:numId="16" w16cid:durableId="112258068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isplayBackgroundShape/>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6DD4"/>
    <w:rsid w:val="00001853"/>
    <w:rsid w:val="000114D4"/>
    <w:rsid w:val="00013DB8"/>
    <w:rsid w:val="00034DA2"/>
    <w:rsid w:val="00035019"/>
    <w:rsid w:val="00062D99"/>
    <w:rsid w:val="00075B11"/>
    <w:rsid w:val="0008545F"/>
    <w:rsid w:val="00087363"/>
    <w:rsid w:val="000A6DD4"/>
    <w:rsid w:val="000B54DA"/>
    <w:rsid w:val="000D01C9"/>
    <w:rsid w:val="000E4EE6"/>
    <w:rsid w:val="00112E35"/>
    <w:rsid w:val="00125B69"/>
    <w:rsid w:val="00127706"/>
    <w:rsid w:val="00145AF5"/>
    <w:rsid w:val="00146B0B"/>
    <w:rsid w:val="00160BE7"/>
    <w:rsid w:val="00161173"/>
    <w:rsid w:val="00174B84"/>
    <w:rsid w:val="00192BA4"/>
    <w:rsid w:val="001C1AC2"/>
    <w:rsid w:val="001E0C1A"/>
    <w:rsid w:val="001E6492"/>
    <w:rsid w:val="001F2924"/>
    <w:rsid w:val="001F3D7D"/>
    <w:rsid w:val="0020423C"/>
    <w:rsid w:val="002125D1"/>
    <w:rsid w:val="00221598"/>
    <w:rsid w:val="00233FAF"/>
    <w:rsid w:val="00241DFF"/>
    <w:rsid w:val="00242B6C"/>
    <w:rsid w:val="002567C3"/>
    <w:rsid w:val="00257633"/>
    <w:rsid w:val="00290648"/>
    <w:rsid w:val="002A55D3"/>
    <w:rsid w:val="002C2568"/>
    <w:rsid w:val="002C7FB2"/>
    <w:rsid w:val="002E7B3E"/>
    <w:rsid w:val="002F14EF"/>
    <w:rsid w:val="002F37E9"/>
    <w:rsid w:val="002F4236"/>
    <w:rsid w:val="00301B97"/>
    <w:rsid w:val="00313C24"/>
    <w:rsid w:val="0032477F"/>
    <w:rsid w:val="00362566"/>
    <w:rsid w:val="0037388F"/>
    <w:rsid w:val="00395C68"/>
    <w:rsid w:val="003A1B72"/>
    <w:rsid w:val="003A7043"/>
    <w:rsid w:val="003B3891"/>
    <w:rsid w:val="003B473D"/>
    <w:rsid w:val="003D0F65"/>
    <w:rsid w:val="003E2BE9"/>
    <w:rsid w:val="003E60A1"/>
    <w:rsid w:val="003F4EAA"/>
    <w:rsid w:val="004149C6"/>
    <w:rsid w:val="0042021F"/>
    <w:rsid w:val="00424A46"/>
    <w:rsid w:val="00441A01"/>
    <w:rsid w:val="004C739A"/>
    <w:rsid w:val="004D5309"/>
    <w:rsid w:val="004E4BCC"/>
    <w:rsid w:val="004E51BA"/>
    <w:rsid w:val="004F6524"/>
    <w:rsid w:val="00506107"/>
    <w:rsid w:val="00522960"/>
    <w:rsid w:val="0053244B"/>
    <w:rsid w:val="005359C7"/>
    <w:rsid w:val="0056337E"/>
    <w:rsid w:val="00577175"/>
    <w:rsid w:val="005912E3"/>
    <w:rsid w:val="00597280"/>
    <w:rsid w:val="005979C1"/>
    <w:rsid w:val="005A1767"/>
    <w:rsid w:val="005B71A4"/>
    <w:rsid w:val="005C70FD"/>
    <w:rsid w:val="005D09C8"/>
    <w:rsid w:val="005F2AED"/>
    <w:rsid w:val="005F36D7"/>
    <w:rsid w:val="00605C8D"/>
    <w:rsid w:val="00606050"/>
    <w:rsid w:val="006157B2"/>
    <w:rsid w:val="006358CD"/>
    <w:rsid w:val="0064382E"/>
    <w:rsid w:val="00651EC1"/>
    <w:rsid w:val="0065403C"/>
    <w:rsid w:val="00666EC6"/>
    <w:rsid w:val="00692EA7"/>
    <w:rsid w:val="0069786E"/>
    <w:rsid w:val="006A5420"/>
    <w:rsid w:val="006C453D"/>
    <w:rsid w:val="006C6838"/>
    <w:rsid w:val="006D16FC"/>
    <w:rsid w:val="007019EC"/>
    <w:rsid w:val="00704160"/>
    <w:rsid w:val="007110BE"/>
    <w:rsid w:val="007233FA"/>
    <w:rsid w:val="00727F01"/>
    <w:rsid w:val="00735A34"/>
    <w:rsid w:val="00742F2B"/>
    <w:rsid w:val="0074542B"/>
    <w:rsid w:val="00752E2C"/>
    <w:rsid w:val="007535E3"/>
    <w:rsid w:val="0078755C"/>
    <w:rsid w:val="00795889"/>
    <w:rsid w:val="00796202"/>
    <w:rsid w:val="00797F40"/>
    <w:rsid w:val="007A56B7"/>
    <w:rsid w:val="007C2859"/>
    <w:rsid w:val="007C566C"/>
    <w:rsid w:val="007E4684"/>
    <w:rsid w:val="007E7E00"/>
    <w:rsid w:val="00803C6B"/>
    <w:rsid w:val="0084178D"/>
    <w:rsid w:val="00844609"/>
    <w:rsid w:val="00845277"/>
    <w:rsid w:val="008746C3"/>
    <w:rsid w:val="008A0C70"/>
    <w:rsid w:val="008A0ED4"/>
    <w:rsid w:val="008A4164"/>
    <w:rsid w:val="008D7ECB"/>
    <w:rsid w:val="00927ADC"/>
    <w:rsid w:val="00941AE1"/>
    <w:rsid w:val="00944175"/>
    <w:rsid w:val="009532AE"/>
    <w:rsid w:val="00976107"/>
    <w:rsid w:val="00983F76"/>
    <w:rsid w:val="00985891"/>
    <w:rsid w:val="00994D5A"/>
    <w:rsid w:val="00994F06"/>
    <w:rsid w:val="009B4C2A"/>
    <w:rsid w:val="009C34D2"/>
    <w:rsid w:val="009D1C62"/>
    <w:rsid w:val="009E4892"/>
    <w:rsid w:val="009F04B1"/>
    <w:rsid w:val="009F2B34"/>
    <w:rsid w:val="00A00E8E"/>
    <w:rsid w:val="00A06407"/>
    <w:rsid w:val="00A45839"/>
    <w:rsid w:val="00A645AA"/>
    <w:rsid w:val="00A71DBE"/>
    <w:rsid w:val="00A73C21"/>
    <w:rsid w:val="00AA2C21"/>
    <w:rsid w:val="00AA5EB2"/>
    <w:rsid w:val="00AD46F3"/>
    <w:rsid w:val="00AE2BF8"/>
    <w:rsid w:val="00AE6680"/>
    <w:rsid w:val="00AF1D55"/>
    <w:rsid w:val="00B26A1F"/>
    <w:rsid w:val="00B31ED1"/>
    <w:rsid w:val="00B41A58"/>
    <w:rsid w:val="00B5657E"/>
    <w:rsid w:val="00B60A9E"/>
    <w:rsid w:val="00B72AEF"/>
    <w:rsid w:val="00B82B0C"/>
    <w:rsid w:val="00B944BC"/>
    <w:rsid w:val="00BB14B5"/>
    <w:rsid w:val="00BB5801"/>
    <w:rsid w:val="00BC12C3"/>
    <w:rsid w:val="00BC5B36"/>
    <w:rsid w:val="00BF2C88"/>
    <w:rsid w:val="00BF2ECB"/>
    <w:rsid w:val="00C033F5"/>
    <w:rsid w:val="00C20B11"/>
    <w:rsid w:val="00C2263B"/>
    <w:rsid w:val="00C241EE"/>
    <w:rsid w:val="00C366BD"/>
    <w:rsid w:val="00C509B8"/>
    <w:rsid w:val="00C51C06"/>
    <w:rsid w:val="00C81805"/>
    <w:rsid w:val="00C846EE"/>
    <w:rsid w:val="00C92D56"/>
    <w:rsid w:val="00CD6660"/>
    <w:rsid w:val="00CD746B"/>
    <w:rsid w:val="00CD7906"/>
    <w:rsid w:val="00CE7640"/>
    <w:rsid w:val="00D11FEE"/>
    <w:rsid w:val="00D17667"/>
    <w:rsid w:val="00D24EA6"/>
    <w:rsid w:val="00D34794"/>
    <w:rsid w:val="00D77743"/>
    <w:rsid w:val="00D82D78"/>
    <w:rsid w:val="00D941C7"/>
    <w:rsid w:val="00DC29A3"/>
    <w:rsid w:val="00DC4D21"/>
    <w:rsid w:val="00DD7ED0"/>
    <w:rsid w:val="00E131CE"/>
    <w:rsid w:val="00E13D6B"/>
    <w:rsid w:val="00E25B1C"/>
    <w:rsid w:val="00E37246"/>
    <w:rsid w:val="00E659B0"/>
    <w:rsid w:val="00E82B61"/>
    <w:rsid w:val="00E927F8"/>
    <w:rsid w:val="00EB3E71"/>
    <w:rsid w:val="00EC3B5C"/>
    <w:rsid w:val="00ED03E8"/>
    <w:rsid w:val="00EE15C1"/>
    <w:rsid w:val="00EE19D1"/>
    <w:rsid w:val="00EF41C4"/>
    <w:rsid w:val="00F17A68"/>
    <w:rsid w:val="00F569C8"/>
    <w:rsid w:val="00F82445"/>
    <w:rsid w:val="00F82676"/>
    <w:rsid w:val="00F952D0"/>
    <w:rsid w:val="00F95C19"/>
    <w:rsid w:val="00FB0CFD"/>
    <w:rsid w:val="00FB60DC"/>
    <w:rsid w:val="00FD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C9E30"/>
  <w15:docId w15:val="{7DE6EB12-5FF9-4BAA-86AB-69A5593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5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601BR-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3.xml><?xml version="1.0" encoding="utf-8"?>
<ds:datastoreItem xmlns:ds="http://schemas.openxmlformats.org/officeDocument/2006/customXml" ds:itemID="{B10F95E8-A46B-4366-B317-862326DBAA96}"/>
</file>

<file path=customXml/itemProps4.xml><?xml version="1.0" encoding="utf-8"?>
<ds:datastoreItem xmlns:ds="http://schemas.openxmlformats.org/officeDocument/2006/customXml" ds:itemID="{24606CBB-5C66-4642-9827-4C520F2D68A9}">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SearchableListGL2601BR-JG.dotx</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2025-12-31T22:25:00Z</dcterms:created>
  <dcterms:modified xsi:type="dcterms:W3CDTF">2025-12-31T22:25:00Z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