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2193D" w14:textId="47335EAE" w:rsidR="00DB2AD8" w:rsidRDefault="00BA3CFD" w:rsidP="00087500">
      <w:pPr>
        <w:pStyle w:val="Heading1"/>
        <w:spacing w:before="0" w:after="0"/>
        <w:jc w:val="center"/>
      </w:pPr>
      <w:r>
        <w:t>2</w:t>
      </w:r>
      <w:r w:rsidRPr="00BA3CFD">
        <w:rPr>
          <w:vertAlign w:val="superscript"/>
        </w:rPr>
        <w:t>nd</w:t>
      </w:r>
      <w:r>
        <w:t xml:space="preserve"> Statewide PIP: </w:t>
      </w:r>
      <w:r w:rsidR="008549BE">
        <w:t>Opioid Reduction</w:t>
      </w:r>
    </w:p>
    <w:p w14:paraId="338F2CB3" w14:textId="77777777" w:rsidR="00112912" w:rsidRDefault="00DB2AD8" w:rsidP="00DB2AD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2F6B9" wp14:editId="4E7FDF83">
                <wp:simplePos x="0" y="0"/>
                <wp:positionH relativeFrom="column">
                  <wp:posOffset>-47625</wp:posOffset>
                </wp:positionH>
                <wp:positionV relativeFrom="paragraph">
                  <wp:posOffset>185420</wp:posOffset>
                </wp:positionV>
                <wp:extent cx="6238875" cy="2857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8875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E60870" w14:textId="77777777" w:rsidR="0005364C" w:rsidRPr="001F2E13" w:rsidRDefault="0005364C" w:rsidP="00656B55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F2E13">
                              <w:rPr>
                                <w:color w:val="FFFFFF"/>
                                <w:sz w:val="28"/>
                                <w:szCs w:val="28"/>
                              </w:rPr>
                              <w:t>Measure Basic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2F6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5pt;margin-top:14.6pt;width:49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" fillcolor="windowText" strokeweight=".5pt">
                <v:path arrowok="t"/>
                <v:textbox>
                  <w:txbxContent>
                    <w:p w14:paraId="78E60870" w14:textId="77777777" w:rsidR="0005364C" w:rsidRPr="001F2E13" w:rsidRDefault="0005364C" w:rsidP="00656B55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1F2E13">
                        <w:rPr>
                          <w:color w:val="FFFFFF"/>
                          <w:sz w:val="28"/>
                          <w:szCs w:val="28"/>
                        </w:rPr>
                        <w:t>Measure Basic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6B2AC51" w14:textId="77777777" w:rsidR="00112912" w:rsidRDefault="00112912" w:rsidP="005348EC">
      <w:pPr>
        <w:tabs>
          <w:tab w:val="left" w:pos="3300"/>
        </w:tabs>
        <w:spacing w:after="120" w:line="240" w:lineRule="auto"/>
      </w:pPr>
    </w:p>
    <w:p w14:paraId="5F89585F" w14:textId="04845E54" w:rsidR="00D06981" w:rsidRDefault="00994438" w:rsidP="00D6230F">
      <w:pPr>
        <w:tabs>
          <w:tab w:val="left" w:pos="3300"/>
        </w:tabs>
        <w:spacing w:after="240" w:line="240" w:lineRule="auto"/>
      </w:pPr>
      <w:r w:rsidRPr="00D95AA6">
        <w:rPr>
          <w:b/>
        </w:rPr>
        <w:t>Name and date of specifications used:</w:t>
      </w:r>
      <w:r>
        <w:t xml:space="preserve"> </w:t>
      </w:r>
    </w:p>
    <w:p w14:paraId="60EB3DAC" w14:textId="79557480" w:rsidR="00865D78" w:rsidRPr="00E46BF0" w:rsidRDefault="00D06981" w:rsidP="00431303">
      <w:pPr>
        <w:tabs>
          <w:tab w:val="left" w:pos="3300"/>
        </w:tabs>
        <w:spacing w:after="240" w:line="240" w:lineRule="auto"/>
      </w:pPr>
      <w:r w:rsidRPr="00D06981">
        <w:rPr>
          <w:b/>
        </w:rPr>
        <w:t>U</w:t>
      </w:r>
      <w:r w:rsidR="00112912" w:rsidRPr="00D95AA6">
        <w:rPr>
          <w:b/>
        </w:rPr>
        <w:t>RL of Specifications:</w:t>
      </w:r>
      <w:bookmarkStart w:id="0" w:name="Text4"/>
      <w:r w:rsidR="000F4F62">
        <w:rPr>
          <w:b/>
        </w:rPr>
        <w:t xml:space="preserve"> </w:t>
      </w:r>
      <w:bookmarkEnd w:id="0"/>
    </w:p>
    <w:p w14:paraId="15C830EB" w14:textId="77777777" w:rsidR="00112912" w:rsidRPr="00D95AA6" w:rsidRDefault="00112912" w:rsidP="00D6230F">
      <w:pPr>
        <w:tabs>
          <w:tab w:val="left" w:pos="3300"/>
        </w:tabs>
        <w:spacing w:after="0" w:line="240" w:lineRule="auto"/>
        <w:rPr>
          <w:b/>
        </w:rPr>
      </w:pPr>
      <w:r w:rsidRPr="00D95AA6">
        <w:rPr>
          <w:b/>
        </w:rPr>
        <w:t>Measure Type:</w:t>
      </w:r>
      <w:r w:rsidR="005400B7" w:rsidRPr="00D95AA6">
        <w:rPr>
          <w:b/>
        </w:rPr>
        <w:t xml:space="preserve"> </w:t>
      </w:r>
    </w:p>
    <w:p w14:paraId="3C09583A" w14:textId="5633F718" w:rsidR="00112912" w:rsidRDefault="00D6230F" w:rsidP="00D6230F">
      <w:pPr>
        <w:tabs>
          <w:tab w:val="left" w:pos="3300"/>
        </w:tabs>
        <w:spacing w:after="120" w:line="240" w:lineRule="auto"/>
      </w:pPr>
      <w:r>
        <w:t>HEDIS</w:t>
      </w:r>
      <w:r w:rsidR="001207E6">
        <w:t xml:space="preserve"> </w:t>
      </w:r>
      <w:r w:rsidR="00871390">
        <w:rPr>
          <w:rFonts w:ascii="Wingdings" w:hAnsi="Wingdings"/>
          <w:sz w:val="28"/>
          <w:szCs w:val="28"/>
        </w:rPr>
        <w:t></w:t>
      </w:r>
      <w:r w:rsidR="00112912">
        <w:t xml:space="preserve"> </w:t>
      </w:r>
      <w:r w:rsidR="00605F90">
        <w:t xml:space="preserve"> </w:t>
      </w:r>
      <w:r w:rsidR="00112912">
        <w:t xml:space="preserve"> PQI</w:t>
      </w:r>
      <w:r w:rsidR="0002589F">
        <w:t xml:space="preserve"> </w:t>
      </w:r>
      <w:r w:rsidR="000F4F62">
        <w:rPr>
          <w:rFonts w:ascii="Wingdings" w:hAnsi="Wingdings"/>
          <w:sz w:val="28"/>
          <w:szCs w:val="28"/>
        </w:rPr>
        <w:t></w:t>
      </w:r>
      <w:r w:rsidR="00112912">
        <w:t xml:space="preserve"> </w:t>
      </w:r>
      <w:r w:rsidR="00605F90">
        <w:t xml:space="preserve">  </w:t>
      </w:r>
      <w:r w:rsidR="00112912">
        <w:t>Survey</w:t>
      </w:r>
      <w:r w:rsidR="00605F90">
        <w:t xml:space="preserve"> </w:t>
      </w:r>
      <w:r w:rsidR="000F4F62">
        <w:rPr>
          <w:rFonts w:ascii="Wingdings" w:hAnsi="Wingdings"/>
          <w:sz w:val="28"/>
          <w:szCs w:val="28"/>
        </w:rPr>
        <w:t></w:t>
      </w:r>
      <w:r w:rsidR="00112912">
        <w:t xml:space="preserve"> </w:t>
      </w:r>
      <w:r w:rsidR="00112912">
        <w:rPr>
          <w:b/>
        </w:rPr>
        <w:t xml:space="preserve"> </w:t>
      </w:r>
      <w:r w:rsidR="00605F90">
        <w:rPr>
          <w:b/>
        </w:rPr>
        <w:t xml:space="preserve"> </w:t>
      </w:r>
      <w:r w:rsidR="00112912">
        <w:t>Other</w:t>
      </w:r>
      <w:r w:rsidR="0002589F">
        <w:t xml:space="preserve"> </w:t>
      </w:r>
      <w:r w:rsidR="00BA3CFD">
        <w:rPr>
          <w:rFonts w:ascii="Wingdings" w:hAnsi="Wingdings"/>
          <w:sz w:val="28"/>
          <w:szCs w:val="28"/>
        </w:rPr>
        <w:sym w:font="Wingdings" w:char="F0FC"/>
      </w:r>
      <w:r w:rsidR="00112912">
        <w:t xml:space="preserve">   </w:t>
      </w:r>
      <w:r w:rsidR="00B125A2">
        <w:t xml:space="preserve"> </w:t>
      </w:r>
      <w:r w:rsidR="00112912">
        <w:t>Specify:</w:t>
      </w:r>
      <w:r w:rsidR="005964F5">
        <w:t xml:space="preserve"> </w:t>
      </w:r>
      <w:r w:rsidR="00E46BF0">
        <w:t>OHA-modified</w:t>
      </w:r>
      <w:r w:rsidR="0002589F">
        <w:t xml:space="preserve"> (see links above)</w:t>
      </w:r>
    </w:p>
    <w:p w14:paraId="4D8A6D08" w14:textId="77777777" w:rsidR="00112912" w:rsidRPr="00D95AA6" w:rsidRDefault="00112912" w:rsidP="00D6230F">
      <w:pPr>
        <w:tabs>
          <w:tab w:val="left" w:pos="3300"/>
        </w:tabs>
        <w:spacing w:after="0" w:line="240" w:lineRule="auto"/>
        <w:rPr>
          <w:b/>
        </w:rPr>
      </w:pPr>
      <w:r w:rsidRPr="00D95AA6">
        <w:rPr>
          <w:b/>
        </w:rPr>
        <w:t>Measure Utility:</w:t>
      </w:r>
      <w:r w:rsidR="005400B7" w:rsidRPr="00D95AA6">
        <w:rPr>
          <w:b/>
        </w:rPr>
        <w:t xml:space="preserve"> </w:t>
      </w:r>
    </w:p>
    <w:p w14:paraId="52859C14" w14:textId="241BDB1A" w:rsidR="00112912" w:rsidRDefault="00994438" w:rsidP="00D6230F">
      <w:pPr>
        <w:tabs>
          <w:tab w:val="left" w:pos="3300"/>
        </w:tabs>
        <w:spacing w:after="0" w:line="240" w:lineRule="auto"/>
      </w:pPr>
      <w:r>
        <w:t>CCO Incentive</w:t>
      </w:r>
      <w:r w:rsidR="0002589F">
        <w:t xml:space="preserve"> </w:t>
      </w:r>
      <w:r w:rsidR="00431303">
        <w:rPr>
          <w:rFonts w:ascii="Wingdings" w:hAnsi="Wingdings"/>
          <w:sz w:val="28"/>
          <w:szCs w:val="28"/>
        </w:rPr>
        <w:t></w:t>
      </w:r>
      <w:r w:rsidR="00112912">
        <w:t xml:space="preserve"> </w:t>
      </w:r>
      <w:r w:rsidR="0002589F">
        <w:t xml:space="preserve"> C</w:t>
      </w:r>
      <w:r w:rsidR="00112912">
        <w:t xml:space="preserve">ore </w:t>
      </w:r>
      <w:r>
        <w:t>P</w:t>
      </w:r>
      <w:r w:rsidR="00112912">
        <w:t>erformance</w:t>
      </w:r>
      <w:r w:rsidR="00871390">
        <w:rPr>
          <w:rFonts w:ascii="Wingdings" w:hAnsi="Wingdings"/>
          <w:sz w:val="28"/>
          <w:szCs w:val="28"/>
        </w:rPr>
        <w:t></w:t>
      </w:r>
      <w:r w:rsidR="00112912">
        <w:t xml:space="preserve"> </w:t>
      </w:r>
      <w:r w:rsidR="00605F90">
        <w:t xml:space="preserve"> </w:t>
      </w:r>
      <w:r w:rsidR="00112912">
        <w:t xml:space="preserve"> CMS Adult Set</w:t>
      </w:r>
      <w:bookmarkStart w:id="1" w:name="Check8"/>
      <w:r w:rsidR="006A155D">
        <w:rPr>
          <w:rFonts w:ascii="Wingdings" w:hAnsi="Wingdings"/>
          <w:sz w:val="28"/>
          <w:szCs w:val="28"/>
        </w:rPr>
        <w:t></w:t>
      </w:r>
      <w:r>
        <w:t xml:space="preserve"> </w:t>
      </w:r>
      <w:bookmarkEnd w:id="1"/>
      <w:r w:rsidR="00112912">
        <w:rPr>
          <w:b/>
        </w:rPr>
        <w:t xml:space="preserve">     </w:t>
      </w:r>
      <w:r w:rsidR="00112912">
        <w:t xml:space="preserve"> CHIPRA</w:t>
      </w:r>
      <w:bookmarkStart w:id="2" w:name="Check9"/>
      <w:r>
        <w:t xml:space="preserve"> Set</w:t>
      </w:r>
      <w:r w:rsidR="00865D78">
        <w:t xml:space="preserve"> </w:t>
      </w:r>
      <w:r w:rsidR="00431303">
        <w:rPr>
          <w:rFonts w:ascii="Wingdings" w:hAnsi="Wingdings"/>
          <w:sz w:val="28"/>
          <w:szCs w:val="28"/>
        </w:rPr>
        <w:t></w:t>
      </w:r>
      <w:r>
        <w:t xml:space="preserve"> </w:t>
      </w:r>
      <w:bookmarkEnd w:id="2"/>
      <w:r w:rsidR="00112912">
        <w:t xml:space="preserve">    </w:t>
      </w:r>
      <w:bookmarkStart w:id="3" w:name="Check10"/>
      <w:r>
        <w:t>State Performance</w:t>
      </w:r>
      <w:bookmarkEnd w:id="3"/>
      <w:r w:rsidR="007A2FB5">
        <w:rPr>
          <w:rFonts w:ascii="Wingdings" w:hAnsi="Wingdings"/>
          <w:sz w:val="28"/>
          <w:szCs w:val="28"/>
        </w:rPr>
        <w:sym w:font="Wingdings" w:char="F0FC"/>
      </w:r>
      <w:r w:rsidR="00112912">
        <w:t xml:space="preserve">   </w:t>
      </w:r>
    </w:p>
    <w:p w14:paraId="6AC192BD" w14:textId="23AE443A" w:rsidR="00112912" w:rsidRDefault="00112912" w:rsidP="00D6230F">
      <w:pPr>
        <w:tabs>
          <w:tab w:val="left" w:pos="3300"/>
        </w:tabs>
        <w:spacing w:after="120" w:line="240" w:lineRule="auto"/>
      </w:pPr>
      <w:r>
        <w:t>Other</w:t>
      </w:r>
      <w:r w:rsidR="00BA3CFD">
        <w:t xml:space="preserve"> </w:t>
      </w:r>
      <w:r w:rsidR="00BA3CFD">
        <w:rPr>
          <w:rFonts w:ascii="Wingdings" w:hAnsi="Wingdings"/>
          <w:sz w:val="28"/>
          <w:szCs w:val="28"/>
        </w:rPr>
        <w:sym w:font="Wingdings" w:char="F0FC"/>
      </w:r>
      <w:r>
        <w:t xml:space="preserve">     Specify:</w:t>
      </w:r>
      <w:r w:rsidR="001D0341">
        <w:t xml:space="preserve"> </w:t>
      </w:r>
      <w:r w:rsidR="007A2FB5">
        <w:t xml:space="preserve">CMS waiver requirement </w:t>
      </w:r>
    </w:p>
    <w:p w14:paraId="2F95BFCF" w14:textId="77777777" w:rsidR="007A2FB5" w:rsidRDefault="00994438" w:rsidP="00D6230F">
      <w:pPr>
        <w:tabs>
          <w:tab w:val="left" w:pos="3300"/>
        </w:tabs>
        <w:spacing w:after="240" w:line="240" w:lineRule="auto"/>
      </w:pPr>
      <w:r w:rsidRPr="00D95AA6">
        <w:rPr>
          <w:b/>
        </w:rPr>
        <w:t xml:space="preserve">Data </w:t>
      </w:r>
      <w:r w:rsidR="00112912" w:rsidRPr="00D95AA6">
        <w:rPr>
          <w:b/>
        </w:rPr>
        <w:t>Source</w:t>
      </w:r>
      <w:r w:rsidR="00112912">
        <w:t>:</w:t>
      </w:r>
      <w:r>
        <w:t xml:space="preserve"> </w:t>
      </w:r>
    </w:p>
    <w:p w14:paraId="61B20E6C" w14:textId="0BBE2BA7" w:rsidR="007A2FB5" w:rsidRDefault="007A2FB5" w:rsidP="00D6230F">
      <w:pPr>
        <w:tabs>
          <w:tab w:val="left" w:pos="3300"/>
        </w:tabs>
        <w:spacing w:after="240" w:line="240" w:lineRule="auto"/>
      </w:pPr>
      <w:r>
        <w:t xml:space="preserve">The Pharmacy Quality Alliance: </w:t>
      </w:r>
      <w:hyperlink r:id="rId8" w:history="1">
        <w:r w:rsidRPr="00E05EC3">
          <w:rPr>
            <w:rStyle w:val="Hyperlink"/>
          </w:rPr>
          <w:t>http://pqaalliance.org/images/uploads/files/PQA%20measuresJuly2015.pdf</w:t>
        </w:r>
      </w:hyperlink>
    </w:p>
    <w:p w14:paraId="7B5C0DAD" w14:textId="6550A596" w:rsidR="007A2FB5" w:rsidRDefault="007A2FB5" w:rsidP="00D6230F">
      <w:pPr>
        <w:tabs>
          <w:tab w:val="left" w:pos="3300"/>
        </w:tabs>
        <w:spacing w:after="240" w:line="240" w:lineRule="auto"/>
      </w:pPr>
      <w:r>
        <w:t xml:space="preserve">Washington State Agency Medical Directors’ Group: 2015 Interagency Guideline on Prescribing Opioids for Pain: </w:t>
      </w:r>
      <w:hyperlink r:id="rId9" w:history="1">
        <w:r w:rsidRPr="00E05EC3">
          <w:rPr>
            <w:rStyle w:val="Hyperlink"/>
          </w:rPr>
          <w:t>http://www.agencymeddirectors.wa.gov/Files/2015AMDGOpioidGuideline.pdf</w:t>
        </w:r>
      </w:hyperlink>
    </w:p>
    <w:p w14:paraId="42B42629" w14:textId="6E0D4690" w:rsidR="00FB0986" w:rsidRDefault="007A2FB5" w:rsidP="003032D9">
      <w:r w:rsidRPr="007A2FB5">
        <w:t>CDC Guideline for Prescribing Opioids for Chr</w:t>
      </w:r>
      <w:r w:rsidR="003032D9">
        <w:t>o</w:t>
      </w:r>
      <w:r w:rsidR="00FB0986">
        <w:t xml:space="preserve">nic Pain — United States, 2016: </w:t>
      </w:r>
      <w:hyperlink r:id="rId10" w:history="1">
        <w:r w:rsidR="00FB0986" w:rsidRPr="005D05D4">
          <w:rPr>
            <w:rStyle w:val="Hyperlink"/>
          </w:rPr>
          <w:t>http://www.cdc.gov/drugoverdose/prescribing/guideline.html</w:t>
        </w:r>
      </w:hyperlink>
      <w:r w:rsidR="00FB0986">
        <w:tab/>
      </w:r>
    </w:p>
    <w:p w14:paraId="433F462D" w14:textId="65600AE0" w:rsidR="00994438" w:rsidRDefault="00994438" w:rsidP="00D6230F">
      <w:pPr>
        <w:tabs>
          <w:tab w:val="left" w:pos="3300"/>
        </w:tabs>
        <w:spacing w:after="240" w:line="240" w:lineRule="auto"/>
      </w:pPr>
      <w:r w:rsidRPr="00D95AA6">
        <w:rPr>
          <w:b/>
        </w:rPr>
        <w:t>Measurement Period:</w:t>
      </w:r>
      <w:r>
        <w:t xml:space="preserve"> </w:t>
      </w:r>
    </w:p>
    <w:p w14:paraId="64BA6393" w14:textId="77777777" w:rsidR="003032D9" w:rsidRPr="003032D9" w:rsidRDefault="003032D9" w:rsidP="003032D9">
      <w:pPr>
        <w:spacing w:after="0" w:line="240" w:lineRule="auto"/>
      </w:pPr>
      <w:r w:rsidRPr="003032D9">
        <w:t>January 1, 2014 – December 31, 2014 (baseline)</w:t>
      </w:r>
    </w:p>
    <w:p w14:paraId="5D8ADDB6" w14:textId="61F2EB69" w:rsidR="003032D9" w:rsidRPr="003032D9" w:rsidRDefault="00796EA7" w:rsidP="003032D9">
      <w:pPr>
        <w:spacing w:after="0" w:line="240" w:lineRule="auto"/>
      </w:pPr>
      <w:r>
        <w:t>January 1, 2016</w:t>
      </w:r>
      <w:r w:rsidR="003032D9" w:rsidRPr="003032D9">
        <w:t xml:space="preserve"> – </w:t>
      </w:r>
      <w:r>
        <w:t>December 31,</w:t>
      </w:r>
      <w:r w:rsidR="003032D9" w:rsidRPr="003032D9">
        <w:t xml:space="preserve"> 2016 (PIP Year 1)</w:t>
      </w:r>
    </w:p>
    <w:p w14:paraId="550966D2" w14:textId="7788A622" w:rsidR="003032D9" w:rsidRDefault="00796EA7" w:rsidP="003032D9">
      <w:pPr>
        <w:tabs>
          <w:tab w:val="left" w:pos="3300"/>
        </w:tabs>
        <w:spacing w:after="0" w:line="240" w:lineRule="auto"/>
      </w:pPr>
      <w:r>
        <w:t>January 1, 2017</w:t>
      </w:r>
      <w:r w:rsidRPr="003032D9">
        <w:t xml:space="preserve"> – </w:t>
      </w:r>
      <w:r>
        <w:t>December 31,</w:t>
      </w:r>
      <w:r w:rsidRPr="003032D9">
        <w:t xml:space="preserve"> 201</w:t>
      </w:r>
      <w:r>
        <w:t xml:space="preserve">7 </w:t>
      </w:r>
      <w:r w:rsidR="003032D9" w:rsidRPr="003032D9">
        <w:t>(PIP Year 2</w:t>
      </w:r>
      <w:r>
        <w:t>)</w:t>
      </w:r>
    </w:p>
    <w:p w14:paraId="0ADC9ABD" w14:textId="77777777" w:rsidR="003032D9" w:rsidRPr="003032D9" w:rsidRDefault="003032D9" w:rsidP="003032D9">
      <w:pPr>
        <w:tabs>
          <w:tab w:val="left" w:pos="3300"/>
        </w:tabs>
        <w:spacing w:after="0" w:line="240" w:lineRule="auto"/>
      </w:pPr>
    </w:p>
    <w:p w14:paraId="6D73F207" w14:textId="19A99142" w:rsidR="00BA15BE" w:rsidRPr="00802024" w:rsidRDefault="00431303" w:rsidP="00D9359D">
      <w:pPr>
        <w:tabs>
          <w:tab w:val="left" w:pos="3300"/>
        </w:tabs>
        <w:spacing w:after="0" w:line="240" w:lineRule="auto"/>
      </w:pPr>
      <w:r w:rsidRPr="00802024">
        <w:rPr>
          <w:b/>
        </w:rPr>
        <w:t>Benchmark (if applicable):</w:t>
      </w:r>
      <w:r>
        <w:rPr>
          <w:b/>
        </w:rPr>
        <w:t xml:space="preserve"> </w:t>
      </w:r>
      <w:r w:rsidR="00802024">
        <w:rPr>
          <w:b/>
        </w:rPr>
        <w:t xml:space="preserve"> </w:t>
      </w:r>
      <w:r w:rsidR="00802024">
        <w:t>Not applicable</w:t>
      </w:r>
    </w:p>
    <w:p w14:paraId="00A973DE" w14:textId="77777777" w:rsidR="0065507B" w:rsidRPr="0065507B" w:rsidRDefault="0065507B" w:rsidP="00D9359D">
      <w:pPr>
        <w:tabs>
          <w:tab w:val="left" w:pos="3300"/>
        </w:tabs>
        <w:spacing w:after="0" w:line="240" w:lineRule="auto"/>
      </w:pPr>
    </w:p>
    <w:p w14:paraId="7FCEC783" w14:textId="623288C5" w:rsidR="0065507B" w:rsidRDefault="00BA15BE" w:rsidP="005348EC">
      <w:pPr>
        <w:tabs>
          <w:tab w:val="left" w:pos="3300"/>
        </w:tabs>
        <w:spacing w:after="120" w:line="240" w:lineRule="auto"/>
        <w:rPr>
          <w:rFonts w:ascii="Wingdings" w:hAnsi="Wingdings"/>
          <w:sz w:val="28"/>
          <w:szCs w:val="28"/>
        </w:rPr>
      </w:pPr>
      <w:r w:rsidRPr="003A46E3">
        <w:rPr>
          <w:b/>
        </w:rPr>
        <w:t xml:space="preserve">Denied claims: </w:t>
      </w:r>
      <w:r w:rsidRPr="003A46E3">
        <w:t>Included</w:t>
      </w:r>
      <w:r w:rsidR="0065507B" w:rsidRPr="003A46E3">
        <w:t xml:space="preserve"> </w:t>
      </w:r>
      <w:r w:rsidR="00431303" w:rsidRPr="003A46E3">
        <w:rPr>
          <w:rFonts w:ascii="Wingdings" w:hAnsi="Wingdings"/>
          <w:sz w:val="28"/>
          <w:szCs w:val="28"/>
        </w:rPr>
        <w:t></w:t>
      </w:r>
      <w:r w:rsidR="00B125A2">
        <w:t xml:space="preserve">  </w:t>
      </w:r>
      <w:r w:rsidR="008B6AA6">
        <w:t xml:space="preserve">   </w:t>
      </w:r>
      <w:r w:rsidRPr="003A46E3">
        <w:t>Not included</w:t>
      </w:r>
      <w:r w:rsidR="00871390" w:rsidRPr="003A46E3">
        <w:t xml:space="preserve"> </w:t>
      </w:r>
      <w:r w:rsidR="003032D9">
        <w:rPr>
          <w:rFonts w:ascii="Wingdings" w:hAnsi="Wingdings"/>
          <w:sz w:val="28"/>
          <w:szCs w:val="28"/>
        </w:rPr>
        <w:sym w:font="Wingdings" w:char="F0FC"/>
      </w:r>
    </w:p>
    <w:p w14:paraId="5EA0BD3E" w14:textId="038187F3" w:rsidR="002E7320" w:rsidRPr="002C2FD3" w:rsidRDefault="002E7320" w:rsidP="008B6AA6">
      <w:r w:rsidRPr="00711458">
        <w:rPr>
          <w:b/>
        </w:rPr>
        <w:t>Member type</w:t>
      </w:r>
      <w:r>
        <w:rPr>
          <w:b/>
        </w:rPr>
        <w:t xml:space="preserve">: </w:t>
      </w:r>
      <w:r>
        <w:t xml:space="preserve">CCO A </w:t>
      </w:r>
      <w:r w:rsidR="00A6649D">
        <w:rPr>
          <w:rFonts w:ascii="Wingdings" w:hAnsi="Wingdings"/>
          <w:sz w:val="28"/>
          <w:szCs w:val="28"/>
        </w:rPr>
        <w:sym w:font="Wingdings" w:char="F0FC"/>
      </w:r>
      <w:r w:rsidR="008B6AA6">
        <w:rPr>
          <w:rFonts w:ascii="Wingdings" w:hAnsi="Wingdings"/>
          <w:sz w:val="28"/>
        </w:rPr>
        <w:t></w:t>
      </w:r>
      <w:r>
        <w:t>C</w:t>
      </w:r>
      <w:r w:rsidR="008B6AA6">
        <w:t>C</w:t>
      </w:r>
      <w:r>
        <w:t xml:space="preserve">O B </w:t>
      </w:r>
      <w:r w:rsidR="00A6649D">
        <w:rPr>
          <w:rFonts w:ascii="Wingdings" w:hAnsi="Wingdings"/>
          <w:sz w:val="28"/>
        </w:rPr>
        <w:sym w:font="Wingdings" w:char="F0FC"/>
      </w:r>
      <w:r w:rsidR="008B6AA6">
        <w:rPr>
          <w:rFonts w:ascii="Wingdings" w:hAnsi="Wingdings"/>
          <w:sz w:val="28"/>
        </w:rPr>
        <w:t></w:t>
      </w:r>
      <w:r>
        <w:t xml:space="preserve">CCO G </w:t>
      </w:r>
      <w:r>
        <w:rPr>
          <w:rFonts w:ascii="Wingdings" w:hAnsi="Wingdings"/>
          <w:sz w:val="28"/>
        </w:rPr>
        <w:t></w:t>
      </w:r>
    </w:p>
    <w:p w14:paraId="3AC8F1D0" w14:textId="77777777" w:rsidR="00F84E6D" w:rsidRDefault="00F84E6D" w:rsidP="005348EC">
      <w:pPr>
        <w:tabs>
          <w:tab w:val="left" w:pos="3300"/>
        </w:tabs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E894C" wp14:editId="34D5E0E2">
                <wp:simplePos x="0" y="0"/>
                <wp:positionH relativeFrom="column">
                  <wp:posOffset>-50500</wp:posOffset>
                </wp:positionH>
                <wp:positionV relativeFrom="paragraph">
                  <wp:posOffset>104907</wp:posOffset>
                </wp:positionV>
                <wp:extent cx="6238875" cy="2857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8875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ED46DC" w14:textId="77777777" w:rsidR="0005364C" w:rsidRPr="001F2E13" w:rsidRDefault="0005364C" w:rsidP="00F84E6D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Measure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894C" id="Text Box 1" o:spid="_x0000_s1027" type="#_x0000_t202" style="position:absolute;margin-left:-4pt;margin-top:8.25pt;width:491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" fillcolor="windowText" strokeweight=".5pt">
                <v:path arrowok="t"/>
                <v:textbox>
                  <w:txbxContent>
                    <w:p w14:paraId="17ED46DC" w14:textId="77777777" w:rsidR="0005364C" w:rsidRPr="001F2E13" w:rsidRDefault="0005364C" w:rsidP="00F84E6D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Measure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49F19C4B" w14:textId="77777777" w:rsidR="00F84E6D" w:rsidRDefault="00F84E6D" w:rsidP="005348EC">
      <w:pPr>
        <w:tabs>
          <w:tab w:val="left" w:pos="3300"/>
        </w:tabs>
        <w:spacing w:after="120" w:line="240" w:lineRule="auto"/>
      </w:pPr>
    </w:p>
    <w:p w14:paraId="4D80EDC2" w14:textId="5654DA9A" w:rsidR="003032D9" w:rsidRPr="003032D9" w:rsidRDefault="00431303" w:rsidP="003032D9">
      <w:r>
        <w:rPr>
          <w:b/>
        </w:rPr>
        <w:t>D</w:t>
      </w:r>
      <w:r w:rsidR="00BA3AF2" w:rsidRPr="00D9738E">
        <w:rPr>
          <w:b/>
        </w:rPr>
        <w:t xml:space="preserve">enominator: </w:t>
      </w:r>
      <w:r w:rsidR="003032D9">
        <w:rPr>
          <w:b/>
        </w:rPr>
        <w:t xml:space="preserve"> </w:t>
      </w:r>
      <w:r w:rsidR="003032D9" w:rsidRPr="003032D9">
        <w:t xml:space="preserve">Any OHP enrollee, age 12+ as of the last day of the measurement year, who meets continuous enrollment criteria, with at least one </w:t>
      </w:r>
      <w:r w:rsidR="00380775">
        <w:t>OHA-paid</w:t>
      </w:r>
      <w:r w:rsidR="003032D9" w:rsidRPr="003032D9">
        <w:t xml:space="preserve"> prescription </w:t>
      </w:r>
      <w:r w:rsidR="00380775">
        <w:t xml:space="preserve">for an opioid </w:t>
      </w:r>
      <w:r w:rsidR="003032D9" w:rsidRPr="003032D9">
        <w:t xml:space="preserve">filled in the measurement year. Inclusive of dual eligible population. </w:t>
      </w:r>
    </w:p>
    <w:p w14:paraId="3740A203" w14:textId="32AB8EAD" w:rsidR="00BA3AF2" w:rsidRDefault="00605F90" w:rsidP="003032D9">
      <w:pPr>
        <w:spacing w:after="0" w:line="240" w:lineRule="auto"/>
        <w:rPr>
          <w:b/>
        </w:rPr>
      </w:pPr>
      <w:r>
        <w:rPr>
          <w:b/>
        </w:rPr>
        <w:lastRenderedPageBreak/>
        <w:br/>
      </w:r>
      <w:r w:rsidR="008B6AA6">
        <w:rPr>
          <w:b/>
        </w:rPr>
        <w:br/>
      </w:r>
      <w:r w:rsidR="00BA3AF2" w:rsidRPr="00D9738E">
        <w:rPr>
          <w:b/>
        </w:rPr>
        <w:t xml:space="preserve">Required exclusions for denominator: </w:t>
      </w:r>
    </w:p>
    <w:p w14:paraId="4464EBD9" w14:textId="11CCD773" w:rsidR="003032D9" w:rsidRPr="003032D9" w:rsidRDefault="003032D9" w:rsidP="003032D9">
      <w:pPr>
        <w:pStyle w:val="ListParagraph"/>
        <w:numPr>
          <w:ilvl w:val="0"/>
          <w:numId w:val="8"/>
        </w:numPr>
        <w:spacing w:after="0" w:line="240" w:lineRule="auto"/>
        <w:ind w:left="522"/>
      </w:pPr>
      <w:r w:rsidRPr="003032D9">
        <w:t>Enrollees with the following diagnoses in the measurement year</w:t>
      </w:r>
      <w:r w:rsidR="00A836C7">
        <w:t xml:space="preserve"> or in the year prior to the measurement year</w:t>
      </w:r>
      <w:r w:rsidRPr="003032D9">
        <w:t>:  neoplasm-related pain (ICD9 338.3</w:t>
      </w:r>
      <w:r w:rsidR="00A836C7">
        <w:t>, ICD10 G89.3</w:t>
      </w:r>
      <w:r w:rsidRPr="003032D9">
        <w:t xml:space="preserve">), end-of-life care, palliative care, or hospice care (see attached table for codes) </w:t>
      </w:r>
    </w:p>
    <w:p w14:paraId="6EB8BB1F" w14:textId="77777777" w:rsidR="003032D9" w:rsidRDefault="003032D9" w:rsidP="003032D9">
      <w:pPr>
        <w:pStyle w:val="ListParagraph"/>
        <w:numPr>
          <w:ilvl w:val="0"/>
          <w:numId w:val="8"/>
        </w:numPr>
        <w:ind w:left="522"/>
      </w:pPr>
      <w:r w:rsidRPr="003032D9">
        <w:t>Any opioid prescription not paid for by OHA (e.g. cough suppressants)</w:t>
      </w:r>
    </w:p>
    <w:p w14:paraId="40DE9DD7" w14:textId="375A2789" w:rsidR="000E1FB0" w:rsidRPr="003032D9" w:rsidRDefault="000E1FB0" w:rsidP="003032D9">
      <w:pPr>
        <w:pStyle w:val="ListParagraph"/>
        <w:numPr>
          <w:ilvl w:val="0"/>
          <w:numId w:val="8"/>
        </w:numPr>
        <w:ind w:left="522"/>
      </w:pPr>
      <w:r>
        <w:t>Enrollees with medication claims for buprenorphine/buprenorphine products</w:t>
      </w:r>
      <w:bookmarkStart w:id="4" w:name="_GoBack"/>
      <w:bookmarkEnd w:id="4"/>
    </w:p>
    <w:p w14:paraId="459418B1" w14:textId="77777777" w:rsidR="0002589F" w:rsidRDefault="00BA3AF2" w:rsidP="00380775">
      <w:pPr>
        <w:spacing w:after="0" w:line="240" w:lineRule="auto"/>
        <w:rPr>
          <w:b/>
        </w:rPr>
      </w:pPr>
      <w:r w:rsidRPr="006943FF">
        <w:rPr>
          <w:b/>
        </w:rPr>
        <w:t xml:space="preserve">Deviations from cited specifications for denominator: </w:t>
      </w:r>
    </w:p>
    <w:p w14:paraId="47B5D8DE" w14:textId="14B32A9E" w:rsidR="003032D9" w:rsidRPr="00175AFF" w:rsidRDefault="003032D9" w:rsidP="00380775">
      <w:pPr>
        <w:spacing w:after="0" w:line="240" w:lineRule="auto"/>
      </w:pPr>
      <w:r w:rsidRPr="00175AFF">
        <w:t>Opioid</w:t>
      </w:r>
      <w:r w:rsidR="008549BE" w:rsidRPr="00175AFF">
        <w:t>s:</w:t>
      </w:r>
      <w:r w:rsidR="00380775" w:rsidRPr="00175AFF">
        <w:t xml:space="preserve"> Include all drugs in the “narcotic</w:t>
      </w:r>
      <w:r w:rsidR="009C1301" w:rsidRPr="00175AFF">
        <w:t xml:space="preserve"> analgesics” therapeutic class Standard Code 40. – (Refer to attached table Opioid Class40 for a complete drug list.) </w:t>
      </w:r>
      <w:r w:rsidR="00FB0986" w:rsidRPr="00175AFF">
        <w:t xml:space="preserve">This therapeutic class </w:t>
      </w:r>
      <w:r w:rsidR="00FB0986" w:rsidRPr="00175AFF">
        <w:rPr>
          <w:u w:val="single"/>
        </w:rPr>
        <w:t>includes</w:t>
      </w:r>
      <w:r w:rsidR="00FB0986" w:rsidRPr="00175AFF">
        <w:t xml:space="preserve"> transdermal </w:t>
      </w:r>
      <w:r w:rsidR="009C1301" w:rsidRPr="00175AFF">
        <w:t xml:space="preserve">patches </w:t>
      </w:r>
      <w:r w:rsidR="00FB0986" w:rsidRPr="00175AFF">
        <w:t xml:space="preserve">and injectable </w:t>
      </w:r>
      <w:r w:rsidR="009C1301" w:rsidRPr="00175AFF">
        <w:t>buprenorphine produ</w:t>
      </w:r>
      <w:r w:rsidR="00FB0986" w:rsidRPr="00175AFF">
        <w:t>cts because they are not used for MAT. This therapeutic class excludes</w:t>
      </w:r>
      <w:r w:rsidR="00B27C93" w:rsidRPr="00175AFF">
        <w:t xml:space="preserve"> </w:t>
      </w:r>
      <w:r w:rsidR="003F2A45">
        <w:t xml:space="preserve">buprenorphine tablet or sublingual film </w:t>
      </w:r>
      <w:r w:rsidR="00FB0986" w:rsidRPr="00175AFF">
        <w:t xml:space="preserve">alone or in combination with naloxone. </w:t>
      </w:r>
    </w:p>
    <w:p w14:paraId="1259F78E" w14:textId="77777777" w:rsidR="00380775" w:rsidRPr="00175AFF" w:rsidRDefault="00380775" w:rsidP="00380775">
      <w:pPr>
        <w:spacing w:after="0" w:line="240" w:lineRule="auto"/>
      </w:pPr>
    </w:p>
    <w:p w14:paraId="435200E5" w14:textId="6A724D26" w:rsidR="00C639DD" w:rsidRPr="00175AFF" w:rsidRDefault="00431303" w:rsidP="00D6230F">
      <w:pPr>
        <w:spacing w:after="240" w:line="240" w:lineRule="auto"/>
      </w:pPr>
      <w:r w:rsidRPr="00175AFF">
        <w:rPr>
          <w:b/>
        </w:rPr>
        <w:t>N</w:t>
      </w:r>
      <w:r w:rsidR="00BA3AF2" w:rsidRPr="00175AFF">
        <w:rPr>
          <w:b/>
        </w:rPr>
        <w:t>umerator:</w:t>
      </w:r>
      <w:r w:rsidR="00BA3AF2" w:rsidRPr="00175AFF">
        <w:t xml:space="preserve"> </w:t>
      </w:r>
      <w:r w:rsidR="003032D9" w:rsidRPr="00175AFF">
        <w:t xml:space="preserve"> Enrollees in the denominator with one or more days with an M</w:t>
      </w:r>
      <w:r w:rsidR="00A053C6">
        <w:t>ME/day</w:t>
      </w:r>
      <w:r w:rsidR="003032D9" w:rsidRPr="00175AFF">
        <w:t xml:space="preserve"> ≥120 or an M</w:t>
      </w:r>
      <w:r w:rsidR="00A053C6">
        <w:t>ME/day</w:t>
      </w:r>
      <w:r w:rsidR="003032D9" w:rsidRPr="00175AFF">
        <w:t xml:space="preserve"> ≥90</w:t>
      </w:r>
      <w:r w:rsidR="009C1301" w:rsidRPr="00175AFF">
        <w:t xml:space="preserve"> </w:t>
      </w:r>
    </w:p>
    <w:p w14:paraId="0314F173" w14:textId="3DC260C9" w:rsidR="009D1115" w:rsidRPr="00175AFF" w:rsidRDefault="00BA3AF2" w:rsidP="00D6230F">
      <w:pPr>
        <w:spacing w:after="240" w:line="240" w:lineRule="auto"/>
      </w:pPr>
      <w:r w:rsidRPr="00175AFF">
        <w:rPr>
          <w:b/>
        </w:rPr>
        <w:t xml:space="preserve">Required exclusions for numerator: </w:t>
      </w:r>
      <w:r w:rsidR="003032D9" w:rsidRPr="00175AFF">
        <w:t xml:space="preserve"> None</w:t>
      </w:r>
    </w:p>
    <w:p w14:paraId="172F4CA8" w14:textId="3CEFC5B0" w:rsidR="00380775" w:rsidRPr="00380775" w:rsidRDefault="00BA3AF2" w:rsidP="00380775">
      <w:pPr>
        <w:spacing w:line="240" w:lineRule="auto"/>
      </w:pPr>
      <w:r w:rsidRPr="00175AFF">
        <w:rPr>
          <w:b/>
        </w:rPr>
        <w:t>Deviations from cited specifications for numerator:</w:t>
      </w:r>
      <w:r w:rsidR="00394C56" w:rsidRPr="00175AFF">
        <w:rPr>
          <w:b/>
        </w:rPr>
        <w:t xml:space="preserve"> </w:t>
      </w:r>
      <w:r w:rsidR="00394C56" w:rsidRPr="00175AFF">
        <w:rPr>
          <w:b/>
        </w:rPr>
        <w:br/>
      </w:r>
      <w:r w:rsidR="00380775" w:rsidRPr="00175AFF">
        <w:t xml:space="preserve">Morphine </w:t>
      </w:r>
      <w:r w:rsidR="00A053C6">
        <w:t>milligram equivalents</w:t>
      </w:r>
      <w:r w:rsidR="00380775" w:rsidRPr="00175AFF">
        <w:t xml:space="preserve"> </w:t>
      </w:r>
      <w:r w:rsidR="00A053C6">
        <w:t>(MME)</w:t>
      </w:r>
      <w:r w:rsidR="00380775" w:rsidRPr="00175AFF">
        <w:t xml:space="preserve"> </w:t>
      </w:r>
      <w:r w:rsidR="00A053C6">
        <w:t>/day</w:t>
      </w:r>
      <w:r w:rsidR="00380775" w:rsidRPr="00175AFF">
        <w:t xml:space="preserve"> is calculated as:  M</w:t>
      </w:r>
      <w:r w:rsidR="00A053C6">
        <w:t>ME</w:t>
      </w:r>
      <w:r w:rsidR="00380775" w:rsidRPr="00175AFF">
        <w:t xml:space="preserve"> = drug str</w:t>
      </w:r>
      <w:r w:rsidR="00B27C93" w:rsidRPr="00175AFF">
        <w:t>ength * (quantity / days supply</w:t>
      </w:r>
      <w:r w:rsidR="00380775" w:rsidRPr="00175AFF">
        <w:t>) * conversion factor. M</w:t>
      </w:r>
      <w:r w:rsidR="00A053C6">
        <w:t xml:space="preserve">ME </w:t>
      </w:r>
      <w:r w:rsidR="00380775" w:rsidRPr="00175AFF">
        <w:t>should first be calculated per prescription, then summed to reach patient total. Any patient with one or more days with an M</w:t>
      </w:r>
      <w:r w:rsidR="00A053C6">
        <w:t xml:space="preserve">ME </w:t>
      </w:r>
      <w:r w:rsidR="00380775" w:rsidRPr="00175AFF">
        <w:t>≥120 or an M</w:t>
      </w:r>
      <w:r w:rsidR="00A053C6">
        <w:t xml:space="preserve">ME </w:t>
      </w:r>
      <w:r w:rsidR="00380775" w:rsidRPr="00175AFF">
        <w:t>≥90 will be counted in the numerator.</w:t>
      </w:r>
      <w:r w:rsidR="009C1301" w:rsidRPr="00175AFF">
        <w:t xml:space="preserve"> – (Refer to attached table CDC conversion factor to calculate Daily M</w:t>
      </w:r>
      <w:r w:rsidR="00A053C6">
        <w:t>ME</w:t>
      </w:r>
      <w:r w:rsidR="00B27C93" w:rsidRPr="00175AFF">
        <w:t>.</w:t>
      </w:r>
      <w:r w:rsidR="009C1301" w:rsidRPr="00175AFF">
        <w:t>)</w:t>
      </w:r>
    </w:p>
    <w:p w14:paraId="726047CF" w14:textId="76140A35" w:rsidR="003032D9" w:rsidRPr="003032D9" w:rsidRDefault="00BA3AF2" w:rsidP="003032D9">
      <w:r w:rsidRPr="00F84E6D">
        <w:rPr>
          <w:b/>
        </w:rPr>
        <w:t>What are the continuous enrollment criteria:</w:t>
      </w:r>
      <w:r w:rsidR="003032D9" w:rsidRPr="003032D9">
        <w:t xml:space="preserve"> The</w:t>
      </w:r>
      <w:r w:rsidR="003032D9">
        <w:rPr>
          <w:b/>
        </w:rPr>
        <w:t xml:space="preserve"> </w:t>
      </w:r>
      <w:r w:rsidR="003032D9">
        <w:t>measurement year</w:t>
      </w:r>
      <w:r w:rsidR="00394C56">
        <w:br/>
      </w:r>
      <w:r w:rsidR="00431303">
        <w:rPr>
          <w:b/>
        </w:rPr>
        <w:br/>
      </w:r>
      <w:r w:rsidRPr="00F84E6D">
        <w:rPr>
          <w:b/>
        </w:rPr>
        <w:t>What are allowable gaps in enrollment:</w:t>
      </w:r>
      <w:r w:rsidR="002C5DDE">
        <w:rPr>
          <w:b/>
        </w:rPr>
        <w:t xml:space="preserve"> </w:t>
      </w:r>
      <w:r w:rsidR="003032D9">
        <w:rPr>
          <w:b/>
        </w:rPr>
        <w:t xml:space="preserve"> </w:t>
      </w:r>
      <w:r w:rsidR="003032D9" w:rsidRPr="003032D9">
        <w:t>No more than one gap in enrollment of up to 45 days during the year of continuous enrollment.</w:t>
      </w:r>
    </w:p>
    <w:p w14:paraId="196061DA" w14:textId="22B23B10" w:rsidR="00C87ACF" w:rsidRPr="003032D9" w:rsidRDefault="00BA3AF2" w:rsidP="002C5DDE">
      <w:pPr>
        <w:spacing w:after="120" w:line="240" w:lineRule="auto"/>
        <w:rPr>
          <w:color w:val="FF0000"/>
        </w:rPr>
      </w:pPr>
      <w:r w:rsidRPr="00F84E6D">
        <w:rPr>
          <w:b/>
        </w:rPr>
        <w:t>Define Anchor Date (if applicable):</w:t>
      </w:r>
      <w:r w:rsidR="003A46E3">
        <w:rPr>
          <w:b/>
        </w:rPr>
        <w:t xml:space="preserve"> </w:t>
      </w:r>
      <w:r w:rsidR="003032D9">
        <w:rPr>
          <w:b/>
        </w:rPr>
        <w:t xml:space="preserve"> </w:t>
      </w:r>
      <w:r w:rsidR="003032D9">
        <w:t>The last day of the measurement year</w:t>
      </w:r>
    </w:p>
    <w:p w14:paraId="7B40B437" w14:textId="041B2727" w:rsidR="008A11DC" w:rsidRPr="008A11DC" w:rsidRDefault="008A11DC" w:rsidP="002C5DDE">
      <w:pPr>
        <w:spacing w:after="120" w:line="240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9A663" wp14:editId="0D30E5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38875" cy="2857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8875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973074" w14:textId="77777777" w:rsidR="008A11DC" w:rsidRPr="001F2E13" w:rsidRDefault="008A11DC" w:rsidP="008A11DC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Version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9A663" id="Text Box 4" o:spid="_x0000_s1028" type="#_x0000_t202" style="position:absolute;margin-left:0;margin-top:0;width:491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" fillcolor="windowText" strokeweight=".5pt">
                <v:path arrowok="t"/>
                <v:textbox>
                  <w:txbxContent>
                    <w:p w14:paraId="22973074" w14:textId="77777777" w:rsidR="008A11DC" w:rsidRPr="001F2E13" w:rsidRDefault="008A11DC" w:rsidP="008A11DC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Version Control</w:t>
                      </w:r>
                    </w:p>
                  </w:txbxContent>
                </v:textbox>
              </v:shape>
            </w:pict>
          </mc:Fallback>
        </mc:AlternateContent>
      </w:r>
    </w:p>
    <w:p w14:paraId="51A92C4D" w14:textId="77777777" w:rsidR="00605F90" w:rsidRDefault="00605F90" w:rsidP="00605F90">
      <w:pPr>
        <w:spacing w:after="0" w:line="240" w:lineRule="auto"/>
      </w:pPr>
    </w:p>
    <w:p w14:paraId="27E80327" w14:textId="77777777" w:rsidR="008A11DC" w:rsidRPr="00656B55" w:rsidRDefault="008A11DC" w:rsidP="00605F90">
      <w:pPr>
        <w:spacing w:after="0" w:line="240" w:lineRule="auto"/>
      </w:pPr>
    </w:p>
    <w:sectPr w:rsidR="008A11DC" w:rsidRPr="00656B55" w:rsidSect="00C33F8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27C61" w14:textId="77777777" w:rsidR="00763E57" w:rsidRDefault="00763E57" w:rsidP="00656B55">
      <w:pPr>
        <w:spacing w:after="0" w:line="240" w:lineRule="auto"/>
      </w:pPr>
      <w:r>
        <w:separator/>
      </w:r>
    </w:p>
  </w:endnote>
  <w:endnote w:type="continuationSeparator" w:id="0">
    <w:p w14:paraId="61A019CC" w14:textId="77777777" w:rsidR="00763E57" w:rsidRDefault="00763E57" w:rsidP="0065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6E3C" w14:textId="34FA4AF0" w:rsidR="0005364C" w:rsidRDefault="00431303">
    <w:pPr>
      <w:pStyle w:val="Footer"/>
    </w:pPr>
    <w:r>
      <w:t>201</w:t>
    </w:r>
    <w:r w:rsidR="00DB7E71">
      <w:t>7</w:t>
    </w:r>
    <w:r>
      <w:t xml:space="preserve"> Measure Specification Sheet</w:t>
    </w:r>
    <w:r>
      <w:tab/>
    </w:r>
    <w:r w:rsidR="0005364C">
      <w:tab/>
      <w:t xml:space="preserve">Page </w:t>
    </w:r>
    <w:r w:rsidR="0005364C">
      <w:rPr>
        <w:b/>
      </w:rPr>
      <w:fldChar w:fldCharType="begin"/>
    </w:r>
    <w:r w:rsidR="0005364C">
      <w:rPr>
        <w:b/>
      </w:rPr>
      <w:instrText xml:space="preserve"> PAGE  \* Arabic  \* MERGEFORMAT </w:instrText>
    </w:r>
    <w:r w:rsidR="0005364C">
      <w:rPr>
        <w:b/>
      </w:rPr>
      <w:fldChar w:fldCharType="separate"/>
    </w:r>
    <w:r w:rsidR="000E1FB0">
      <w:rPr>
        <w:b/>
        <w:noProof/>
      </w:rPr>
      <w:t>1</w:t>
    </w:r>
    <w:r w:rsidR="0005364C">
      <w:rPr>
        <w:b/>
      </w:rPr>
      <w:fldChar w:fldCharType="end"/>
    </w:r>
    <w:r w:rsidR="0005364C">
      <w:t xml:space="preserve"> of </w:t>
    </w:r>
    <w:r w:rsidR="0005364C">
      <w:rPr>
        <w:b/>
      </w:rPr>
      <w:fldChar w:fldCharType="begin"/>
    </w:r>
    <w:r w:rsidR="0005364C">
      <w:rPr>
        <w:b/>
      </w:rPr>
      <w:instrText xml:space="preserve"> NUMPAGES  \* Arabic  \* MERGEFORMAT </w:instrText>
    </w:r>
    <w:r w:rsidR="0005364C">
      <w:rPr>
        <w:b/>
      </w:rPr>
      <w:fldChar w:fldCharType="separate"/>
    </w:r>
    <w:r w:rsidR="000E1FB0">
      <w:rPr>
        <w:b/>
        <w:noProof/>
      </w:rPr>
      <w:t>2</w:t>
    </w:r>
    <w:r w:rsidR="0005364C">
      <w:rPr>
        <w:b/>
      </w:rPr>
      <w:fldChar w:fldCharType="end"/>
    </w:r>
  </w:p>
  <w:p w14:paraId="16DEC5D6" w14:textId="6EE9D8DF" w:rsidR="00B378F3" w:rsidRDefault="00DB7E71">
    <w:pPr>
      <w:pStyle w:val="Footer"/>
    </w:pPr>
    <w:r>
      <w:t>May 25,</w:t>
    </w:r>
    <w:r w:rsidR="00796EA7">
      <w:t xml:space="preserve"> 201</w:t>
    </w: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81D7F" w14:textId="77777777" w:rsidR="00763E57" w:rsidRDefault="00763E57" w:rsidP="00656B55">
      <w:pPr>
        <w:spacing w:after="0" w:line="240" w:lineRule="auto"/>
      </w:pPr>
      <w:r>
        <w:separator/>
      </w:r>
    </w:p>
  </w:footnote>
  <w:footnote w:type="continuationSeparator" w:id="0">
    <w:p w14:paraId="1FCB7897" w14:textId="77777777" w:rsidR="00763E57" w:rsidRDefault="00763E57" w:rsidP="0065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FB65B" w14:textId="77777777" w:rsidR="0005364C" w:rsidRDefault="0005364C">
    <w:pPr>
      <w:pStyle w:val="Header"/>
    </w:pPr>
    <w:r>
      <w:rPr>
        <w:noProof/>
      </w:rPr>
      <w:drawing>
        <wp:inline distT="0" distB="0" distL="0" distR="0" wp14:anchorId="5CD8BB78" wp14:editId="019CD6B8">
          <wp:extent cx="1143000" cy="419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3BDF6" w14:textId="77777777" w:rsidR="0005364C" w:rsidRDefault="0005364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08FF"/>
    <w:multiLevelType w:val="hybridMultilevel"/>
    <w:tmpl w:val="1292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35FE"/>
    <w:multiLevelType w:val="hybridMultilevel"/>
    <w:tmpl w:val="0F0E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72A0B"/>
    <w:multiLevelType w:val="hybridMultilevel"/>
    <w:tmpl w:val="1B4C9978"/>
    <w:lvl w:ilvl="0" w:tplc="6F1A9720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6566C"/>
    <w:multiLevelType w:val="hybridMultilevel"/>
    <w:tmpl w:val="5B6E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81BB9"/>
    <w:multiLevelType w:val="hybridMultilevel"/>
    <w:tmpl w:val="940E7B96"/>
    <w:lvl w:ilvl="0" w:tplc="17DCD0F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FB70A0"/>
    <w:multiLevelType w:val="hybridMultilevel"/>
    <w:tmpl w:val="0FD4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526D0"/>
    <w:multiLevelType w:val="hybridMultilevel"/>
    <w:tmpl w:val="AAAE510A"/>
    <w:lvl w:ilvl="0" w:tplc="D8F0ED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F4477"/>
    <w:multiLevelType w:val="hybridMultilevel"/>
    <w:tmpl w:val="D9E823B4"/>
    <w:lvl w:ilvl="0" w:tplc="0BE6B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forms"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55"/>
    <w:rsid w:val="0002589F"/>
    <w:rsid w:val="0005364C"/>
    <w:rsid w:val="00054AD5"/>
    <w:rsid w:val="00056ACD"/>
    <w:rsid w:val="00060E7B"/>
    <w:rsid w:val="00063274"/>
    <w:rsid w:val="0008528B"/>
    <w:rsid w:val="00087500"/>
    <w:rsid w:val="00092CD6"/>
    <w:rsid w:val="000A6ED3"/>
    <w:rsid w:val="000B7C19"/>
    <w:rsid w:val="000E1FB0"/>
    <w:rsid w:val="000F4F62"/>
    <w:rsid w:val="00106C46"/>
    <w:rsid w:val="001122EC"/>
    <w:rsid w:val="00112912"/>
    <w:rsid w:val="001207E6"/>
    <w:rsid w:val="001275AF"/>
    <w:rsid w:val="00143141"/>
    <w:rsid w:val="00164572"/>
    <w:rsid w:val="0016768C"/>
    <w:rsid w:val="00175AFF"/>
    <w:rsid w:val="00183CDE"/>
    <w:rsid w:val="00191F4C"/>
    <w:rsid w:val="00192BB0"/>
    <w:rsid w:val="001A1A5B"/>
    <w:rsid w:val="001C734C"/>
    <w:rsid w:val="001D0341"/>
    <w:rsid w:val="001D54BE"/>
    <w:rsid w:val="001F2E13"/>
    <w:rsid w:val="00200982"/>
    <w:rsid w:val="00204F56"/>
    <w:rsid w:val="00205226"/>
    <w:rsid w:val="002108AA"/>
    <w:rsid w:val="00217477"/>
    <w:rsid w:val="00271166"/>
    <w:rsid w:val="00295AC9"/>
    <w:rsid w:val="002C5DDE"/>
    <w:rsid w:val="002E679B"/>
    <w:rsid w:val="002E7320"/>
    <w:rsid w:val="002F4B3D"/>
    <w:rsid w:val="003032D9"/>
    <w:rsid w:val="003105ED"/>
    <w:rsid w:val="00311E17"/>
    <w:rsid w:val="00316E8D"/>
    <w:rsid w:val="00332B08"/>
    <w:rsid w:val="00337E80"/>
    <w:rsid w:val="00373049"/>
    <w:rsid w:val="00380775"/>
    <w:rsid w:val="00384536"/>
    <w:rsid w:val="00394C56"/>
    <w:rsid w:val="003A46E3"/>
    <w:rsid w:val="003A5953"/>
    <w:rsid w:val="003B0BB0"/>
    <w:rsid w:val="003B4EF0"/>
    <w:rsid w:val="003B727F"/>
    <w:rsid w:val="003E7D83"/>
    <w:rsid w:val="003F1089"/>
    <w:rsid w:val="003F2A45"/>
    <w:rsid w:val="003F7D29"/>
    <w:rsid w:val="0041222B"/>
    <w:rsid w:val="00431303"/>
    <w:rsid w:val="00432818"/>
    <w:rsid w:val="00434F18"/>
    <w:rsid w:val="00442EEB"/>
    <w:rsid w:val="00444E93"/>
    <w:rsid w:val="004565D6"/>
    <w:rsid w:val="00471F87"/>
    <w:rsid w:val="00473850"/>
    <w:rsid w:val="00496DD2"/>
    <w:rsid w:val="004A2C88"/>
    <w:rsid w:val="004B3154"/>
    <w:rsid w:val="004B6C30"/>
    <w:rsid w:val="004D5220"/>
    <w:rsid w:val="004E3D76"/>
    <w:rsid w:val="004F63EF"/>
    <w:rsid w:val="005033B7"/>
    <w:rsid w:val="005348EC"/>
    <w:rsid w:val="005400B7"/>
    <w:rsid w:val="00544FE4"/>
    <w:rsid w:val="00545608"/>
    <w:rsid w:val="00560C75"/>
    <w:rsid w:val="00564487"/>
    <w:rsid w:val="00564AF0"/>
    <w:rsid w:val="0056617D"/>
    <w:rsid w:val="005964F5"/>
    <w:rsid w:val="005C7D09"/>
    <w:rsid w:val="005D05A9"/>
    <w:rsid w:val="005D1B9D"/>
    <w:rsid w:val="005D33C7"/>
    <w:rsid w:val="005E1170"/>
    <w:rsid w:val="005E5668"/>
    <w:rsid w:val="00602C0B"/>
    <w:rsid w:val="00605F90"/>
    <w:rsid w:val="0061410F"/>
    <w:rsid w:val="00626F42"/>
    <w:rsid w:val="00630746"/>
    <w:rsid w:val="0065507B"/>
    <w:rsid w:val="00656B55"/>
    <w:rsid w:val="00663633"/>
    <w:rsid w:val="00672C86"/>
    <w:rsid w:val="00680EF5"/>
    <w:rsid w:val="006943FF"/>
    <w:rsid w:val="006A155D"/>
    <w:rsid w:val="006C6F98"/>
    <w:rsid w:val="006C704C"/>
    <w:rsid w:val="006D0677"/>
    <w:rsid w:val="0070060C"/>
    <w:rsid w:val="0071670B"/>
    <w:rsid w:val="00732B05"/>
    <w:rsid w:val="00736281"/>
    <w:rsid w:val="00746505"/>
    <w:rsid w:val="00763E57"/>
    <w:rsid w:val="00767351"/>
    <w:rsid w:val="0078100C"/>
    <w:rsid w:val="00796EA7"/>
    <w:rsid w:val="007A2FB5"/>
    <w:rsid w:val="00802024"/>
    <w:rsid w:val="00821CC3"/>
    <w:rsid w:val="008230B7"/>
    <w:rsid w:val="00832A7E"/>
    <w:rsid w:val="008549BE"/>
    <w:rsid w:val="00861C09"/>
    <w:rsid w:val="00865D78"/>
    <w:rsid w:val="00871390"/>
    <w:rsid w:val="008A11DC"/>
    <w:rsid w:val="008B59D9"/>
    <w:rsid w:val="008B6AA6"/>
    <w:rsid w:val="008C5A7D"/>
    <w:rsid w:val="008D042E"/>
    <w:rsid w:val="008D5456"/>
    <w:rsid w:val="008F2C2D"/>
    <w:rsid w:val="00905244"/>
    <w:rsid w:val="00925D1B"/>
    <w:rsid w:val="00941F31"/>
    <w:rsid w:val="00956CB6"/>
    <w:rsid w:val="00981871"/>
    <w:rsid w:val="00990222"/>
    <w:rsid w:val="00994438"/>
    <w:rsid w:val="009A1A25"/>
    <w:rsid w:val="009B3D2B"/>
    <w:rsid w:val="009B6451"/>
    <w:rsid w:val="009B6D93"/>
    <w:rsid w:val="009C1301"/>
    <w:rsid w:val="009C2F31"/>
    <w:rsid w:val="009D04AA"/>
    <w:rsid w:val="009D1115"/>
    <w:rsid w:val="009E4BBF"/>
    <w:rsid w:val="009E6065"/>
    <w:rsid w:val="00A053C6"/>
    <w:rsid w:val="00A31F0D"/>
    <w:rsid w:val="00A6649D"/>
    <w:rsid w:val="00A707C8"/>
    <w:rsid w:val="00A719E1"/>
    <w:rsid w:val="00A80B72"/>
    <w:rsid w:val="00A836C7"/>
    <w:rsid w:val="00A93FBF"/>
    <w:rsid w:val="00AA2C71"/>
    <w:rsid w:val="00AB47B2"/>
    <w:rsid w:val="00AC0146"/>
    <w:rsid w:val="00AC1C99"/>
    <w:rsid w:val="00AC2451"/>
    <w:rsid w:val="00AE50F4"/>
    <w:rsid w:val="00AE5EE1"/>
    <w:rsid w:val="00B125A2"/>
    <w:rsid w:val="00B15D84"/>
    <w:rsid w:val="00B27C93"/>
    <w:rsid w:val="00B378F3"/>
    <w:rsid w:val="00B5484E"/>
    <w:rsid w:val="00B836B7"/>
    <w:rsid w:val="00B87038"/>
    <w:rsid w:val="00BA15BE"/>
    <w:rsid w:val="00BA3AF2"/>
    <w:rsid w:val="00BA3CFD"/>
    <w:rsid w:val="00BC1825"/>
    <w:rsid w:val="00BE71E5"/>
    <w:rsid w:val="00C03F89"/>
    <w:rsid w:val="00C213AF"/>
    <w:rsid w:val="00C267B6"/>
    <w:rsid w:val="00C33A4C"/>
    <w:rsid w:val="00C33F88"/>
    <w:rsid w:val="00C620F8"/>
    <w:rsid w:val="00C62293"/>
    <w:rsid w:val="00C635B9"/>
    <w:rsid w:val="00C639DD"/>
    <w:rsid w:val="00C6486F"/>
    <w:rsid w:val="00C87ACF"/>
    <w:rsid w:val="00CA65A7"/>
    <w:rsid w:val="00CB3882"/>
    <w:rsid w:val="00CB3B35"/>
    <w:rsid w:val="00CB4F09"/>
    <w:rsid w:val="00CD4736"/>
    <w:rsid w:val="00CD7173"/>
    <w:rsid w:val="00CF4263"/>
    <w:rsid w:val="00CF6AB7"/>
    <w:rsid w:val="00D06981"/>
    <w:rsid w:val="00D13E40"/>
    <w:rsid w:val="00D2468D"/>
    <w:rsid w:val="00D25433"/>
    <w:rsid w:val="00D40DCB"/>
    <w:rsid w:val="00D5111E"/>
    <w:rsid w:val="00D57F4B"/>
    <w:rsid w:val="00D6230F"/>
    <w:rsid w:val="00D66493"/>
    <w:rsid w:val="00D9359D"/>
    <w:rsid w:val="00D95AA6"/>
    <w:rsid w:val="00D96E2C"/>
    <w:rsid w:val="00D9738E"/>
    <w:rsid w:val="00DA1AE4"/>
    <w:rsid w:val="00DB1B02"/>
    <w:rsid w:val="00DB1EE3"/>
    <w:rsid w:val="00DB2AD8"/>
    <w:rsid w:val="00DB7E71"/>
    <w:rsid w:val="00DE694E"/>
    <w:rsid w:val="00E04333"/>
    <w:rsid w:val="00E30DDA"/>
    <w:rsid w:val="00E46BF0"/>
    <w:rsid w:val="00E60082"/>
    <w:rsid w:val="00E61058"/>
    <w:rsid w:val="00E66636"/>
    <w:rsid w:val="00E75278"/>
    <w:rsid w:val="00E9580D"/>
    <w:rsid w:val="00EA13B0"/>
    <w:rsid w:val="00EB04FD"/>
    <w:rsid w:val="00EF3015"/>
    <w:rsid w:val="00F306F1"/>
    <w:rsid w:val="00F52B9F"/>
    <w:rsid w:val="00F6327B"/>
    <w:rsid w:val="00F84E6D"/>
    <w:rsid w:val="00F97666"/>
    <w:rsid w:val="00FB0986"/>
    <w:rsid w:val="00FC21C0"/>
    <w:rsid w:val="00FC451E"/>
    <w:rsid w:val="00FD53F0"/>
    <w:rsid w:val="00F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40C33F0"/>
  <w15:docId w15:val="{DCFB978C-B6D2-4582-9356-37B83E02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8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DB2A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6B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6B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B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043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B2A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5A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A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73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38E"/>
    <w:rPr>
      <w:b/>
      <w:bCs/>
      <w:sz w:val="20"/>
      <w:szCs w:val="20"/>
    </w:rPr>
  </w:style>
  <w:style w:type="paragraph" w:customStyle="1" w:styleId="Default">
    <w:name w:val="Default"/>
    <w:rsid w:val="00412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qaalliance.org/images/uploads/files/PQA%20measuresJuly201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dc.gov/drugoverdose/prescribing/guidel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cymeddirectors.wa.gov/Files/2015AMDGOpioidGuidelin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64022D8A2624DABDA8075BFE0C290" ma:contentTypeVersion="18" ma:contentTypeDescription="Create a new document." ma:contentTypeScope="" ma:versionID="d944f579566cf9ce70df1124a166d9b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264b064b-d37d-4b27-a168-5480bf56d987" targetNamespace="http://schemas.microsoft.com/office/2006/metadata/properties" ma:root="true" ma:fieldsID="b6dae96813d4a543e1cc17796b0b52c1" ns1:_="" ns2:_="" ns3:_="">
    <xsd:import namespace="http://schemas.microsoft.com/sharepoint/v3"/>
    <xsd:import namespace="59da1016-2a1b-4f8a-9768-d7a4932f6f16"/>
    <xsd:import namespace="264b064b-d37d-4b27-a168-5480bf56d987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b064b-d37d-4b27-a168-5480bf56d987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 xsi:nil="true"/>
    <IASubtopic xmlns="59da1016-2a1b-4f8a-9768-d7a4932f6f16" xsi:nil="true"/>
    <DocumentExpirationDate xmlns="59da1016-2a1b-4f8a-9768-d7a4932f6f16" xsi:nil="true"/>
    <IATopic xmlns="59da1016-2a1b-4f8a-9768-d7a4932f6f16" xsi:nil="true"/>
    <Meta_x0020_Description xmlns="264b064b-d37d-4b27-a168-5480bf56d987">2016-Specification-Sheet</Meta_x0020_Description>
    <Meta_x0020_Keywords xmlns="264b064b-d37d-4b27-a168-5480bf56d987" xsi:nil="true"/>
  </documentManagement>
</p:properties>
</file>

<file path=customXml/itemProps1.xml><?xml version="1.0" encoding="utf-8"?>
<ds:datastoreItem xmlns:ds="http://schemas.openxmlformats.org/officeDocument/2006/customXml" ds:itemID="{204E93AA-9EFE-4A3C-931F-7FDA7321B61C}"/>
</file>

<file path=customXml/itemProps2.xml><?xml version="1.0" encoding="utf-8"?>
<ds:datastoreItem xmlns:ds="http://schemas.openxmlformats.org/officeDocument/2006/customXml" ds:itemID="{F47E002C-E00A-4782-B58A-6D8DE1834610}"/>
</file>

<file path=customXml/itemProps3.xml><?xml version="1.0" encoding="utf-8"?>
<ds:datastoreItem xmlns:ds="http://schemas.openxmlformats.org/officeDocument/2006/customXml" ds:itemID="{59E26B3F-30DA-4367-9377-9E036088F569}"/>
</file>

<file path=customXml/itemProps4.xml><?xml version="1.0" encoding="utf-8"?>
<ds:datastoreItem xmlns:ds="http://schemas.openxmlformats.org/officeDocument/2006/customXml" ds:itemID="{C9EADFEE-7664-4DD9-BBF9-E01C082497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Internal Measure Steward Information</vt:lpstr>
    </vt:vector>
  </TitlesOfParts>
  <Company>Oregon DHS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2016-Specification-Sheet</dc:title>
  <dc:creator>Collins Jon C</dc:creator>
  <cp:keywords/>
  <cp:lastModifiedBy>Nancy Siegel</cp:lastModifiedBy>
  <cp:revision>3</cp:revision>
  <cp:lastPrinted>2014-12-17T19:47:00Z</cp:lastPrinted>
  <dcterms:created xsi:type="dcterms:W3CDTF">2017-05-26T00:12:00Z</dcterms:created>
  <dcterms:modified xsi:type="dcterms:W3CDTF">2017-06-01T15:31:00Z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0x01010000664022D8A2624DABDA8075BFE0C290</vt:lpwstr>
  </property>
</Properties>
</file>