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8079B5D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7878B9C1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555">
        <w:t>Health Policy &amp; Analytics</w:t>
      </w:r>
    </w:p>
    <w:p w14:paraId="67AC1DDF" w14:textId="3B4D45EB" w:rsidR="00B2771A" w:rsidRDefault="00B2771A" w:rsidP="00067B31">
      <w:pPr>
        <w:pStyle w:val="ProgramName"/>
        <w:ind w:right="72"/>
      </w:pPr>
    </w:p>
    <w:p w14:paraId="6CA16DE5" w14:textId="320D4572" w:rsidR="0050179B" w:rsidRPr="005C7B61" w:rsidRDefault="005C7B61" w:rsidP="005C7B61">
      <w:pPr>
        <w:pStyle w:val="Heading1"/>
        <w:rPr>
          <w:bCs/>
          <w:lang w:val="es-419"/>
        </w:rPr>
      </w:pPr>
      <w:r w:rsidRPr="005C7B61">
        <w:rPr>
          <w:bCs/>
          <w:lang w:val="es-419"/>
        </w:rPr>
        <w:t>Definiciones de los miembros elegibles del Comité</w:t>
      </w:r>
    </w:p>
    <w:p w14:paraId="7B5E5E7F" w14:textId="174407DC" w:rsidR="00D64E45" w:rsidRPr="005C7B61" w:rsidRDefault="005C7B61" w:rsidP="005C7B61">
      <w:pPr>
        <w:rPr>
          <w:b/>
          <w:bCs/>
          <w:lang w:val="es-419"/>
        </w:rPr>
      </w:pPr>
      <w:r w:rsidRPr="005C7B61">
        <w:rPr>
          <w:b/>
          <w:bCs/>
          <w:lang w:val="es-419"/>
        </w:rPr>
        <w:t xml:space="preserve">La Junta de Políticas de Salud de </w:t>
      </w:r>
      <w:proofErr w:type="spellStart"/>
      <w:r w:rsidRPr="005C7B61">
        <w:rPr>
          <w:b/>
          <w:bCs/>
          <w:lang w:val="es-419"/>
        </w:rPr>
        <w:t>Oregon</w:t>
      </w:r>
      <w:proofErr w:type="spellEnd"/>
      <w:r w:rsidRPr="005C7B61">
        <w:rPr>
          <w:b/>
          <w:bCs/>
          <w:lang w:val="es-419"/>
        </w:rPr>
        <w:t xml:space="preserve"> (</w:t>
      </w:r>
      <w:proofErr w:type="spellStart"/>
      <w:r w:rsidRPr="005C7B61">
        <w:rPr>
          <w:b/>
          <w:bCs/>
          <w:lang w:val="es-419"/>
        </w:rPr>
        <w:t>Oregon</w:t>
      </w:r>
      <w:proofErr w:type="spellEnd"/>
      <w:r w:rsidRPr="005C7B61">
        <w:rPr>
          <w:b/>
          <w:bCs/>
          <w:lang w:val="es-419"/>
        </w:rPr>
        <w:t xml:space="preserve"> </w:t>
      </w:r>
      <w:proofErr w:type="spellStart"/>
      <w:r w:rsidRPr="005C7B61">
        <w:rPr>
          <w:b/>
          <w:bCs/>
          <w:lang w:val="es-419"/>
        </w:rPr>
        <w:t>Health</w:t>
      </w:r>
      <w:proofErr w:type="spellEnd"/>
      <w:r w:rsidRPr="005C7B61">
        <w:rPr>
          <w:b/>
          <w:bCs/>
          <w:lang w:val="es-419"/>
        </w:rPr>
        <w:t xml:space="preserve"> </w:t>
      </w:r>
      <w:proofErr w:type="spellStart"/>
      <w:r w:rsidRPr="005C7B61">
        <w:rPr>
          <w:b/>
          <w:bCs/>
          <w:lang w:val="es-419"/>
        </w:rPr>
        <w:t>Policy</w:t>
      </w:r>
      <w:proofErr w:type="spellEnd"/>
      <w:r w:rsidRPr="005C7B61">
        <w:rPr>
          <w:b/>
          <w:bCs/>
          <w:lang w:val="es-419"/>
        </w:rPr>
        <w:t xml:space="preserve"> </w:t>
      </w:r>
      <w:proofErr w:type="spellStart"/>
      <w:r w:rsidRPr="005C7B61">
        <w:rPr>
          <w:b/>
          <w:bCs/>
          <w:lang w:val="es-419"/>
        </w:rPr>
        <w:t>Board</w:t>
      </w:r>
      <w:proofErr w:type="spellEnd"/>
      <w:r w:rsidRPr="005C7B61">
        <w:rPr>
          <w:b/>
          <w:bCs/>
          <w:lang w:val="es-419"/>
        </w:rPr>
        <w:t xml:space="preserve">, OHPB) tiene el compromiso de hacer que la atención médica sea más accesible para todos los habitantes de </w:t>
      </w:r>
      <w:proofErr w:type="spellStart"/>
      <w:r w:rsidRPr="005C7B61">
        <w:rPr>
          <w:b/>
          <w:bCs/>
          <w:lang w:val="es-419"/>
        </w:rPr>
        <w:t>Oregon</w:t>
      </w:r>
      <w:proofErr w:type="spellEnd"/>
      <w:r w:rsidRPr="005C7B61">
        <w:rPr>
          <w:b/>
          <w:bCs/>
          <w:lang w:val="es-419"/>
        </w:rPr>
        <w:t>. Para cumplir esta promesa, la OHPB está creando un</w:t>
      </w:r>
      <w:r w:rsidRPr="005C7B61">
        <w:rPr>
          <w:b/>
          <w:bCs/>
          <w:lang w:val="es-419"/>
        </w:rPr>
        <w:t xml:space="preserve"> </w:t>
      </w:r>
      <w:hyperlink r:id="rId12" w:history="1">
        <w:r>
          <w:rPr>
            <w:rStyle w:val="Hyperlink"/>
            <w:b/>
            <w:bCs/>
            <w:lang w:val="es-419"/>
          </w:rPr>
          <w:t>Comité de Asequibilidad de la Atención Médica</w:t>
        </w:r>
      </w:hyperlink>
      <w:r w:rsidR="00C85772" w:rsidRPr="005C7B61">
        <w:rPr>
          <w:b/>
          <w:bCs/>
          <w:lang w:val="es-419"/>
        </w:rPr>
        <w:t xml:space="preserve"> </w:t>
      </w:r>
      <w:r w:rsidRPr="005C7B61">
        <w:rPr>
          <w:b/>
          <w:bCs/>
          <w:lang w:val="es-419"/>
        </w:rPr>
        <w:t>y un</w:t>
      </w:r>
      <w:r w:rsidR="00C85772" w:rsidRPr="005C7B61">
        <w:rPr>
          <w:b/>
          <w:bCs/>
          <w:lang w:val="es-419"/>
        </w:rPr>
        <w:t xml:space="preserve"> </w:t>
      </w:r>
      <w:hyperlink r:id="rId13" w:history="1">
        <w:r w:rsidR="0086797B">
          <w:rPr>
            <w:rStyle w:val="Hyperlink"/>
            <w:b/>
            <w:bCs/>
            <w:lang w:val="es-419"/>
          </w:rPr>
          <w:t>Comité Asesor de la Industria</w:t>
        </w:r>
      </w:hyperlink>
      <w:r w:rsidR="00C85772" w:rsidRPr="005C7B61">
        <w:rPr>
          <w:b/>
          <w:bCs/>
          <w:lang w:val="es-419"/>
        </w:rPr>
        <w:t xml:space="preserve">. </w:t>
      </w:r>
    </w:p>
    <w:p w14:paraId="65241311" w14:textId="136BDDE1" w:rsidR="001961F8" w:rsidRPr="005C7B61" w:rsidRDefault="005C7B61" w:rsidP="005C7B61">
      <w:pPr>
        <w:rPr>
          <w:lang w:val="es-419"/>
        </w:rPr>
      </w:pPr>
      <w:r w:rsidRPr="005C7B61">
        <w:rPr>
          <w:lang w:val="es-419"/>
        </w:rPr>
        <w:t>Este documento ofrece descripciones más detalladas de las perspectivas y la representación que la OHPB busca en cada comité.</w:t>
      </w:r>
    </w:p>
    <w:p w14:paraId="20111047" w14:textId="0D021E23" w:rsidR="001961F8" w:rsidRPr="00EA543A" w:rsidRDefault="00EA543A" w:rsidP="001961F8">
      <w:pPr>
        <w:pStyle w:val="Heading3"/>
        <w:rPr>
          <w:lang w:val="es-419"/>
        </w:rPr>
      </w:pPr>
      <w:r w:rsidRPr="00EA543A">
        <w:rPr>
          <w:lang w:val="es-419"/>
        </w:rPr>
        <w:t>Comité de Asequibilidad de la Atención Médica</w:t>
      </w:r>
      <w:r w:rsidR="001961F8" w:rsidRPr="00EA543A">
        <w:rPr>
          <w:lang w:val="es-419"/>
        </w:rPr>
        <w:t xml:space="preserve"> </w:t>
      </w:r>
    </w:p>
    <w:p w14:paraId="37DC9537" w14:textId="2D9F2688" w:rsidR="001961F8" w:rsidRPr="00DD2B81" w:rsidRDefault="00DD2B81" w:rsidP="00DD2B81">
      <w:pPr>
        <w:spacing w:after="160" w:line="259" w:lineRule="auto"/>
        <w:ind w:left="360"/>
        <w:rPr>
          <w:lang w:val="es-419"/>
        </w:rPr>
      </w:pPr>
      <w:r w:rsidRPr="00DD2B81">
        <w:rPr>
          <w:lang w:val="es-419"/>
        </w:rPr>
        <w:t xml:space="preserve">La Junta de Políticas de Salud de </w:t>
      </w:r>
      <w:proofErr w:type="spellStart"/>
      <w:r w:rsidRPr="00DD2B81">
        <w:rPr>
          <w:lang w:val="es-419"/>
        </w:rPr>
        <w:t>Oregon</w:t>
      </w:r>
      <w:proofErr w:type="spellEnd"/>
      <w:r w:rsidRPr="00DD2B81">
        <w:rPr>
          <w:lang w:val="es-419"/>
        </w:rPr>
        <w:t xml:space="preserve"> busca </w:t>
      </w:r>
      <w:r w:rsidRPr="00DD2B81">
        <w:rPr>
          <w:b/>
          <w:bCs/>
          <w:lang w:val="es-419"/>
        </w:rPr>
        <w:t>nueve miembros</w:t>
      </w:r>
      <w:r w:rsidRPr="00DD2B81">
        <w:rPr>
          <w:lang w:val="es-419"/>
        </w:rPr>
        <w:t xml:space="preserve"> para el Comité de A</w:t>
      </w:r>
      <w:r w:rsidR="0086797B">
        <w:rPr>
          <w:lang w:val="es-419"/>
        </w:rPr>
        <w:t>sequibilidad</w:t>
      </w:r>
      <w:r w:rsidRPr="00DD2B81">
        <w:rPr>
          <w:lang w:val="es-419"/>
        </w:rPr>
        <w:t>, que representen las siguientes perspectivas:</w:t>
      </w:r>
    </w:p>
    <w:p w14:paraId="12C1311E" w14:textId="0923E64F" w:rsidR="001961F8" w:rsidRPr="00915A4D" w:rsidRDefault="00915A4D" w:rsidP="00915A4D">
      <w:pPr>
        <w:numPr>
          <w:ilvl w:val="0"/>
          <w:numId w:val="13"/>
        </w:numPr>
        <w:rPr>
          <w:lang w:val="es-419"/>
        </w:rPr>
      </w:pPr>
      <w:r w:rsidRPr="00915A4D">
        <w:rPr>
          <w:b/>
          <w:bCs/>
          <w:lang w:val="es-419"/>
        </w:rPr>
        <w:t>Consumidores de atención médica</w:t>
      </w:r>
      <w:r>
        <w:rPr>
          <w:lang w:val="es-419"/>
        </w:rPr>
        <w:t xml:space="preserve"> -</w:t>
      </w:r>
      <w:r w:rsidRPr="00915A4D">
        <w:rPr>
          <w:lang w:val="es-419"/>
        </w:rPr>
        <w:t xml:space="preserve"> personas que directamente interactúan con el sistema de salud, incluyendo pacientes, cuidadores y familiares que enfrentan desafíos de accesibilidad a la atención médica. Esto incluye a personas que han utilizado servicios de salud en el pasado o que podrían utilizarlos en el futuro.</w:t>
      </w:r>
    </w:p>
    <w:p w14:paraId="01E2006F" w14:textId="7199C4E2" w:rsidR="001961F8" w:rsidRPr="00125FC5" w:rsidRDefault="00125FC5" w:rsidP="00125FC5">
      <w:pPr>
        <w:numPr>
          <w:ilvl w:val="0"/>
          <w:numId w:val="13"/>
        </w:numPr>
        <w:rPr>
          <w:lang w:val="es-419"/>
        </w:rPr>
      </w:pPr>
      <w:r w:rsidRPr="00125FC5">
        <w:rPr>
          <w:b/>
          <w:bCs/>
          <w:lang w:val="es-419"/>
        </w:rPr>
        <w:t>Personas que abogan por los pacientes</w:t>
      </w:r>
      <w:r>
        <w:rPr>
          <w:lang w:val="es-419"/>
        </w:rPr>
        <w:t xml:space="preserve"> -</w:t>
      </w:r>
      <w:r w:rsidRPr="00125FC5">
        <w:rPr>
          <w:lang w:val="es-419"/>
        </w:rPr>
        <w:t xml:space="preserve"> personas que trabajan de forma independiente o con organizaciones de defensa para mejorar las políticas de salud y la atención a los pacientes. Una persona que aboga por los pacientes participa en la elaboración de políticas o en la toma de decisiones a favor de los consumidores de servicios de salud.</w:t>
      </w:r>
    </w:p>
    <w:p w14:paraId="6666BCC6" w14:textId="78ECFAFF" w:rsidR="001961F8" w:rsidRPr="00125FC5" w:rsidRDefault="00125FC5" w:rsidP="00125FC5">
      <w:pPr>
        <w:numPr>
          <w:ilvl w:val="0"/>
          <w:numId w:val="13"/>
        </w:numPr>
        <w:rPr>
          <w:lang w:val="es-419"/>
        </w:rPr>
      </w:pPr>
      <w:r w:rsidRPr="00125FC5">
        <w:rPr>
          <w:b/>
          <w:bCs/>
          <w:lang w:val="es-419"/>
        </w:rPr>
        <w:t>Compradores de servicios de salud</w:t>
      </w:r>
      <w:r w:rsidRPr="00125FC5">
        <w:rPr>
          <w:lang w:val="es-419"/>
        </w:rPr>
        <w:t xml:space="preserve">: empleadores, coaliciones empresariales, organizaciones de trabajadores, grupos de consumidores y agencias del gobierno </w:t>
      </w:r>
      <w:r w:rsidRPr="00125FC5">
        <w:rPr>
          <w:lang w:val="es-419"/>
        </w:rPr>
        <w:lastRenderedPageBreak/>
        <w:t>que organizan o negocian la cobertura de salud en nombre de un grupo de personas</w:t>
      </w:r>
      <w:r w:rsidR="001961F8" w:rsidRPr="00125FC5">
        <w:rPr>
          <w:lang w:val="es-419"/>
        </w:rPr>
        <w:t>.</w:t>
      </w:r>
      <w:r w:rsidR="00DF29C8">
        <w:rPr>
          <w:rStyle w:val="FootnoteReference"/>
        </w:rPr>
        <w:footnoteReference w:id="2"/>
      </w:r>
      <w:r w:rsidR="001961F8" w:rsidRPr="00125FC5">
        <w:rPr>
          <w:lang w:val="es-419"/>
        </w:rPr>
        <w:t xml:space="preserve"> </w:t>
      </w:r>
    </w:p>
    <w:p w14:paraId="0E64E794" w14:textId="780AC3CF" w:rsidR="001961F8" w:rsidRPr="004F0977" w:rsidRDefault="004F0977" w:rsidP="004F0977">
      <w:pPr>
        <w:numPr>
          <w:ilvl w:val="0"/>
          <w:numId w:val="13"/>
        </w:numPr>
        <w:rPr>
          <w:lang w:val="es-419"/>
        </w:rPr>
      </w:pPr>
      <w:r w:rsidRPr="004F0977">
        <w:rPr>
          <w:b/>
          <w:bCs/>
          <w:lang w:val="es-419"/>
        </w:rPr>
        <w:t>Expertos en economía de la salud</w:t>
      </w:r>
      <w:r>
        <w:rPr>
          <w:lang w:val="es-419"/>
        </w:rPr>
        <w:t xml:space="preserve"> -</w:t>
      </w:r>
      <w:r w:rsidRPr="004F0977">
        <w:rPr>
          <w:lang w:val="es-419"/>
        </w:rPr>
        <w:t xml:space="preserve"> profesionales con un gran conocimiento de las teorías y métodos económicos que analizan los costos y las tendencias de gasto en atención médica utilizando teorías e investigaciones económicas.</w:t>
      </w:r>
    </w:p>
    <w:p w14:paraId="7495F4C8" w14:textId="4726D7E4" w:rsidR="001961F8" w:rsidRPr="004F0977" w:rsidRDefault="004F0977" w:rsidP="004F0977">
      <w:pPr>
        <w:numPr>
          <w:ilvl w:val="0"/>
          <w:numId w:val="13"/>
        </w:numPr>
        <w:rPr>
          <w:lang w:val="es-419"/>
        </w:rPr>
      </w:pPr>
      <w:r w:rsidRPr="004F0977">
        <w:rPr>
          <w:b/>
          <w:bCs/>
          <w:lang w:val="es-419"/>
        </w:rPr>
        <w:t>Expertos en políticas de salud</w:t>
      </w:r>
      <w:r>
        <w:rPr>
          <w:lang w:val="es-419"/>
        </w:rPr>
        <w:t xml:space="preserve"> -</w:t>
      </w:r>
      <w:r w:rsidRPr="004F0977">
        <w:rPr>
          <w:lang w:val="es-419"/>
        </w:rPr>
        <w:t xml:space="preserve"> profesionales con un gran conocimiento del sistema de atención médica y experiencia en investigación, academia, consultoría, grupos de políticas u organizaciones comunitarias centradas en la atención médica y el gobierno.</w:t>
      </w:r>
    </w:p>
    <w:p w14:paraId="55E649BF" w14:textId="59CA8B08" w:rsidR="00CA7C10" w:rsidRPr="004F0977" w:rsidRDefault="004F0977" w:rsidP="004F0977">
      <w:pPr>
        <w:pStyle w:val="Heading3"/>
        <w:rPr>
          <w:bCs/>
          <w:lang w:val="es-419"/>
        </w:rPr>
      </w:pPr>
      <w:r w:rsidRPr="004F0977">
        <w:rPr>
          <w:bCs/>
          <w:lang w:val="es-419"/>
        </w:rPr>
        <w:t>Comité Asesor de la Industria</w:t>
      </w:r>
    </w:p>
    <w:p w14:paraId="17A29060" w14:textId="20A41A84" w:rsidR="001961F8" w:rsidRPr="004F0977" w:rsidRDefault="004F0977" w:rsidP="004F0977">
      <w:pPr>
        <w:spacing w:after="160" w:line="259" w:lineRule="auto"/>
        <w:ind w:left="187"/>
        <w:rPr>
          <w:lang w:val="es-419"/>
        </w:rPr>
      </w:pPr>
      <w:r w:rsidRPr="004F0977">
        <w:rPr>
          <w:lang w:val="es-419"/>
        </w:rPr>
        <w:t xml:space="preserve">La Junta de Políticas de Salud de </w:t>
      </w:r>
      <w:proofErr w:type="spellStart"/>
      <w:r w:rsidRPr="004F0977">
        <w:rPr>
          <w:lang w:val="es-419"/>
        </w:rPr>
        <w:t>Oregon</w:t>
      </w:r>
      <w:proofErr w:type="spellEnd"/>
      <w:r w:rsidRPr="004F0977">
        <w:rPr>
          <w:lang w:val="es-419"/>
        </w:rPr>
        <w:t xml:space="preserve"> busca </w:t>
      </w:r>
      <w:r w:rsidRPr="004F0977">
        <w:rPr>
          <w:b/>
          <w:bCs/>
          <w:lang w:val="es-419"/>
        </w:rPr>
        <w:t>hasta 20 miembros</w:t>
      </w:r>
      <w:r w:rsidRPr="004F0977">
        <w:rPr>
          <w:lang w:val="es-419"/>
        </w:rPr>
        <w:t xml:space="preserve"> para el Comité Asesor de la Industria, para garantizar una representación diversa y amplia del panorama de la atención médica en </w:t>
      </w:r>
      <w:proofErr w:type="spellStart"/>
      <w:r w:rsidRPr="004F0977">
        <w:rPr>
          <w:lang w:val="es-419"/>
        </w:rPr>
        <w:t>Oregon</w:t>
      </w:r>
      <w:proofErr w:type="spellEnd"/>
      <w:r w:rsidRPr="004F0977">
        <w:rPr>
          <w:lang w:val="es-419"/>
        </w:rPr>
        <w:t>.</w:t>
      </w:r>
    </w:p>
    <w:p w14:paraId="528978C8" w14:textId="1B5DAA76" w:rsidR="001961F8" w:rsidRPr="00DF29C8" w:rsidRDefault="00DF29C8" w:rsidP="001961F8">
      <w:pPr>
        <w:spacing w:after="160" w:line="259" w:lineRule="auto"/>
        <w:ind w:left="0"/>
        <w:rPr>
          <w:b/>
          <w:bCs/>
        </w:rPr>
      </w:pPr>
      <w:r w:rsidRPr="004F0977">
        <w:rPr>
          <w:b/>
          <w:bCs/>
          <w:lang w:val="es-419"/>
        </w:rPr>
        <w:t xml:space="preserve">   </w:t>
      </w:r>
      <w:r w:rsidR="004F0977">
        <w:rPr>
          <w:b/>
          <w:bCs/>
        </w:rPr>
        <w:t xml:space="preserve">Planes de </w:t>
      </w:r>
      <w:proofErr w:type="spellStart"/>
      <w:r w:rsidR="004F0977">
        <w:rPr>
          <w:b/>
          <w:bCs/>
        </w:rPr>
        <w:t>salud</w:t>
      </w:r>
      <w:proofErr w:type="spellEnd"/>
    </w:p>
    <w:p w14:paraId="7EEB7C8D" w14:textId="1AAD79F2" w:rsidR="001961F8" w:rsidRPr="004F0977" w:rsidRDefault="004F0977" w:rsidP="004F0977">
      <w:pPr>
        <w:numPr>
          <w:ilvl w:val="0"/>
          <w:numId w:val="8"/>
        </w:numPr>
        <w:spacing w:before="0" w:after="160" w:line="259" w:lineRule="auto"/>
        <w:rPr>
          <w:lang w:val="es-419"/>
        </w:rPr>
      </w:pPr>
      <w:r w:rsidRPr="004F0977">
        <w:rPr>
          <w:b/>
          <w:bCs/>
          <w:lang w:val="es-419"/>
        </w:rPr>
        <w:t>Plan de salud comercial</w:t>
      </w:r>
      <w:r w:rsidR="001961F8" w:rsidRPr="004F0977">
        <w:rPr>
          <w:lang w:val="es-419"/>
        </w:rPr>
        <w:t xml:space="preserve"> –</w:t>
      </w:r>
      <w:r>
        <w:rPr>
          <w:lang w:val="es-419"/>
        </w:rPr>
        <w:t xml:space="preserve"> O</w:t>
      </w:r>
      <w:r w:rsidRPr="004F0977">
        <w:rPr>
          <w:lang w:val="es-419"/>
        </w:rPr>
        <w:t xml:space="preserve">rganizaciones que ofrecen seguros médicos individuales, grupales o </w:t>
      </w:r>
      <w:proofErr w:type="spellStart"/>
      <w:r w:rsidRPr="004F0977">
        <w:rPr>
          <w:lang w:val="es-419"/>
        </w:rPr>
        <w:t>autoasegurados</w:t>
      </w:r>
      <w:proofErr w:type="spellEnd"/>
      <w:r w:rsidRPr="004F0977">
        <w:rPr>
          <w:lang w:val="es-419"/>
        </w:rPr>
        <w:t xml:space="preserve"> en </w:t>
      </w:r>
      <w:proofErr w:type="spellStart"/>
      <w:r w:rsidRPr="004F0977">
        <w:rPr>
          <w:lang w:val="es-419"/>
        </w:rPr>
        <w:t>Oregon</w:t>
      </w:r>
      <w:proofErr w:type="spellEnd"/>
      <w:r w:rsidRPr="004F0977">
        <w:rPr>
          <w:lang w:val="es-419"/>
        </w:rPr>
        <w:t>.</w:t>
      </w:r>
    </w:p>
    <w:p w14:paraId="2B161CA5" w14:textId="76B1345B" w:rsidR="001961F8" w:rsidRPr="004F0977" w:rsidRDefault="004F0977" w:rsidP="004F0977">
      <w:pPr>
        <w:numPr>
          <w:ilvl w:val="0"/>
          <w:numId w:val="8"/>
        </w:numPr>
        <w:spacing w:before="0" w:after="160" w:line="259" w:lineRule="auto"/>
        <w:rPr>
          <w:lang w:val="es-419"/>
        </w:rPr>
      </w:pPr>
      <w:r w:rsidRPr="004F0977">
        <w:rPr>
          <w:b/>
          <w:bCs/>
          <w:lang w:val="es-419"/>
        </w:rPr>
        <w:t xml:space="preserve">Plan de salud Medicare </w:t>
      </w:r>
      <w:proofErr w:type="spellStart"/>
      <w:r w:rsidRPr="004F0977">
        <w:rPr>
          <w:b/>
          <w:bCs/>
          <w:lang w:val="es-419"/>
        </w:rPr>
        <w:t>Advantage</w:t>
      </w:r>
      <w:proofErr w:type="spellEnd"/>
      <w:r>
        <w:rPr>
          <w:lang w:val="es-419"/>
        </w:rPr>
        <w:t xml:space="preserve"> -</w:t>
      </w:r>
      <w:r w:rsidRPr="004F0977">
        <w:rPr>
          <w:lang w:val="es-419"/>
        </w:rPr>
        <w:t xml:space="preserve"> Organizaciones que ofrecen cobertura Medicare </w:t>
      </w:r>
      <w:proofErr w:type="spellStart"/>
      <w:r w:rsidRPr="004F0977">
        <w:rPr>
          <w:lang w:val="es-419"/>
        </w:rPr>
        <w:t>Advantage</w:t>
      </w:r>
      <w:proofErr w:type="spellEnd"/>
      <w:r w:rsidRPr="004F0977">
        <w:rPr>
          <w:lang w:val="es-419"/>
        </w:rPr>
        <w:t xml:space="preserve"> en </w:t>
      </w:r>
      <w:proofErr w:type="spellStart"/>
      <w:r w:rsidRPr="004F0977">
        <w:rPr>
          <w:lang w:val="es-419"/>
        </w:rPr>
        <w:t>Oregon</w:t>
      </w:r>
      <w:proofErr w:type="spellEnd"/>
      <w:r w:rsidRPr="004F0977">
        <w:rPr>
          <w:lang w:val="es-419"/>
        </w:rPr>
        <w:t>.</w:t>
      </w:r>
    </w:p>
    <w:p w14:paraId="0A559D51" w14:textId="377C3E22" w:rsidR="001961F8" w:rsidRPr="004F0977" w:rsidRDefault="004F0977" w:rsidP="004F0977">
      <w:pPr>
        <w:numPr>
          <w:ilvl w:val="0"/>
          <w:numId w:val="8"/>
        </w:numPr>
        <w:spacing w:before="0" w:after="160" w:line="259" w:lineRule="auto"/>
        <w:rPr>
          <w:lang w:val="es-419"/>
        </w:rPr>
      </w:pPr>
      <w:r w:rsidRPr="004F0977">
        <w:rPr>
          <w:b/>
          <w:bCs/>
          <w:lang w:val="es-419"/>
        </w:rPr>
        <w:t>Organización de atención coordinada (CCO, por sus siglas en inglés) de Medicaid</w:t>
      </w:r>
      <w:r w:rsidRPr="004F0977">
        <w:rPr>
          <w:lang w:val="es-419"/>
        </w:rPr>
        <w:t xml:space="preserve">: Organizaciones contratadas por la </w:t>
      </w:r>
      <w:proofErr w:type="spellStart"/>
      <w:r w:rsidRPr="004F0977">
        <w:rPr>
          <w:lang w:val="es-419"/>
        </w:rPr>
        <w:t>Oregon</w:t>
      </w:r>
      <w:proofErr w:type="spellEnd"/>
      <w:r w:rsidRPr="004F0977">
        <w:rPr>
          <w:lang w:val="es-419"/>
        </w:rPr>
        <w:t xml:space="preserve"> </w:t>
      </w:r>
      <w:proofErr w:type="spellStart"/>
      <w:r w:rsidRPr="004F0977">
        <w:rPr>
          <w:lang w:val="es-419"/>
        </w:rPr>
        <w:t>Health</w:t>
      </w:r>
      <w:proofErr w:type="spellEnd"/>
      <w:r w:rsidRPr="004F0977">
        <w:rPr>
          <w:lang w:val="es-419"/>
        </w:rPr>
        <w:t xml:space="preserve"> </w:t>
      </w:r>
      <w:proofErr w:type="spellStart"/>
      <w:r w:rsidRPr="004F0977">
        <w:rPr>
          <w:lang w:val="es-419"/>
        </w:rPr>
        <w:t>Authority</w:t>
      </w:r>
      <w:proofErr w:type="spellEnd"/>
      <w:r w:rsidRPr="004F0977">
        <w:rPr>
          <w:lang w:val="es-419"/>
        </w:rPr>
        <w:t xml:space="preserve"> para proporcionar seguro médico a los miembros de Medicaid.</w:t>
      </w:r>
    </w:p>
    <w:p w14:paraId="1180E8D2" w14:textId="22CFC285" w:rsidR="001961F8" w:rsidRPr="00DF29C8" w:rsidRDefault="00DF29C8" w:rsidP="0023314A">
      <w:pPr>
        <w:spacing w:after="160" w:line="259" w:lineRule="auto"/>
        <w:ind w:left="0"/>
        <w:rPr>
          <w:b/>
          <w:bCs/>
        </w:rPr>
      </w:pPr>
      <w:r w:rsidRPr="004F0977">
        <w:rPr>
          <w:b/>
          <w:bCs/>
          <w:lang w:val="es-419"/>
        </w:rPr>
        <w:t xml:space="preserve">   </w:t>
      </w:r>
      <w:proofErr w:type="spellStart"/>
      <w:r w:rsidR="0023314A" w:rsidRPr="0023314A">
        <w:rPr>
          <w:b/>
          <w:bCs/>
        </w:rPr>
        <w:t>Proveedores</w:t>
      </w:r>
      <w:proofErr w:type="spellEnd"/>
      <w:r w:rsidR="0023314A" w:rsidRPr="0023314A">
        <w:rPr>
          <w:b/>
          <w:bCs/>
        </w:rPr>
        <w:t xml:space="preserve"> de </w:t>
      </w:r>
      <w:proofErr w:type="spellStart"/>
      <w:r w:rsidR="0023314A" w:rsidRPr="0023314A">
        <w:rPr>
          <w:b/>
          <w:bCs/>
        </w:rPr>
        <w:t>atención</w:t>
      </w:r>
      <w:proofErr w:type="spellEnd"/>
      <w:r w:rsidR="0023314A" w:rsidRPr="0023314A">
        <w:rPr>
          <w:b/>
          <w:bCs/>
        </w:rPr>
        <w:t xml:space="preserve"> </w:t>
      </w:r>
      <w:proofErr w:type="spellStart"/>
      <w:r w:rsidR="0023314A" w:rsidRPr="0023314A">
        <w:rPr>
          <w:b/>
          <w:bCs/>
        </w:rPr>
        <w:t>médica</w:t>
      </w:r>
      <w:proofErr w:type="spellEnd"/>
    </w:p>
    <w:p w14:paraId="19708334" w14:textId="3265A759" w:rsidR="001961F8" w:rsidRPr="0023314A" w:rsidRDefault="0023314A" w:rsidP="0023314A">
      <w:pPr>
        <w:numPr>
          <w:ilvl w:val="0"/>
          <w:numId w:val="7"/>
        </w:numPr>
        <w:spacing w:before="0" w:after="160" w:line="259" w:lineRule="auto"/>
        <w:rPr>
          <w:lang w:val="es-419"/>
        </w:rPr>
      </w:pPr>
      <w:r w:rsidRPr="0023314A">
        <w:rPr>
          <w:b/>
          <w:bCs/>
          <w:lang w:val="es-419"/>
        </w:rPr>
        <w:t>Grupo médico grande</w:t>
      </w:r>
      <w:r>
        <w:rPr>
          <w:lang w:val="es-419"/>
        </w:rPr>
        <w:t xml:space="preserve"> -</w:t>
      </w:r>
      <w:r w:rsidRPr="0023314A">
        <w:rPr>
          <w:lang w:val="es-419"/>
        </w:rPr>
        <w:t xml:space="preserve"> Organizaciones de atención médica que atienden a más de 20,000 pacientes en </w:t>
      </w:r>
      <w:proofErr w:type="spellStart"/>
      <w:r w:rsidRPr="0023314A">
        <w:rPr>
          <w:lang w:val="es-419"/>
        </w:rPr>
        <w:t>Oregon</w:t>
      </w:r>
      <w:proofErr w:type="spellEnd"/>
      <w:r w:rsidRPr="0023314A">
        <w:rPr>
          <w:lang w:val="es-419"/>
        </w:rPr>
        <w:t>.</w:t>
      </w:r>
    </w:p>
    <w:p w14:paraId="0C661D3D" w14:textId="575BA1FE" w:rsidR="001961F8" w:rsidRPr="0023314A" w:rsidRDefault="0023314A" w:rsidP="0023314A">
      <w:pPr>
        <w:numPr>
          <w:ilvl w:val="0"/>
          <w:numId w:val="7"/>
        </w:numPr>
        <w:spacing w:before="0" w:after="160" w:line="259" w:lineRule="auto"/>
        <w:rPr>
          <w:lang w:val="es-419"/>
        </w:rPr>
      </w:pPr>
      <w:r w:rsidRPr="0023314A">
        <w:rPr>
          <w:b/>
          <w:bCs/>
          <w:lang w:val="es-419"/>
        </w:rPr>
        <w:t>Grupo pequeño de proveedores</w:t>
      </w:r>
      <w:r>
        <w:rPr>
          <w:lang w:val="es-419"/>
        </w:rPr>
        <w:t xml:space="preserve"> -</w:t>
      </w:r>
      <w:r w:rsidRPr="0023314A">
        <w:rPr>
          <w:lang w:val="es-419"/>
        </w:rPr>
        <w:t xml:space="preserve"> </w:t>
      </w:r>
      <w:r>
        <w:rPr>
          <w:lang w:val="es-419"/>
        </w:rPr>
        <w:t>O</w:t>
      </w:r>
      <w:r w:rsidRPr="0023314A">
        <w:rPr>
          <w:lang w:val="es-419"/>
        </w:rPr>
        <w:t xml:space="preserve">rganizaciones de atención médica que atienden a menos de 10,000 pacientes en </w:t>
      </w:r>
      <w:proofErr w:type="spellStart"/>
      <w:r w:rsidRPr="0023314A">
        <w:rPr>
          <w:lang w:val="es-419"/>
        </w:rPr>
        <w:t>Oregon</w:t>
      </w:r>
      <w:proofErr w:type="spellEnd"/>
      <w:r w:rsidRPr="0023314A">
        <w:rPr>
          <w:lang w:val="es-419"/>
        </w:rPr>
        <w:t>.</w:t>
      </w:r>
    </w:p>
    <w:p w14:paraId="447C5B3E" w14:textId="1C70A32E" w:rsidR="001961F8" w:rsidRPr="0023314A" w:rsidRDefault="0023314A" w:rsidP="0023314A">
      <w:pPr>
        <w:numPr>
          <w:ilvl w:val="0"/>
          <w:numId w:val="7"/>
        </w:numPr>
        <w:spacing w:before="0" w:after="160" w:line="259" w:lineRule="auto"/>
        <w:rPr>
          <w:lang w:val="es-419"/>
        </w:rPr>
      </w:pPr>
      <w:r w:rsidRPr="0023314A">
        <w:rPr>
          <w:b/>
          <w:bCs/>
          <w:lang w:val="es-419"/>
        </w:rPr>
        <w:lastRenderedPageBreak/>
        <w:t>Proveedor independiente</w:t>
      </w:r>
      <w:r>
        <w:rPr>
          <w:lang w:val="es-419"/>
        </w:rPr>
        <w:t xml:space="preserve"> -</w:t>
      </w:r>
      <w:r w:rsidRPr="0023314A">
        <w:rPr>
          <w:lang w:val="es-419"/>
        </w:rPr>
        <w:t xml:space="preserve"> </w:t>
      </w:r>
      <w:r>
        <w:rPr>
          <w:lang w:val="es-419"/>
        </w:rPr>
        <w:t>P</w:t>
      </w:r>
      <w:r w:rsidRPr="0023314A">
        <w:rPr>
          <w:lang w:val="es-419"/>
        </w:rPr>
        <w:t>roveedores que son propietarios y administran su propia clínica</w:t>
      </w:r>
      <w:r>
        <w:rPr>
          <w:lang w:val="es-419"/>
        </w:rPr>
        <w:t xml:space="preserve"> o consultorio.</w:t>
      </w:r>
    </w:p>
    <w:p w14:paraId="71C52832" w14:textId="3A0DC141" w:rsidR="001961F8" w:rsidRPr="00FA6C7F" w:rsidRDefault="00FA6C7F" w:rsidP="00FA6C7F">
      <w:pPr>
        <w:numPr>
          <w:ilvl w:val="0"/>
          <w:numId w:val="7"/>
        </w:numPr>
        <w:spacing w:before="0" w:after="160" w:line="259" w:lineRule="auto"/>
        <w:rPr>
          <w:lang w:val="es-419"/>
        </w:rPr>
      </w:pPr>
      <w:r w:rsidRPr="00FA6C7F">
        <w:rPr>
          <w:b/>
          <w:bCs/>
          <w:lang w:val="es-419"/>
        </w:rPr>
        <w:t>Centro de salud federalmente calificado (FQHC, por sus siglas en inglés)</w:t>
      </w:r>
      <w:r w:rsidRPr="00FA6C7F">
        <w:rPr>
          <w:lang w:val="es-419"/>
        </w:rPr>
        <w:t>: centros de salud comunitarios que ofrecen atención primaria y preventiva a poblaciones desatendidas. Incluye centros similares a los FQHC.</w:t>
      </w:r>
    </w:p>
    <w:p w14:paraId="33A3FBBA" w14:textId="0AD45117" w:rsidR="001961F8" w:rsidRPr="00FA6C7F" w:rsidRDefault="00DF29C8" w:rsidP="00FA6C7F">
      <w:pPr>
        <w:spacing w:after="160" w:line="259" w:lineRule="auto"/>
        <w:ind w:left="0"/>
        <w:rPr>
          <w:b/>
          <w:bCs/>
          <w:lang w:val="es-419"/>
        </w:rPr>
      </w:pPr>
      <w:r w:rsidRPr="00FA6C7F">
        <w:rPr>
          <w:b/>
          <w:bCs/>
          <w:lang w:val="es-419"/>
        </w:rPr>
        <w:t xml:space="preserve">   </w:t>
      </w:r>
      <w:r w:rsidR="00FA6C7F" w:rsidRPr="00FA6C7F">
        <w:rPr>
          <w:b/>
          <w:bCs/>
          <w:lang w:val="es-419"/>
        </w:rPr>
        <w:t>Hospitales y sistemas de salud</w:t>
      </w:r>
    </w:p>
    <w:p w14:paraId="34FCE843" w14:textId="1EBD1370" w:rsidR="001961F8" w:rsidRPr="00FA6C7F" w:rsidRDefault="00FA6C7F" w:rsidP="00FA6C7F">
      <w:pPr>
        <w:numPr>
          <w:ilvl w:val="0"/>
          <w:numId w:val="9"/>
        </w:numPr>
        <w:spacing w:before="0" w:after="160" w:line="259" w:lineRule="auto"/>
        <w:rPr>
          <w:lang w:val="es-419"/>
        </w:rPr>
      </w:pPr>
      <w:r w:rsidRPr="00FA6C7F">
        <w:rPr>
          <w:b/>
          <w:bCs/>
          <w:lang w:val="es-419"/>
        </w:rPr>
        <w:t>Sistema hospitalario</w:t>
      </w:r>
      <w:r w:rsidR="001961F8" w:rsidRPr="00FA6C7F">
        <w:rPr>
          <w:lang w:val="es-419"/>
        </w:rPr>
        <w:t xml:space="preserve"> – </w:t>
      </w:r>
      <w:r>
        <w:rPr>
          <w:lang w:val="es-419"/>
        </w:rPr>
        <w:t>G</w:t>
      </w:r>
      <w:r w:rsidRPr="00FA6C7F">
        <w:rPr>
          <w:lang w:val="es-419"/>
        </w:rPr>
        <w:t>randes redes hospitalarias que administran múltiples centros de atención.</w:t>
      </w:r>
    </w:p>
    <w:p w14:paraId="5411A7C2" w14:textId="032C89F1" w:rsidR="00DF29C8" w:rsidRPr="0086797B" w:rsidRDefault="00FA6C7F" w:rsidP="0086797B">
      <w:pPr>
        <w:numPr>
          <w:ilvl w:val="0"/>
          <w:numId w:val="9"/>
        </w:numPr>
        <w:spacing w:before="0" w:after="160" w:line="259" w:lineRule="auto"/>
        <w:rPr>
          <w:lang w:val="es-419"/>
        </w:rPr>
      </w:pPr>
      <w:r w:rsidRPr="00FA6C7F">
        <w:rPr>
          <w:b/>
          <w:bCs/>
          <w:lang w:val="es-419"/>
        </w:rPr>
        <w:t>Hospital rural</w:t>
      </w:r>
      <w:r w:rsidR="001961F8" w:rsidRPr="00FA6C7F">
        <w:rPr>
          <w:lang w:val="es-419"/>
        </w:rPr>
        <w:t xml:space="preserve">– </w:t>
      </w:r>
      <w:r>
        <w:rPr>
          <w:lang w:val="es-419"/>
        </w:rPr>
        <w:t>H</w:t>
      </w:r>
      <w:r w:rsidRPr="00FA6C7F">
        <w:rPr>
          <w:lang w:val="es-419"/>
        </w:rPr>
        <w:t>ospitales más pequeños que proporcionan servicios esenciales en comunidades rurales.</w:t>
      </w:r>
    </w:p>
    <w:p w14:paraId="3EC6B889" w14:textId="64454B6D" w:rsidR="001961F8" w:rsidRPr="00F436B1" w:rsidRDefault="00F436B1" w:rsidP="00F436B1">
      <w:pPr>
        <w:spacing w:after="160" w:line="259" w:lineRule="auto"/>
        <w:ind w:left="0"/>
        <w:rPr>
          <w:b/>
          <w:bCs/>
          <w:lang w:val="es-419"/>
        </w:rPr>
      </w:pPr>
      <w:r>
        <w:rPr>
          <w:b/>
          <w:bCs/>
          <w:lang w:val="es-419"/>
        </w:rPr>
        <w:t xml:space="preserve">  </w:t>
      </w:r>
      <w:r w:rsidRPr="00F436B1">
        <w:rPr>
          <w:b/>
          <w:bCs/>
          <w:lang w:val="es-419"/>
        </w:rPr>
        <w:t>Médicos de primera línea</w:t>
      </w:r>
    </w:p>
    <w:p w14:paraId="68A22D3E" w14:textId="0C76680E" w:rsidR="001961F8" w:rsidRPr="00F436B1" w:rsidRDefault="00F436B1" w:rsidP="00F436B1">
      <w:pPr>
        <w:numPr>
          <w:ilvl w:val="0"/>
          <w:numId w:val="10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Proveedor de atención primaria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lang w:val="es-419"/>
        </w:rPr>
        <w:t xml:space="preserve"> médicos, profesionales de enfermería o asistentes médicos que ofrecen atención integral centrada en el paciente.</w:t>
      </w:r>
    </w:p>
    <w:p w14:paraId="30AE9CAF" w14:textId="3653442F" w:rsidR="001961F8" w:rsidRPr="00F436B1" w:rsidRDefault="00F436B1" w:rsidP="00F436B1">
      <w:pPr>
        <w:numPr>
          <w:ilvl w:val="0"/>
          <w:numId w:val="10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Proveedor de salud de la conducta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lang w:val="es-419"/>
        </w:rPr>
        <w:t xml:space="preserve"> especialistas en salud mental y trastornos por consumo de sustancias.</w:t>
      </w:r>
    </w:p>
    <w:p w14:paraId="35BDB466" w14:textId="3D5E879D" w:rsidR="001961F8" w:rsidRPr="00F436B1" w:rsidRDefault="00F436B1" w:rsidP="00F436B1">
      <w:pPr>
        <w:numPr>
          <w:ilvl w:val="0"/>
          <w:numId w:val="10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Proveedor de salud bucodental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lang w:val="es-419"/>
        </w:rPr>
        <w:t xml:space="preserve"> dentistas y otros profesionales de la salud dental.</w:t>
      </w:r>
    </w:p>
    <w:p w14:paraId="49BE8A31" w14:textId="69E589D7" w:rsidR="001961F8" w:rsidRPr="00F436B1" w:rsidRDefault="00F436B1" w:rsidP="00F436B1">
      <w:pPr>
        <w:numPr>
          <w:ilvl w:val="0"/>
          <w:numId w:val="10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Proveedor pediátrico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lang w:val="es-419"/>
        </w:rPr>
        <w:t xml:space="preserve"> profesionales de la salud especializados en la atención médica infantil.</w:t>
      </w:r>
    </w:p>
    <w:p w14:paraId="2DC84B2D" w14:textId="4EFBDFF5" w:rsidR="001961F8" w:rsidRPr="00F436B1" w:rsidRDefault="00F436B1" w:rsidP="00F436B1">
      <w:pPr>
        <w:spacing w:after="160" w:line="259" w:lineRule="auto"/>
        <w:ind w:left="0"/>
        <w:rPr>
          <w:b/>
          <w:bCs/>
          <w:lang w:val="es-419"/>
        </w:rPr>
      </w:pPr>
      <w:r w:rsidRPr="00F436B1">
        <w:rPr>
          <w:b/>
          <w:bCs/>
          <w:lang w:val="es-419"/>
        </w:rPr>
        <w:t>Seguros y coordinación de la atención</w:t>
      </w:r>
    </w:p>
    <w:p w14:paraId="77F8BADC" w14:textId="2F3AF35E" w:rsidR="001961F8" w:rsidRPr="00F436B1" w:rsidRDefault="00F436B1" w:rsidP="00F436B1">
      <w:pPr>
        <w:numPr>
          <w:ilvl w:val="0"/>
          <w:numId w:val="11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Sistema de atención totalmente integrado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b/>
          <w:bCs/>
          <w:lang w:val="es-419"/>
        </w:rPr>
        <w:t xml:space="preserve"> </w:t>
      </w:r>
      <w:r w:rsidRPr="00F436B1">
        <w:rPr>
          <w:lang w:val="es-419"/>
        </w:rPr>
        <w:t>organizaciones que ofrecen tanto seguros médicos como servicios de atención médica directa.</w:t>
      </w:r>
    </w:p>
    <w:p w14:paraId="1C258EFF" w14:textId="13B312F2" w:rsidR="001961F8" w:rsidRPr="00F436B1" w:rsidRDefault="00F436B1" w:rsidP="00F436B1">
      <w:pPr>
        <w:numPr>
          <w:ilvl w:val="0"/>
          <w:numId w:val="11"/>
        </w:numPr>
        <w:spacing w:before="0" w:after="160" w:line="259" w:lineRule="auto"/>
        <w:rPr>
          <w:lang w:val="es-419"/>
        </w:rPr>
      </w:pPr>
      <w:r w:rsidRPr="00F436B1">
        <w:rPr>
          <w:b/>
          <w:bCs/>
          <w:lang w:val="es-419"/>
        </w:rPr>
        <w:t>Corredor de seguros</w:t>
      </w:r>
      <w:r>
        <w:rPr>
          <w:b/>
          <w:bCs/>
          <w:lang w:val="es-419"/>
        </w:rPr>
        <w:t xml:space="preserve"> </w:t>
      </w:r>
      <w:r w:rsidRPr="00F436B1">
        <w:rPr>
          <w:lang w:val="es-419"/>
        </w:rPr>
        <w:t>-</w:t>
      </w:r>
      <w:r w:rsidRPr="00F436B1">
        <w:rPr>
          <w:lang w:val="es-419"/>
        </w:rPr>
        <w:t xml:space="preserve"> profesionales o empresas que ayudan a particulares y empresas a encontrar y seleccionar una cobertura de seguro médico.</w:t>
      </w:r>
    </w:p>
    <w:p w14:paraId="67EB96E3" w14:textId="428C4EAF" w:rsidR="001961F8" w:rsidRPr="00FF6DF4" w:rsidRDefault="00DF29C8" w:rsidP="00FF6DF4">
      <w:pPr>
        <w:spacing w:after="160" w:line="259" w:lineRule="auto"/>
        <w:ind w:left="0"/>
        <w:rPr>
          <w:b/>
          <w:bCs/>
          <w:lang w:val="es-419"/>
        </w:rPr>
      </w:pPr>
      <w:r w:rsidRPr="00F436B1">
        <w:rPr>
          <w:b/>
          <w:bCs/>
          <w:lang w:val="es-419"/>
        </w:rPr>
        <w:t xml:space="preserve">  </w:t>
      </w:r>
      <w:r w:rsidR="00FF6DF4" w:rsidRPr="00FF6DF4">
        <w:rPr>
          <w:b/>
          <w:bCs/>
          <w:lang w:val="es-419"/>
        </w:rPr>
        <w:t>Representantes de salud comunitarios y tribales</w:t>
      </w:r>
    </w:p>
    <w:p w14:paraId="540882E4" w14:textId="2B9ACEAC" w:rsidR="001961F8" w:rsidRPr="00FF6DF4" w:rsidRDefault="00FF6DF4" w:rsidP="00FF6DF4">
      <w:pPr>
        <w:numPr>
          <w:ilvl w:val="0"/>
          <w:numId w:val="12"/>
        </w:numPr>
        <w:spacing w:before="0" w:after="160" w:line="259" w:lineRule="auto"/>
        <w:rPr>
          <w:lang w:val="es-419"/>
        </w:rPr>
      </w:pPr>
      <w:r w:rsidRPr="00FF6DF4">
        <w:rPr>
          <w:b/>
          <w:bCs/>
          <w:lang w:val="es-419"/>
        </w:rPr>
        <w:t>Asociación profesional</w:t>
      </w:r>
      <w:r>
        <w:rPr>
          <w:b/>
          <w:bCs/>
          <w:lang w:val="es-419"/>
        </w:rPr>
        <w:t xml:space="preserve"> </w:t>
      </w:r>
      <w:r w:rsidRPr="00FF6DF4">
        <w:rPr>
          <w:lang w:val="es-419"/>
        </w:rPr>
        <w:t>-</w:t>
      </w:r>
      <w:r w:rsidRPr="00FF6DF4">
        <w:rPr>
          <w:lang w:val="es-419"/>
        </w:rPr>
        <w:t xml:space="preserve"> organizaciones que representan a los profesionales de la salud y a los sectores de la industria de la salud.</w:t>
      </w:r>
    </w:p>
    <w:p w14:paraId="65924B67" w14:textId="1FC747E2" w:rsidR="001961F8" w:rsidRPr="00FF6DF4" w:rsidRDefault="00FF6DF4" w:rsidP="00FF6DF4">
      <w:pPr>
        <w:numPr>
          <w:ilvl w:val="0"/>
          <w:numId w:val="12"/>
        </w:numPr>
        <w:spacing w:before="0" w:after="160" w:line="259" w:lineRule="auto"/>
        <w:rPr>
          <w:lang w:val="es-419"/>
        </w:rPr>
      </w:pPr>
      <w:r w:rsidRPr="00FF6DF4">
        <w:rPr>
          <w:b/>
          <w:bCs/>
          <w:lang w:val="es-419"/>
        </w:rPr>
        <w:t>Representante de salud tribal</w:t>
      </w:r>
      <w:r>
        <w:rPr>
          <w:b/>
          <w:bCs/>
          <w:lang w:val="es-419"/>
        </w:rPr>
        <w:t xml:space="preserve"> </w:t>
      </w:r>
      <w:r w:rsidRPr="00FF6DF4">
        <w:rPr>
          <w:lang w:val="es-419"/>
        </w:rPr>
        <w:t xml:space="preserve">- </w:t>
      </w:r>
      <w:r w:rsidRPr="00FF6DF4">
        <w:rPr>
          <w:lang w:val="es-419"/>
        </w:rPr>
        <w:t xml:space="preserve">persona que es miembro o representa a una tribu reconocida por el gobierno federal en </w:t>
      </w:r>
      <w:proofErr w:type="spellStart"/>
      <w:r w:rsidRPr="00FF6DF4">
        <w:rPr>
          <w:lang w:val="es-419"/>
        </w:rPr>
        <w:t>Oregon</w:t>
      </w:r>
      <w:proofErr w:type="spellEnd"/>
      <w:r w:rsidRPr="00FF6DF4">
        <w:rPr>
          <w:lang w:val="es-419"/>
        </w:rPr>
        <w:t>. El representante de salud tribal será identificado por las tribus.</w:t>
      </w:r>
    </w:p>
    <w:p w14:paraId="07B820BE" w14:textId="6DD2CDE7" w:rsidR="001961F8" w:rsidRPr="0086797B" w:rsidRDefault="00FF6DF4" w:rsidP="0086797B">
      <w:pPr>
        <w:numPr>
          <w:ilvl w:val="0"/>
          <w:numId w:val="12"/>
        </w:numPr>
        <w:spacing w:before="0" w:after="160" w:line="259" w:lineRule="auto"/>
        <w:rPr>
          <w:lang w:val="es-419"/>
        </w:rPr>
      </w:pPr>
      <w:r w:rsidRPr="00FF6DF4">
        <w:rPr>
          <w:b/>
          <w:bCs/>
          <w:lang w:val="es-419"/>
        </w:rPr>
        <w:t>Trabajador tradicional de la salud</w:t>
      </w:r>
      <w:r>
        <w:rPr>
          <w:b/>
          <w:bCs/>
          <w:lang w:val="es-419"/>
        </w:rPr>
        <w:t xml:space="preserve"> </w:t>
      </w:r>
      <w:r w:rsidRPr="00FF6DF4">
        <w:rPr>
          <w:lang w:val="es-419"/>
        </w:rPr>
        <w:t>-</w:t>
      </w:r>
      <w:r w:rsidRPr="00FF6DF4">
        <w:rPr>
          <w:lang w:val="es-419"/>
        </w:rPr>
        <w:t xml:space="preserve"> personas de confianza de las comunidades locales que se encargan de proporcionar atención centrada en las personas y la comunidad, actuando como puente entre las comunidades y los sistemas de salud que les dan servicio.</w:t>
      </w:r>
    </w:p>
    <w:sectPr w:rsidR="001961F8" w:rsidRPr="0086797B" w:rsidSect="00887DBC">
      <w:footerReference w:type="default" r:id="rId14"/>
      <w:footerReference w:type="first" r:id="rId15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5BA6" w14:textId="77777777" w:rsidR="00055FCA" w:rsidRDefault="00055FCA" w:rsidP="00782D79">
      <w:r>
        <w:separator/>
      </w:r>
    </w:p>
    <w:p w14:paraId="1B52BE5B" w14:textId="77777777" w:rsidR="00055FCA" w:rsidRDefault="00055FCA" w:rsidP="00782D79"/>
  </w:endnote>
  <w:endnote w:type="continuationSeparator" w:id="0">
    <w:p w14:paraId="2C543BAC" w14:textId="77777777" w:rsidR="00055FCA" w:rsidRDefault="00055FCA" w:rsidP="00782D79">
      <w:r>
        <w:continuationSeparator/>
      </w:r>
    </w:p>
    <w:p w14:paraId="3681F420" w14:textId="77777777" w:rsidR="00055FCA" w:rsidRDefault="00055FCA" w:rsidP="00782D79"/>
  </w:endnote>
  <w:endnote w:type="continuationNotice" w:id="1">
    <w:p w14:paraId="5757B5BB" w14:textId="77777777" w:rsidR="00055FCA" w:rsidRDefault="00055FCA" w:rsidP="00782D79"/>
    <w:p w14:paraId="5AE3A69E" w14:textId="77777777" w:rsidR="00055FCA" w:rsidRDefault="00055FC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6C48A84F" w:rsidR="000A5682" w:rsidRDefault="000A5682" w:rsidP="001B0E80">
    <w:pPr>
      <w:pStyle w:val="Footer"/>
    </w:pPr>
    <w:r w:rsidRPr="00AE51D3">
      <w:tab/>
    </w:r>
    <w:r>
      <w:t>P</w:t>
    </w:r>
    <w:r w:rsidR="00F436B1">
      <w:t>ágina</w:t>
    </w:r>
    <w:r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</w:t>
    </w:r>
    <w:r w:rsidR="00F436B1">
      <w:t>de</w:t>
    </w:r>
    <w:r w:rsidRPr="00A52E85">
      <w:t xml:space="preserve"> </w:t>
    </w:r>
    <w:r w:rsidR="0086797B">
      <w:fldChar w:fldCharType="begin"/>
    </w:r>
    <w:r w:rsidR="0086797B">
      <w:instrText xml:space="preserve"> NUMPAGES  \* Arabic  \* MERGEFORMAT </w:instrText>
    </w:r>
    <w:r w:rsidR="0086797B">
      <w:fldChar w:fldCharType="separate"/>
    </w:r>
    <w:r>
      <w:t>2</w:t>
    </w:r>
    <w:r w:rsidR="008679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0EF0C85E" w:rsidR="00F77C55" w:rsidRPr="00F77C55" w:rsidRDefault="00F77C55" w:rsidP="001B0E80">
    <w:pPr>
      <w:pStyle w:val="Footer"/>
    </w:pPr>
    <w:r w:rsidRPr="00AE51D3">
      <w:tab/>
    </w:r>
    <w:r>
      <w:t>P</w:t>
    </w:r>
    <w:r w:rsidR="00F436B1">
      <w:t>ágina</w:t>
    </w:r>
    <w:r>
      <w:t xml:space="preserve">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</w:t>
    </w:r>
    <w:r w:rsidR="00F436B1">
      <w:t>de</w:t>
    </w:r>
    <w:r w:rsidRPr="00A52E85">
      <w:t xml:space="preserve"> </w:t>
    </w:r>
    <w:r w:rsidR="0086797B">
      <w:fldChar w:fldCharType="begin"/>
    </w:r>
    <w:r w:rsidR="0086797B">
      <w:instrText xml:space="preserve"> NUMPAGES  \* Arabic  \* MERGEFORMAT </w:instrText>
    </w:r>
    <w:r w:rsidR="0086797B">
      <w:fldChar w:fldCharType="separate"/>
    </w:r>
    <w:r>
      <w:t>3</w:t>
    </w:r>
    <w:r w:rsidR="008679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046" w14:textId="77777777" w:rsidR="00055FCA" w:rsidRDefault="00055FCA" w:rsidP="00782D79">
      <w:r>
        <w:separator/>
      </w:r>
    </w:p>
    <w:p w14:paraId="6DCC9A1E" w14:textId="77777777" w:rsidR="00055FCA" w:rsidRDefault="00055FCA" w:rsidP="00782D79"/>
  </w:footnote>
  <w:footnote w:type="continuationSeparator" w:id="0">
    <w:p w14:paraId="335A7BA8" w14:textId="77777777" w:rsidR="00055FCA" w:rsidRDefault="00055FCA" w:rsidP="00782D79">
      <w:r>
        <w:continuationSeparator/>
      </w:r>
    </w:p>
    <w:p w14:paraId="3146B8F2" w14:textId="77777777" w:rsidR="00055FCA" w:rsidRDefault="00055FCA" w:rsidP="00782D79"/>
  </w:footnote>
  <w:footnote w:type="continuationNotice" w:id="1">
    <w:p w14:paraId="7046F17A" w14:textId="77777777" w:rsidR="00055FCA" w:rsidRDefault="00055FCA" w:rsidP="00782D79"/>
    <w:p w14:paraId="6CAAD945" w14:textId="77777777" w:rsidR="00055FCA" w:rsidRDefault="00055FCA" w:rsidP="00782D79"/>
  </w:footnote>
  <w:footnote w:id="2">
    <w:p w14:paraId="709EE314" w14:textId="5DACFAE2" w:rsidR="00DF29C8" w:rsidRPr="004F0977" w:rsidRDefault="00DF29C8" w:rsidP="004F0977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 w:rsidRPr="004F0977">
        <w:rPr>
          <w:lang w:val="es-419"/>
        </w:rPr>
        <w:t xml:space="preserve"> </w:t>
      </w:r>
      <w:r w:rsidR="004F0977" w:rsidRPr="004F0977">
        <w:rPr>
          <w:lang w:val="es-419"/>
        </w:rPr>
        <w:t>Tenga en cuenta que las organizaciones de atención médica, como hospitales, grupos médicos o planes de seguro médico que proporcionan o adquieren cobertura de atención médica para sus empleados, deben solicitar su inclusión en el Comité Asesor de la Industria.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338"/>
    <w:multiLevelType w:val="multilevel"/>
    <w:tmpl w:val="010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1335"/>
    <w:multiLevelType w:val="multilevel"/>
    <w:tmpl w:val="196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76655"/>
    <w:multiLevelType w:val="multilevel"/>
    <w:tmpl w:val="42D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42F6E"/>
    <w:multiLevelType w:val="multilevel"/>
    <w:tmpl w:val="B3B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073FC"/>
    <w:multiLevelType w:val="multilevel"/>
    <w:tmpl w:val="B3240C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6" w15:restartNumberingAfterBreak="0">
    <w:nsid w:val="24BD29DF"/>
    <w:multiLevelType w:val="hybridMultilevel"/>
    <w:tmpl w:val="EB14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062AA"/>
    <w:multiLevelType w:val="multilevel"/>
    <w:tmpl w:val="DBD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64DE8"/>
    <w:multiLevelType w:val="multilevel"/>
    <w:tmpl w:val="0FE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73CAC"/>
    <w:multiLevelType w:val="multilevel"/>
    <w:tmpl w:val="9B5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853AC"/>
    <w:multiLevelType w:val="multilevel"/>
    <w:tmpl w:val="61D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F3A91"/>
    <w:multiLevelType w:val="multilevel"/>
    <w:tmpl w:val="22B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F05C3"/>
    <w:multiLevelType w:val="multilevel"/>
    <w:tmpl w:val="901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A5B1B"/>
    <w:multiLevelType w:val="hybridMultilevel"/>
    <w:tmpl w:val="2F924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75AFE"/>
    <w:multiLevelType w:val="multilevel"/>
    <w:tmpl w:val="15D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E4BCD"/>
    <w:multiLevelType w:val="multilevel"/>
    <w:tmpl w:val="679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EE201A"/>
    <w:multiLevelType w:val="multilevel"/>
    <w:tmpl w:val="7B6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A733E8"/>
    <w:multiLevelType w:val="multilevel"/>
    <w:tmpl w:val="04A4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72C6E"/>
    <w:multiLevelType w:val="multilevel"/>
    <w:tmpl w:val="7362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C3E0C"/>
    <w:multiLevelType w:val="multilevel"/>
    <w:tmpl w:val="22D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2091C"/>
    <w:multiLevelType w:val="multilevel"/>
    <w:tmpl w:val="590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37F28"/>
    <w:multiLevelType w:val="multilevel"/>
    <w:tmpl w:val="E3F8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B09FC"/>
    <w:multiLevelType w:val="multilevel"/>
    <w:tmpl w:val="5AE8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949F7"/>
    <w:multiLevelType w:val="multilevel"/>
    <w:tmpl w:val="BFF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544FF"/>
    <w:multiLevelType w:val="multilevel"/>
    <w:tmpl w:val="75A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15E8D"/>
    <w:multiLevelType w:val="hybridMultilevel"/>
    <w:tmpl w:val="8A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B7545"/>
    <w:multiLevelType w:val="multilevel"/>
    <w:tmpl w:val="367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52FB9"/>
    <w:multiLevelType w:val="hybridMultilevel"/>
    <w:tmpl w:val="00423830"/>
    <w:lvl w:ilvl="0" w:tplc="1E10B786">
      <w:numFmt w:val="bullet"/>
      <w:lvlText w:val=""/>
      <w:lvlJc w:val="left"/>
      <w:pPr>
        <w:ind w:left="878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0" w15:restartNumberingAfterBreak="0">
    <w:nsid w:val="78EF4E47"/>
    <w:multiLevelType w:val="multilevel"/>
    <w:tmpl w:val="910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740632">
    <w:abstractNumId w:val="13"/>
  </w:num>
  <w:num w:numId="2" w16cid:durableId="1156147490">
    <w:abstractNumId w:val="14"/>
  </w:num>
  <w:num w:numId="3" w16cid:durableId="1540703377">
    <w:abstractNumId w:val="5"/>
  </w:num>
  <w:num w:numId="4" w16cid:durableId="380978893">
    <w:abstractNumId w:val="27"/>
  </w:num>
  <w:num w:numId="5" w16cid:durableId="1535729256">
    <w:abstractNumId w:val="29"/>
  </w:num>
  <w:num w:numId="6" w16cid:durableId="512575760">
    <w:abstractNumId w:val="15"/>
  </w:num>
  <w:num w:numId="7" w16cid:durableId="544174842">
    <w:abstractNumId w:val="7"/>
  </w:num>
  <w:num w:numId="8" w16cid:durableId="160003505">
    <w:abstractNumId w:val="20"/>
  </w:num>
  <w:num w:numId="9" w16cid:durableId="47582065">
    <w:abstractNumId w:val="4"/>
  </w:num>
  <w:num w:numId="10" w16cid:durableId="1631205621">
    <w:abstractNumId w:val="18"/>
  </w:num>
  <w:num w:numId="11" w16cid:durableId="1727530082">
    <w:abstractNumId w:val="26"/>
  </w:num>
  <w:num w:numId="12" w16cid:durableId="602885944">
    <w:abstractNumId w:val="21"/>
  </w:num>
  <w:num w:numId="13" w16cid:durableId="1059742146">
    <w:abstractNumId w:val="6"/>
  </w:num>
  <w:num w:numId="14" w16cid:durableId="222183607">
    <w:abstractNumId w:val="30"/>
  </w:num>
  <w:num w:numId="15" w16cid:durableId="1752658696">
    <w:abstractNumId w:val="1"/>
  </w:num>
  <w:num w:numId="16" w16cid:durableId="2562109">
    <w:abstractNumId w:val="28"/>
  </w:num>
  <w:num w:numId="17" w16cid:durableId="683676833">
    <w:abstractNumId w:val="25"/>
  </w:num>
  <w:num w:numId="18" w16cid:durableId="387534160">
    <w:abstractNumId w:val="2"/>
  </w:num>
  <w:num w:numId="19" w16cid:durableId="1974017931">
    <w:abstractNumId w:val="9"/>
  </w:num>
  <w:num w:numId="20" w16cid:durableId="1077481324">
    <w:abstractNumId w:val="16"/>
  </w:num>
  <w:num w:numId="21" w16cid:durableId="1320815742">
    <w:abstractNumId w:val="22"/>
  </w:num>
  <w:num w:numId="22" w16cid:durableId="133259158">
    <w:abstractNumId w:val="12"/>
  </w:num>
  <w:num w:numId="23" w16cid:durableId="825900004">
    <w:abstractNumId w:val="24"/>
  </w:num>
  <w:num w:numId="24" w16cid:durableId="1569919258">
    <w:abstractNumId w:val="10"/>
  </w:num>
  <w:num w:numId="25" w16cid:durableId="1944412048">
    <w:abstractNumId w:val="17"/>
  </w:num>
  <w:num w:numId="26" w16cid:durableId="1035733016">
    <w:abstractNumId w:val="0"/>
  </w:num>
  <w:num w:numId="27" w16cid:durableId="108672400">
    <w:abstractNumId w:val="11"/>
  </w:num>
  <w:num w:numId="28" w16cid:durableId="1390034554">
    <w:abstractNumId w:val="3"/>
  </w:num>
  <w:num w:numId="29" w16cid:durableId="2056000844">
    <w:abstractNumId w:val="23"/>
  </w:num>
  <w:num w:numId="30" w16cid:durableId="260527438">
    <w:abstractNumId w:val="8"/>
  </w:num>
  <w:num w:numId="31" w16cid:durableId="133518040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32FB5"/>
    <w:rsid w:val="0004263D"/>
    <w:rsid w:val="0005373E"/>
    <w:rsid w:val="00055CE8"/>
    <w:rsid w:val="00055FCA"/>
    <w:rsid w:val="0005668D"/>
    <w:rsid w:val="00057801"/>
    <w:rsid w:val="00062A55"/>
    <w:rsid w:val="0006319F"/>
    <w:rsid w:val="00067B31"/>
    <w:rsid w:val="0007343F"/>
    <w:rsid w:val="00074916"/>
    <w:rsid w:val="000751D4"/>
    <w:rsid w:val="0008263F"/>
    <w:rsid w:val="00082E0B"/>
    <w:rsid w:val="00083487"/>
    <w:rsid w:val="000A0FB4"/>
    <w:rsid w:val="000A5682"/>
    <w:rsid w:val="000A6D1C"/>
    <w:rsid w:val="000B4880"/>
    <w:rsid w:val="000B778A"/>
    <w:rsid w:val="000C1471"/>
    <w:rsid w:val="000C1C28"/>
    <w:rsid w:val="000D0AF2"/>
    <w:rsid w:val="000D1229"/>
    <w:rsid w:val="000D5656"/>
    <w:rsid w:val="000D630B"/>
    <w:rsid w:val="000D729E"/>
    <w:rsid w:val="000E15FF"/>
    <w:rsid w:val="000E247B"/>
    <w:rsid w:val="000E7379"/>
    <w:rsid w:val="000F7324"/>
    <w:rsid w:val="00112392"/>
    <w:rsid w:val="0011683D"/>
    <w:rsid w:val="001255B3"/>
    <w:rsid w:val="00125FC5"/>
    <w:rsid w:val="0012719F"/>
    <w:rsid w:val="0014263E"/>
    <w:rsid w:val="00153066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961F8"/>
    <w:rsid w:val="001A4271"/>
    <w:rsid w:val="001B0202"/>
    <w:rsid w:val="001B0E80"/>
    <w:rsid w:val="001B4C19"/>
    <w:rsid w:val="001B556A"/>
    <w:rsid w:val="001D1E2F"/>
    <w:rsid w:val="001E15D1"/>
    <w:rsid w:val="001E6A23"/>
    <w:rsid w:val="001F1838"/>
    <w:rsid w:val="00200103"/>
    <w:rsid w:val="00200C6E"/>
    <w:rsid w:val="002119D7"/>
    <w:rsid w:val="00216C13"/>
    <w:rsid w:val="00216C3F"/>
    <w:rsid w:val="002204E2"/>
    <w:rsid w:val="0022769A"/>
    <w:rsid w:val="0023314A"/>
    <w:rsid w:val="00233B19"/>
    <w:rsid w:val="00245A55"/>
    <w:rsid w:val="00252794"/>
    <w:rsid w:val="002542C4"/>
    <w:rsid w:val="00254CA6"/>
    <w:rsid w:val="00264AA8"/>
    <w:rsid w:val="0026554E"/>
    <w:rsid w:val="00267DD0"/>
    <w:rsid w:val="00271D57"/>
    <w:rsid w:val="00273925"/>
    <w:rsid w:val="00277C0B"/>
    <w:rsid w:val="00280857"/>
    <w:rsid w:val="0028357F"/>
    <w:rsid w:val="00290F26"/>
    <w:rsid w:val="002B6ADD"/>
    <w:rsid w:val="002C7B2F"/>
    <w:rsid w:val="002D0733"/>
    <w:rsid w:val="002D2468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7574C"/>
    <w:rsid w:val="0039075B"/>
    <w:rsid w:val="003911ED"/>
    <w:rsid w:val="00394BBF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34A25"/>
    <w:rsid w:val="004442F2"/>
    <w:rsid w:val="004532C8"/>
    <w:rsid w:val="00455C82"/>
    <w:rsid w:val="00457049"/>
    <w:rsid w:val="00457F62"/>
    <w:rsid w:val="00461921"/>
    <w:rsid w:val="00471C48"/>
    <w:rsid w:val="00476F25"/>
    <w:rsid w:val="00481DD5"/>
    <w:rsid w:val="00484CAF"/>
    <w:rsid w:val="004869DA"/>
    <w:rsid w:val="00487120"/>
    <w:rsid w:val="00491EBB"/>
    <w:rsid w:val="0049514C"/>
    <w:rsid w:val="004A4AC0"/>
    <w:rsid w:val="004B74AB"/>
    <w:rsid w:val="004C1C12"/>
    <w:rsid w:val="004C61DD"/>
    <w:rsid w:val="004C7316"/>
    <w:rsid w:val="004D3011"/>
    <w:rsid w:val="004D41B6"/>
    <w:rsid w:val="004E14A1"/>
    <w:rsid w:val="004E75BC"/>
    <w:rsid w:val="004F0977"/>
    <w:rsid w:val="004F2FCA"/>
    <w:rsid w:val="004F7326"/>
    <w:rsid w:val="0050179B"/>
    <w:rsid w:val="0050222D"/>
    <w:rsid w:val="00502CC5"/>
    <w:rsid w:val="005032E0"/>
    <w:rsid w:val="0050661C"/>
    <w:rsid w:val="00513BBC"/>
    <w:rsid w:val="005171C8"/>
    <w:rsid w:val="00526BB2"/>
    <w:rsid w:val="005323F7"/>
    <w:rsid w:val="00537F8D"/>
    <w:rsid w:val="00557A95"/>
    <w:rsid w:val="00561610"/>
    <w:rsid w:val="00571C08"/>
    <w:rsid w:val="00572485"/>
    <w:rsid w:val="00580F22"/>
    <w:rsid w:val="00583F43"/>
    <w:rsid w:val="0059472C"/>
    <w:rsid w:val="00595C43"/>
    <w:rsid w:val="005961D0"/>
    <w:rsid w:val="005B3504"/>
    <w:rsid w:val="005B5AD4"/>
    <w:rsid w:val="005B7083"/>
    <w:rsid w:val="005C1D91"/>
    <w:rsid w:val="005C222A"/>
    <w:rsid w:val="005C7B61"/>
    <w:rsid w:val="005E301A"/>
    <w:rsid w:val="005E3EB7"/>
    <w:rsid w:val="005F42F3"/>
    <w:rsid w:val="005F438F"/>
    <w:rsid w:val="005F705D"/>
    <w:rsid w:val="006079FA"/>
    <w:rsid w:val="00610603"/>
    <w:rsid w:val="00611B53"/>
    <w:rsid w:val="00612615"/>
    <w:rsid w:val="00621224"/>
    <w:rsid w:val="00640217"/>
    <w:rsid w:val="00642CCE"/>
    <w:rsid w:val="00660405"/>
    <w:rsid w:val="00660751"/>
    <w:rsid w:val="00674F81"/>
    <w:rsid w:val="00696269"/>
    <w:rsid w:val="006A4E8B"/>
    <w:rsid w:val="006A7AA5"/>
    <w:rsid w:val="006C09EE"/>
    <w:rsid w:val="006C73BB"/>
    <w:rsid w:val="006D1633"/>
    <w:rsid w:val="006D5875"/>
    <w:rsid w:val="006D7693"/>
    <w:rsid w:val="006D7DA3"/>
    <w:rsid w:val="006E612C"/>
    <w:rsid w:val="006E79BE"/>
    <w:rsid w:val="006F3C71"/>
    <w:rsid w:val="00701583"/>
    <w:rsid w:val="00707F23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262E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E2781"/>
    <w:rsid w:val="007F656B"/>
    <w:rsid w:val="00804F15"/>
    <w:rsid w:val="008137F7"/>
    <w:rsid w:val="008142A7"/>
    <w:rsid w:val="00822D8F"/>
    <w:rsid w:val="00831996"/>
    <w:rsid w:val="00832A66"/>
    <w:rsid w:val="00835F1B"/>
    <w:rsid w:val="00845DAF"/>
    <w:rsid w:val="008603CF"/>
    <w:rsid w:val="00863F52"/>
    <w:rsid w:val="0086404A"/>
    <w:rsid w:val="00866966"/>
    <w:rsid w:val="0086797B"/>
    <w:rsid w:val="00882382"/>
    <w:rsid w:val="00885D0C"/>
    <w:rsid w:val="00886500"/>
    <w:rsid w:val="00887DBC"/>
    <w:rsid w:val="00887F78"/>
    <w:rsid w:val="00890E98"/>
    <w:rsid w:val="00891EF1"/>
    <w:rsid w:val="0089201D"/>
    <w:rsid w:val="008B4481"/>
    <w:rsid w:val="008D26F1"/>
    <w:rsid w:val="008E2F39"/>
    <w:rsid w:val="008F58CA"/>
    <w:rsid w:val="008F621C"/>
    <w:rsid w:val="008F76C3"/>
    <w:rsid w:val="009046BC"/>
    <w:rsid w:val="00905CE0"/>
    <w:rsid w:val="00915A4D"/>
    <w:rsid w:val="00934D6D"/>
    <w:rsid w:val="009465F3"/>
    <w:rsid w:val="00946BFA"/>
    <w:rsid w:val="0095131A"/>
    <w:rsid w:val="00961095"/>
    <w:rsid w:val="00961449"/>
    <w:rsid w:val="0096698E"/>
    <w:rsid w:val="0097248F"/>
    <w:rsid w:val="009724A4"/>
    <w:rsid w:val="00972B98"/>
    <w:rsid w:val="0097454A"/>
    <w:rsid w:val="00975BBB"/>
    <w:rsid w:val="0097648B"/>
    <w:rsid w:val="00992456"/>
    <w:rsid w:val="009A788A"/>
    <w:rsid w:val="009B0544"/>
    <w:rsid w:val="009C14E0"/>
    <w:rsid w:val="009D2B2A"/>
    <w:rsid w:val="009D75A0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1D09"/>
    <w:rsid w:val="00A52332"/>
    <w:rsid w:val="00A52E85"/>
    <w:rsid w:val="00A62C1A"/>
    <w:rsid w:val="00A71B8E"/>
    <w:rsid w:val="00A759FA"/>
    <w:rsid w:val="00A86907"/>
    <w:rsid w:val="00A93C94"/>
    <w:rsid w:val="00A95D51"/>
    <w:rsid w:val="00A96155"/>
    <w:rsid w:val="00AA68E8"/>
    <w:rsid w:val="00AA74F3"/>
    <w:rsid w:val="00AC4CC9"/>
    <w:rsid w:val="00AE4FA9"/>
    <w:rsid w:val="00AE51D3"/>
    <w:rsid w:val="00AE5E14"/>
    <w:rsid w:val="00AE715D"/>
    <w:rsid w:val="00AF1A23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56FBF"/>
    <w:rsid w:val="00B64B92"/>
    <w:rsid w:val="00B67F6F"/>
    <w:rsid w:val="00B76336"/>
    <w:rsid w:val="00B918C1"/>
    <w:rsid w:val="00B93FAB"/>
    <w:rsid w:val="00BA1D29"/>
    <w:rsid w:val="00BA310A"/>
    <w:rsid w:val="00BA3DD1"/>
    <w:rsid w:val="00BA45E1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E8F"/>
    <w:rsid w:val="00C261AB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85772"/>
    <w:rsid w:val="00C93AE2"/>
    <w:rsid w:val="00CA04BD"/>
    <w:rsid w:val="00CA6823"/>
    <w:rsid w:val="00CA7C10"/>
    <w:rsid w:val="00CD00AC"/>
    <w:rsid w:val="00CF0249"/>
    <w:rsid w:val="00CF1A5B"/>
    <w:rsid w:val="00D02CAD"/>
    <w:rsid w:val="00D06120"/>
    <w:rsid w:val="00D0629C"/>
    <w:rsid w:val="00D12057"/>
    <w:rsid w:val="00D15E09"/>
    <w:rsid w:val="00D224E6"/>
    <w:rsid w:val="00D22CE8"/>
    <w:rsid w:val="00D258EF"/>
    <w:rsid w:val="00D33557"/>
    <w:rsid w:val="00D3782B"/>
    <w:rsid w:val="00D4259C"/>
    <w:rsid w:val="00D448DF"/>
    <w:rsid w:val="00D51F48"/>
    <w:rsid w:val="00D57768"/>
    <w:rsid w:val="00D609F2"/>
    <w:rsid w:val="00D64DE1"/>
    <w:rsid w:val="00D64E45"/>
    <w:rsid w:val="00D75E62"/>
    <w:rsid w:val="00D811BA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2B81"/>
    <w:rsid w:val="00DD53B2"/>
    <w:rsid w:val="00DD5685"/>
    <w:rsid w:val="00DE7E96"/>
    <w:rsid w:val="00DF29C8"/>
    <w:rsid w:val="00DF3D2D"/>
    <w:rsid w:val="00DF47DB"/>
    <w:rsid w:val="00DF6F1D"/>
    <w:rsid w:val="00DF73DE"/>
    <w:rsid w:val="00E05248"/>
    <w:rsid w:val="00E103E7"/>
    <w:rsid w:val="00E13409"/>
    <w:rsid w:val="00E273B3"/>
    <w:rsid w:val="00E307C6"/>
    <w:rsid w:val="00E4479E"/>
    <w:rsid w:val="00E511CD"/>
    <w:rsid w:val="00E55C69"/>
    <w:rsid w:val="00E567DB"/>
    <w:rsid w:val="00E65B4D"/>
    <w:rsid w:val="00E660C1"/>
    <w:rsid w:val="00E676EC"/>
    <w:rsid w:val="00E70FCD"/>
    <w:rsid w:val="00E726E1"/>
    <w:rsid w:val="00E727C5"/>
    <w:rsid w:val="00E76056"/>
    <w:rsid w:val="00E81FF8"/>
    <w:rsid w:val="00E8737E"/>
    <w:rsid w:val="00E936D2"/>
    <w:rsid w:val="00E956AF"/>
    <w:rsid w:val="00E96CDF"/>
    <w:rsid w:val="00EA0539"/>
    <w:rsid w:val="00EA40B8"/>
    <w:rsid w:val="00EA543A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1747F"/>
    <w:rsid w:val="00F26B35"/>
    <w:rsid w:val="00F26C63"/>
    <w:rsid w:val="00F30EF1"/>
    <w:rsid w:val="00F35613"/>
    <w:rsid w:val="00F358F0"/>
    <w:rsid w:val="00F371D8"/>
    <w:rsid w:val="00F407DD"/>
    <w:rsid w:val="00F436B1"/>
    <w:rsid w:val="00F66547"/>
    <w:rsid w:val="00F7608F"/>
    <w:rsid w:val="00F77C55"/>
    <w:rsid w:val="00F8096E"/>
    <w:rsid w:val="00F81555"/>
    <w:rsid w:val="00F923F6"/>
    <w:rsid w:val="00FA6C7F"/>
    <w:rsid w:val="00FB6CC5"/>
    <w:rsid w:val="00FB7AD3"/>
    <w:rsid w:val="00FB7F24"/>
    <w:rsid w:val="00FC01F8"/>
    <w:rsid w:val="00FC1DC1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DF4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34"/>
    <w:qFormat/>
    <w:rsid w:val="00621224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34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2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table" w:styleId="TableGrid">
    <w:name w:val="Table Grid"/>
    <w:basedOn w:val="TableNormal"/>
    <w:uiPriority w:val="59"/>
    <w:rsid w:val="0060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F8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81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CC5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CC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02C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7C1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10"/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D2B8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B61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oregon.gov/oha/HPA/HP/Pages/industry-advisory-committe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HP/Pages/affordability-committe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6D0A0BD2E145B049752DAA86F113" ma:contentTypeVersion="7" ma:contentTypeDescription="Create a new document." ma:contentTypeScope="" ma:versionID="a9db96aa7c39803aa6ef060dd40ec961">
  <xsd:schema xmlns:xsd="http://www.w3.org/2001/XMLSchema" xmlns:xs="http://www.w3.org/2001/XMLSchema" xmlns:p="http://schemas.microsoft.com/office/2006/metadata/properties" xmlns:ns1="http://schemas.microsoft.com/sharepoint/v3" xmlns:ns2="9e45558d-c94d-4209-92f2-04192ba67c3d" xmlns:ns3="59da1016-2a1b-4f8a-9768-d7a4932f6f16" xmlns:ns4="http://schemas.microsoft.com/sharepoint/v4" targetNamespace="http://schemas.microsoft.com/office/2006/metadata/properties" ma:root="true" ma:fieldsID="ad0e8b4f2302e76fc48aea5960d1b4f1" ns1:_="" ns2:_="" ns3:_="" ns4:_="">
    <xsd:import namespace="http://schemas.microsoft.com/sharepoint/v3"/>
    <xsd:import namespace="9e45558d-c94d-4209-92f2-04192ba67c3d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5558d-c94d-4209-92f2-04192ba67c3d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list="{852751fe-7e0d-49bc-994b-97a7b71e7123}" ma:internalName="Meeting" ma:showField="Meeting_x0020_Lookup_x0020_Refer">
      <xsd:simpleType>
        <xsd:restriction base="dms:Lookup"/>
      </xsd:simple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e45558d-c94d-4209-92f2-04192ba67c3d" xsi:nil="true"/>
    <IconOverlay xmlns="http://schemas.microsoft.com/sharepoint/v4" xsi:nil="true"/>
    <Meta_x0020_Description xmlns="9e45558d-c94d-4209-92f2-04192ba67c3d" xsi:nil="true"/>
    <Meta_x0020_Keywords xmlns="9e45558d-c94d-4209-92f2-04192ba67c3d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25780-D51B-43FB-9B5B-9DBE49C8ACB3}"/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e649cc0b-cbdc-4486-98f1-dba1397f6c30"/>
    <ds:schemaRef ds:uri="http://schemas.openxmlformats.org/package/2006/metadata/core-properties"/>
    <ds:schemaRef ds:uri="d88bd63c-9a6d-4162-b16a-aa36a5481a8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3</Pages>
  <Words>745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Definiciones de los miembros elegibles del Comité</dc:title>
  <dc:subject>200-624400_1 OHA 0197 8.5 x 11 Basic Publication Template</dc:subject>
  <dc:creator>Oregon Health Authority</dc:creator>
  <cp:keywords>200-624400_1 OHA 0197 8.5 x 11 Basic Publication Template</cp:keywords>
  <dc:description>200-624400_1 OHA 0197 8.5 x 11 Basic Publication Template</dc:description>
  <cp:lastModifiedBy>Aguilar Daniela  M.</cp:lastModifiedBy>
  <cp:revision>20</cp:revision>
  <cp:lastPrinted>2025-03-12T21:25:00Z</cp:lastPrinted>
  <dcterms:created xsi:type="dcterms:W3CDTF">2025-02-19T21:21:00Z</dcterms:created>
  <dcterms:modified xsi:type="dcterms:W3CDTF">2025-11-24T20:34:00Z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0x01010025076D0A0BD2E145B049752DAA86F113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