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D2268" w14:textId="77777777" w:rsidR="00FC6889" w:rsidRDefault="009D707B" w:rsidP="00395A99">
      <w:pPr>
        <w:pStyle w:val="Heading1"/>
        <w:spacing w:before="0" w:after="120" w:line="252" w:lineRule="auto"/>
        <w:ind w:left="0"/>
      </w:pPr>
      <w:r>
        <w:rPr>
          <w:color w:val="2E5395"/>
        </w:rPr>
        <w:t>Background</w:t>
      </w:r>
    </w:p>
    <w:p w14:paraId="0CFD2269" w14:textId="48E8B2B8" w:rsidR="00FC6889" w:rsidRDefault="009D707B" w:rsidP="00395A99">
      <w:pPr>
        <w:pStyle w:val="BodyText"/>
        <w:spacing w:before="0" w:after="120" w:line="252" w:lineRule="auto"/>
        <w:ind w:left="0" w:right="186"/>
      </w:pPr>
      <w:r>
        <w:t>Contracts and state rule require coordinated care organizations’ (CCO) community health assessments (CHAs) and community health improvement plans (CHPs) to be shared CHAs and CHPs with local public health authorities (LPHAs),</w:t>
      </w:r>
      <w:r w:rsidR="006614D9">
        <w:t xml:space="preserve"> </w:t>
      </w:r>
      <w:r w:rsidR="00E0409D">
        <w:t>hospitals,</w:t>
      </w:r>
      <w:r w:rsidR="006614D9">
        <w:t xml:space="preserve"> and</w:t>
      </w:r>
      <w:r>
        <w:t xml:space="preserve"> other CCOs, and </w:t>
      </w:r>
      <w:r w:rsidR="006614D9">
        <w:t xml:space="preserve">also invite </w:t>
      </w:r>
      <w:r w:rsidR="00CA2B1A">
        <w:t>Tribes</w:t>
      </w:r>
      <w:r w:rsidR="006614D9">
        <w:t xml:space="preserve"> that share service areas to be equal shared partners</w:t>
      </w:r>
      <w:r>
        <w:t>.</w:t>
      </w:r>
      <w:r w:rsidR="006614D9">
        <w:t xml:space="preserve"> These entities will be referred to as the “collaborative CHA/CHP partners”.</w:t>
      </w:r>
    </w:p>
    <w:p w14:paraId="0CFD226A" w14:textId="451C781F" w:rsidR="00FC6889" w:rsidRDefault="009D707B" w:rsidP="00395A99">
      <w:pPr>
        <w:pStyle w:val="BodyText"/>
        <w:spacing w:before="0" w:after="120" w:line="252" w:lineRule="auto"/>
        <w:ind w:left="0"/>
      </w:pPr>
      <w:r>
        <w:t xml:space="preserve">The purpose of </w:t>
      </w:r>
      <w:r w:rsidR="006614D9">
        <w:t>a shared CHA/CHP is to</w:t>
      </w:r>
      <w:r>
        <w:t>:</w:t>
      </w:r>
    </w:p>
    <w:p w14:paraId="0CFD226B" w14:textId="77777777" w:rsidR="00FC6889" w:rsidRDefault="009D707B" w:rsidP="00395A99">
      <w:pPr>
        <w:pStyle w:val="ListParagraph"/>
        <w:numPr>
          <w:ilvl w:val="0"/>
          <w:numId w:val="6"/>
        </w:numPr>
        <w:tabs>
          <w:tab w:val="left" w:pos="941"/>
        </w:tabs>
        <w:spacing w:before="0" w:after="120" w:line="252" w:lineRule="auto"/>
        <w:ind w:left="720"/>
        <w:rPr>
          <w:sz w:val="24"/>
        </w:rPr>
      </w:pPr>
      <w:r>
        <w:rPr>
          <w:sz w:val="24"/>
        </w:rPr>
        <w:t>Improve population health outcomes through CHA and CHP collaboration and</w:t>
      </w:r>
      <w:r>
        <w:rPr>
          <w:spacing w:val="-14"/>
          <w:sz w:val="24"/>
        </w:rPr>
        <w:t xml:space="preserve"> </w:t>
      </w:r>
      <w:r>
        <w:rPr>
          <w:sz w:val="24"/>
        </w:rPr>
        <w:t>investment;</w:t>
      </w:r>
    </w:p>
    <w:p w14:paraId="0CFD226C" w14:textId="77777777" w:rsidR="00FC6889" w:rsidRDefault="009D707B" w:rsidP="00395A99">
      <w:pPr>
        <w:pStyle w:val="ListParagraph"/>
        <w:numPr>
          <w:ilvl w:val="0"/>
          <w:numId w:val="6"/>
        </w:numPr>
        <w:tabs>
          <w:tab w:val="left" w:pos="941"/>
        </w:tabs>
        <w:spacing w:before="0" w:after="120" w:line="252" w:lineRule="auto"/>
        <w:ind w:left="720"/>
        <w:rPr>
          <w:sz w:val="24"/>
        </w:rPr>
      </w:pPr>
      <w:r>
        <w:t>E</w:t>
      </w:r>
      <w:r>
        <w:rPr>
          <w:sz w:val="24"/>
        </w:rPr>
        <w:t>nsure the CHA and CHP reflects the needs and priorities of the entire community;</w:t>
      </w:r>
      <w:r>
        <w:rPr>
          <w:spacing w:val="-15"/>
          <w:sz w:val="24"/>
        </w:rPr>
        <w:t xml:space="preserve"> </w:t>
      </w:r>
      <w:r>
        <w:rPr>
          <w:sz w:val="24"/>
        </w:rPr>
        <w:t>and</w:t>
      </w:r>
    </w:p>
    <w:p w14:paraId="0CFD226D" w14:textId="2B4F2218" w:rsidR="00FC6889" w:rsidRDefault="009D707B" w:rsidP="00395A99">
      <w:pPr>
        <w:pStyle w:val="ListParagraph"/>
        <w:numPr>
          <w:ilvl w:val="0"/>
          <w:numId w:val="6"/>
        </w:numPr>
        <w:tabs>
          <w:tab w:val="left" w:pos="941"/>
        </w:tabs>
        <w:spacing w:before="0" w:after="120" w:line="252" w:lineRule="auto"/>
        <w:ind w:left="720" w:right="148"/>
        <w:rPr>
          <w:sz w:val="24"/>
        </w:rPr>
      </w:pPr>
      <w:r>
        <w:t>R</w:t>
      </w:r>
      <w:r>
        <w:rPr>
          <w:sz w:val="24"/>
        </w:rPr>
        <w:t>educe the burden on stakeholders and community members who may have previously participated in multiple, independent CHA and CHP</w:t>
      </w:r>
      <w:r>
        <w:rPr>
          <w:spacing w:val="-1"/>
          <w:sz w:val="24"/>
        </w:rPr>
        <w:t xml:space="preserve"> </w:t>
      </w:r>
      <w:r>
        <w:rPr>
          <w:sz w:val="24"/>
        </w:rPr>
        <w:t>processes.</w:t>
      </w:r>
    </w:p>
    <w:p w14:paraId="15DBB2C9" w14:textId="41551855" w:rsidR="004C7145" w:rsidRPr="004C7145" w:rsidRDefault="004C7145" w:rsidP="004C7145">
      <w:pPr>
        <w:tabs>
          <w:tab w:val="left" w:pos="941"/>
        </w:tabs>
        <w:spacing w:after="120" w:line="252" w:lineRule="auto"/>
        <w:ind w:right="148"/>
        <w:rPr>
          <w:sz w:val="24"/>
        </w:rPr>
      </w:pPr>
      <w:r>
        <w:rPr>
          <w:sz w:val="24"/>
        </w:rPr>
        <w:t xml:space="preserve">This </w:t>
      </w:r>
      <w:r w:rsidR="00D5576D">
        <w:rPr>
          <w:sz w:val="24"/>
        </w:rPr>
        <w:t xml:space="preserve">guidance helps CCOs address the requirement for a shared CHA and CHP with </w:t>
      </w:r>
      <w:r w:rsidR="00E840AF">
        <w:rPr>
          <w:sz w:val="24"/>
        </w:rPr>
        <w:t>the CCO’s</w:t>
      </w:r>
      <w:r w:rsidR="00D5576D">
        <w:rPr>
          <w:sz w:val="24"/>
        </w:rPr>
        <w:t xml:space="preserve"> collaborative CHA/CHP partners. </w:t>
      </w:r>
    </w:p>
    <w:p w14:paraId="0CFD226F" w14:textId="77777777" w:rsidR="00FC6889" w:rsidRDefault="009D707B" w:rsidP="00395A99">
      <w:pPr>
        <w:spacing w:after="120" w:line="252" w:lineRule="auto"/>
        <w:ind w:right="183"/>
        <w:jc w:val="both"/>
        <w:rPr>
          <w:sz w:val="24"/>
        </w:rPr>
      </w:pPr>
      <w:r>
        <w:rPr>
          <w:rFonts w:ascii="Calibri Light"/>
          <w:color w:val="2E5395"/>
          <w:sz w:val="28"/>
        </w:rPr>
        <w:t xml:space="preserve">Shared community health assessments and community health improvement plan requirements </w:t>
      </w:r>
      <w:r>
        <w:rPr>
          <w:sz w:val="24"/>
        </w:rPr>
        <w:t>By Oregon Administrative Rule (410-141-3730) and CCO Contract (Exhibit K, Parts 6 and 7), CCOs are required to do the following:</w:t>
      </w:r>
    </w:p>
    <w:p w14:paraId="0CFD2270" w14:textId="3417AEB7" w:rsidR="00FC6889" w:rsidRDefault="009D707B" w:rsidP="00395A99">
      <w:pPr>
        <w:pStyle w:val="ListParagraph"/>
        <w:numPr>
          <w:ilvl w:val="0"/>
          <w:numId w:val="5"/>
        </w:numPr>
        <w:tabs>
          <w:tab w:val="left" w:pos="941"/>
        </w:tabs>
        <w:spacing w:before="0" w:after="120" w:line="252" w:lineRule="auto"/>
        <w:ind w:left="720" w:right="211"/>
        <w:rPr>
          <w:sz w:val="24"/>
          <w:szCs w:val="24"/>
        </w:rPr>
      </w:pPr>
      <w:r w:rsidRPr="5033346C">
        <w:rPr>
          <w:b/>
          <w:sz w:val="24"/>
          <w:szCs w:val="24"/>
        </w:rPr>
        <w:t xml:space="preserve">Develop a shared CHA </w:t>
      </w:r>
      <w:r w:rsidRPr="5033346C">
        <w:rPr>
          <w:sz w:val="24"/>
          <w:szCs w:val="24"/>
        </w:rPr>
        <w:t xml:space="preserve">with all of the following entities that share all or part of their service area: LPHAs, hospitals and other CCOs. </w:t>
      </w:r>
      <w:r w:rsidR="002A40A8">
        <w:rPr>
          <w:sz w:val="24"/>
          <w:szCs w:val="24"/>
        </w:rPr>
        <w:t>If a</w:t>
      </w:r>
      <w:r w:rsidRPr="5033346C">
        <w:rPr>
          <w:sz w:val="24"/>
          <w:szCs w:val="24"/>
        </w:rPr>
        <w:t xml:space="preserve"> </w:t>
      </w:r>
      <w:r w:rsidR="00161C9C" w:rsidRPr="5033346C">
        <w:rPr>
          <w:sz w:val="24"/>
          <w:szCs w:val="24"/>
        </w:rPr>
        <w:t>T</w:t>
      </w:r>
      <w:r w:rsidRPr="5033346C">
        <w:rPr>
          <w:sz w:val="24"/>
          <w:szCs w:val="24"/>
        </w:rPr>
        <w:t>ribe</w:t>
      </w:r>
      <w:r w:rsidR="002A40A8">
        <w:rPr>
          <w:sz w:val="24"/>
          <w:szCs w:val="24"/>
        </w:rPr>
        <w:t xml:space="preserve"> </w:t>
      </w:r>
      <w:r w:rsidR="001A5B2D">
        <w:rPr>
          <w:sz w:val="24"/>
          <w:szCs w:val="24"/>
        </w:rPr>
        <w:t>that shares the service area</w:t>
      </w:r>
      <w:r w:rsidRPr="5033346C">
        <w:rPr>
          <w:sz w:val="24"/>
          <w:szCs w:val="24"/>
        </w:rPr>
        <w:t xml:space="preserve"> </w:t>
      </w:r>
      <w:r w:rsidR="003B6F46">
        <w:rPr>
          <w:sz w:val="24"/>
          <w:szCs w:val="24"/>
        </w:rPr>
        <w:t>has</w:t>
      </w:r>
      <w:r w:rsidRPr="5033346C">
        <w:rPr>
          <w:sz w:val="24"/>
          <w:szCs w:val="24"/>
        </w:rPr>
        <w:t xml:space="preserve"> developed or will develop their own CHA or CHP</w:t>
      </w:r>
      <w:r w:rsidR="003B6F46">
        <w:rPr>
          <w:sz w:val="24"/>
          <w:szCs w:val="24"/>
        </w:rPr>
        <w:t>, the</w:t>
      </w:r>
      <w:r w:rsidRPr="5033346C">
        <w:rPr>
          <w:sz w:val="24"/>
          <w:szCs w:val="24"/>
        </w:rPr>
        <w:t xml:space="preserve"> CCO must invite the </w:t>
      </w:r>
      <w:r w:rsidR="00161C9C" w:rsidRPr="5033346C">
        <w:rPr>
          <w:sz w:val="24"/>
          <w:szCs w:val="24"/>
        </w:rPr>
        <w:t>T</w:t>
      </w:r>
      <w:r w:rsidRPr="5033346C">
        <w:rPr>
          <w:sz w:val="24"/>
          <w:szCs w:val="24"/>
        </w:rPr>
        <w:t xml:space="preserve">ribe to participate in the shared CHA and CHP. </w:t>
      </w:r>
      <w:r w:rsidR="00B77C4E">
        <w:rPr>
          <w:sz w:val="24"/>
          <w:szCs w:val="24"/>
        </w:rPr>
        <w:t>However, CCOs are always encouraged to ensure Tribe</w:t>
      </w:r>
      <w:r w:rsidR="00554AE6">
        <w:rPr>
          <w:sz w:val="24"/>
          <w:szCs w:val="24"/>
        </w:rPr>
        <w:t>(</w:t>
      </w:r>
      <w:r w:rsidR="00B77C4E">
        <w:rPr>
          <w:sz w:val="24"/>
          <w:szCs w:val="24"/>
        </w:rPr>
        <w:t>s</w:t>
      </w:r>
      <w:r w:rsidR="00554AE6">
        <w:rPr>
          <w:sz w:val="24"/>
          <w:szCs w:val="24"/>
        </w:rPr>
        <w:t>)</w:t>
      </w:r>
      <w:r w:rsidR="00B77C4E">
        <w:rPr>
          <w:sz w:val="24"/>
          <w:szCs w:val="24"/>
        </w:rPr>
        <w:t xml:space="preserve"> are </w:t>
      </w:r>
      <w:r w:rsidR="00A7045D">
        <w:rPr>
          <w:sz w:val="24"/>
          <w:szCs w:val="24"/>
        </w:rPr>
        <w:t>invited</w:t>
      </w:r>
      <w:r w:rsidR="00B77C4E">
        <w:rPr>
          <w:sz w:val="24"/>
          <w:szCs w:val="24"/>
        </w:rPr>
        <w:t xml:space="preserve"> as equal partners in the shared CHA. </w:t>
      </w:r>
      <w:r w:rsidR="0053564F" w:rsidRPr="5033346C">
        <w:rPr>
          <w:sz w:val="24"/>
          <w:szCs w:val="24"/>
        </w:rPr>
        <w:t>The CCO’s CAC(s) is/are responsible for overseeing the CHA process</w:t>
      </w:r>
      <w:r w:rsidR="00AA1093" w:rsidRPr="5033346C">
        <w:rPr>
          <w:sz w:val="24"/>
          <w:szCs w:val="24"/>
        </w:rPr>
        <w:t xml:space="preserve"> with the </w:t>
      </w:r>
      <w:r w:rsidR="00AA1093" w:rsidRPr="45035F04">
        <w:rPr>
          <w:sz w:val="24"/>
          <w:szCs w:val="24"/>
        </w:rPr>
        <w:t>collaborative CHA</w:t>
      </w:r>
      <w:r w:rsidR="00AA1093" w:rsidRPr="5033346C">
        <w:rPr>
          <w:sz w:val="24"/>
          <w:szCs w:val="24"/>
        </w:rPr>
        <w:t>/CHP partners</w:t>
      </w:r>
      <w:r w:rsidR="0053564F" w:rsidRPr="5033346C">
        <w:rPr>
          <w:sz w:val="24"/>
          <w:szCs w:val="24"/>
        </w:rPr>
        <w:t>.</w:t>
      </w:r>
    </w:p>
    <w:p w14:paraId="0CFD2271" w14:textId="65413B3A" w:rsidR="00FC6889" w:rsidRDefault="009D707B" w:rsidP="00395A99">
      <w:pPr>
        <w:pStyle w:val="ListParagraph"/>
        <w:numPr>
          <w:ilvl w:val="0"/>
          <w:numId w:val="5"/>
        </w:numPr>
        <w:tabs>
          <w:tab w:val="left" w:pos="941"/>
        </w:tabs>
        <w:spacing w:before="0" w:after="120" w:line="252" w:lineRule="auto"/>
        <w:ind w:left="720" w:right="213"/>
        <w:rPr>
          <w:sz w:val="24"/>
          <w:szCs w:val="24"/>
        </w:rPr>
      </w:pPr>
      <w:r w:rsidRPr="7CB42A23">
        <w:rPr>
          <w:b/>
          <w:bCs/>
          <w:sz w:val="24"/>
          <w:szCs w:val="24"/>
        </w:rPr>
        <w:t xml:space="preserve">Develop a shared CHP </w:t>
      </w:r>
      <w:r w:rsidR="006614D9" w:rsidRPr="5033346C">
        <w:rPr>
          <w:sz w:val="24"/>
          <w:szCs w:val="24"/>
        </w:rPr>
        <w:t>with the collaborative CHA/CHP partners</w:t>
      </w:r>
      <w:r w:rsidR="006614D9" w:rsidRPr="7CB42A23">
        <w:rPr>
          <w:b/>
          <w:bCs/>
          <w:sz w:val="24"/>
          <w:szCs w:val="24"/>
        </w:rPr>
        <w:t xml:space="preserve"> </w:t>
      </w:r>
      <w:r w:rsidRPr="5033346C">
        <w:rPr>
          <w:sz w:val="24"/>
          <w:szCs w:val="24"/>
        </w:rPr>
        <w:t xml:space="preserve">using the findings documented in </w:t>
      </w:r>
      <w:r w:rsidR="006614D9" w:rsidRPr="5033346C">
        <w:rPr>
          <w:sz w:val="24"/>
          <w:szCs w:val="24"/>
        </w:rPr>
        <w:t xml:space="preserve">the shared </w:t>
      </w:r>
      <w:r w:rsidRPr="5033346C">
        <w:rPr>
          <w:sz w:val="24"/>
          <w:szCs w:val="24"/>
        </w:rPr>
        <w:t xml:space="preserve">CHA, including the health disparities data required of the CHA. The CHP will serve as a strategic plan for the population health and health care systems to serve the communities within the CCO’s service area. </w:t>
      </w:r>
      <w:r w:rsidR="00C7326D">
        <w:rPr>
          <w:sz w:val="24"/>
          <w:szCs w:val="24"/>
        </w:rPr>
        <w:t>As with</w:t>
      </w:r>
      <w:r w:rsidRPr="5033346C" w:rsidDel="005A7467">
        <w:rPr>
          <w:sz w:val="24"/>
          <w:szCs w:val="24"/>
        </w:rPr>
        <w:t xml:space="preserve"> the shared CHA</w:t>
      </w:r>
      <w:r w:rsidR="00E94802" w:rsidRPr="0519C45D">
        <w:rPr>
          <w:sz w:val="24"/>
          <w:szCs w:val="24"/>
        </w:rPr>
        <w:t>,</w:t>
      </w:r>
      <w:r w:rsidRPr="0519C45D" w:rsidDel="005A7467">
        <w:rPr>
          <w:sz w:val="24"/>
          <w:szCs w:val="24"/>
        </w:rPr>
        <w:t xml:space="preserve"> </w:t>
      </w:r>
      <w:r w:rsidRPr="5033346C" w:rsidDel="005A7467">
        <w:rPr>
          <w:sz w:val="24"/>
          <w:szCs w:val="24"/>
        </w:rPr>
        <w:t>the</w:t>
      </w:r>
      <w:r w:rsidRPr="0519C45D" w:rsidDel="005A7467">
        <w:rPr>
          <w:sz w:val="24"/>
          <w:szCs w:val="24"/>
        </w:rPr>
        <w:t xml:space="preserve"> </w:t>
      </w:r>
      <w:r w:rsidR="005E4E74" w:rsidRPr="0519C45D">
        <w:rPr>
          <w:sz w:val="24"/>
          <w:szCs w:val="24"/>
        </w:rPr>
        <w:t>LPHA</w:t>
      </w:r>
      <w:r w:rsidR="00C7326D">
        <w:rPr>
          <w:sz w:val="24"/>
          <w:szCs w:val="24"/>
        </w:rPr>
        <w:t>(</w:t>
      </w:r>
      <w:r w:rsidR="005E4E74" w:rsidRPr="0519C45D">
        <w:rPr>
          <w:sz w:val="24"/>
          <w:szCs w:val="24"/>
        </w:rPr>
        <w:t>s</w:t>
      </w:r>
      <w:r w:rsidR="00C7326D">
        <w:rPr>
          <w:sz w:val="24"/>
          <w:szCs w:val="24"/>
        </w:rPr>
        <w:t>)</w:t>
      </w:r>
      <w:r w:rsidR="005E4E74" w:rsidRPr="0519C45D">
        <w:rPr>
          <w:sz w:val="24"/>
          <w:szCs w:val="24"/>
        </w:rPr>
        <w:t>, hospital</w:t>
      </w:r>
      <w:r w:rsidR="00C7326D">
        <w:rPr>
          <w:sz w:val="24"/>
          <w:szCs w:val="24"/>
        </w:rPr>
        <w:t>(</w:t>
      </w:r>
      <w:r w:rsidR="005E4E74" w:rsidRPr="0519C45D">
        <w:rPr>
          <w:sz w:val="24"/>
          <w:szCs w:val="24"/>
        </w:rPr>
        <w:t>s</w:t>
      </w:r>
      <w:r w:rsidR="00C7326D">
        <w:rPr>
          <w:sz w:val="24"/>
          <w:szCs w:val="24"/>
        </w:rPr>
        <w:t>)</w:t>
      </w:r>
      <w:r w:rsidR="005E4E74" w:rsidRPr="0519C45D">
        <w:rPr>
          <w:sz w:val="24"/>
          <w:szCs w:val="24"/>
        </w:rPr>
        <w:t xml:space="preserve"> and other CCO</w:t>
      </w:r>
      <w:r w:rsidR="00C7326D">
        <w:rPr>
          <w:sz w:val="24"/>
          <w:szCs w:val="24"/>
        </w:rPr>
        <w:t>(</w:t>
      </w:r>
      <w:r w:rsidR="005E4E74" w:rsidRPr="0519C45D">
        <w:rPr>
          <w:sz w:val="24"/>
          <w:szCs w:val="24"/>
        </w:rPr>
        <w:t>s</w:t>
      </w:r>
      <w:r w:rsidR="00C7326D">
        <w:rPr>
          <w:sz w:val="24"/>
          <w:szCs w:val="24"/>
        </w:rPr>
        <w:t>)</w:t>
      </w:r>
      <w:r w:rsidR="005E4E74" w:rsidRPr="0519C45D">
        <w:rPr>
          <w:sz w:val="24"/>
          <w:szCs w:val="24"/>
        </w:rPr>
        <w:t xml:space="preserve"> that share the service area</w:t>
      </w:r>
      <w:r w:rsidR="00E94802" w:rsidRPr="0519C45D">
        <w:rPr>
          <w:sz w:val="24"/>
          <w:szCs w:val="24"/>
        </w:rPr>
        <w:t xml:space="preserve"> should </w:t>
      </w:r>
      <w:r w:rsidR="00D2503A" w:rsidRPr="0519C45D">
        <w:rPr>
          <w:sz w:val="24"/>
          <w:szCs w:val="24"/>
        </w:rPr>
        <w:t>also collaborate on the shared</w:t>
      </w:r>
      <w:r w:rsidR="006B5522" w:rsidRPr="0519C45D">
        <w:rPr>
          <w:sz w:val="24"/>
          <w:szCs w:val="24"/>
        </w:rPr>
        <w:t xml:space="preserve"> CHP</w:t>
      </w:r>
      <w:r w:rsidR="00E40D60" w:rsidRPr="0519C45D">
        <w:rPr>
          <w:sz w:val="24"/>
          <w:szCs w:val="24"/>
        </w:rPr>
        <w:t xml:space="preserve"> </w:t>
      </w:r>
      <w:r w:rsidRPr="5033346C">
        <w:rPr>
          <w:sz w:val="24"/>
          <w:szCs w:val="24"/>
        </w:rPr>
        <w:t>or</w:t>
      </w:r>
      <w:r w:rsidR="00E40D60">
        <w:rPr>
          <w:sz w:val="24"/>
          <w:szCs w:val="24"/>
        </w:rPr>
        <w:t xml:space="preserve"> ensure</w:t>
      </w:r>
      <w:r w:rsidRPr="5033346C">
        <w:rPr>
          <w:spacing w:val="-2"/>
          <w:sz w:val="24"/>
          <w:szCs w:val="24"/>
        </w:rPr>
        <w:t xml:space="preserve"> </w:t>
      </w:r>
      <w:r w:rsidRPr="5033346C">
        <w:rPr>
          <w:sz w:val="24"/>
          <w:szCs w:val="24"/>
        </w:rPr>
        <w:t>shared</w:t>
      </w:r>
      <w:r w:rsidRPr="5033346C">
        <w:rPr>
          <w:spacing w:val="-3"/>
          <w:sz w:val="24"/>
          <w:szCs w:val="24"/>
        </w:rPr>
        <w:t xml:space="preserve"> </w:t>
      </w:r>
      <w:r w:rsidRPr="5033346C">
        <w:rPr>
          <w:sz w:val="24"/>
          <w:szCs w:val="24"/>
        </w:rPr>
        <w:t>CHP</w:t>
      </w:r>
      <w:r w:rsidRPr="5033346C">
        <w:rPr>
          <w:spacing w:val="-3"/>
          <w:sz w:val="24"/>
          <w:szCs w:val="24"/>
        </w:rPr>
        <w:t xml:space="preserve"> </w:t>
      </w:r>
      <w:r w:rsidRPr="5033346C">
        <w:rPr>
          <w:sz w:val="24"/>
          <w:szCs w:val="24"/>
        </w:rPr>
        <w:t>priorities</w:t>
      </w:r>
      <w:r w:rsidRPr="5033346C">
        <w:rPr>
          <w:spacing w:val="-2"/>
          <w:sz w:val="24"/>
          <w:szCs w:val="24"/>
        </w:rPr>
        <w:t xml:space="preserve"> </w:t>
      </w:r>
      <w:r w:rsidRPr="5033346C">
        <w:rPr>
          <w:sz w:val="24"/>
          <w:szCs w:val="24"/>
        </w:rPr>
        <w:t>and</w:t>
      </w:r>
      <w:r w:rsidRPr="5033346C">
        <w:rPr>
          <w:spacing w:val="-3"/>
          <w:sz w:val="24"/>
          <w:szCs w:val="24"/>
        </w:rPr>
        <w:t xml:space="preserve"> </w:t>
      </w:r>
      <w:r w:rsidRPr="5033346C">
        <w:rPr>
          <w:sz w:val="24"/>
          <w:szCs w:val="24"/>
        </w:rPr>
        <w:t>strategies.</w:t>
      </w:r>
      <w:r w:rsidRPr="5033346C">
        <w:rPr>
          <w:spacing w:val="-6"/>
          <w:sz w:val="24"/>
          <w:szCs w:val="24"/>
        </w:rPr>
        <w:t xml:space="preserve"> </w:t>
      </w:r>
      <w:r w:rsidR="00916234">
        <w:rPr>
          <w:sz w:val="24"/>
          <w:szCs w:val="24"/>
        </w:rPr>
        <w:t>A</w:t>
      </w:r>
      <w:r w:rsidR="00554AE6">
        <w:rPr>
          <w:sz w:val="24"/>
          <w:szCs w:val="24"/>
        </w:rPr>
        <w:t>s</w:t>
      </w:r>
      <w:r w:rsidR="00916234">
        <w:rPr>
          <w:sz w:val="24"/>
          <w:szCs w:val="24"/>
        </w:rPr>
        <w:t xml:space="preserve"> with</w:t>
      </w:r>
      <w:r w:rsidR="00F33E3E" w:rsidRPr="0519C45D">
        <w:rPr>
          <w:sz w:val="24"/>
          <w:szCs w:val="24"/>
        </w:rPr>
        <w:t xml:space="preserve"> the CHA, </w:t>
      </w:r>
      <w:r w:rsidR="008C0FE2" w:rsidRPr="0519C45D">
        <w:rPr>
          <w:sz w:val="24"/>
          <w:szCs w:val="24"/>
        </w:rPr>
        <w:t>Tribe</w:t>
      </w:r>
      <w:r w:rsidR="00916234">
        <w:rPr>
          <w:sz w:val="24"/>
          <w:szCs w:val="24"/>
        </w:rPr>
        <w:t>(</w:t>
      </w:r>
      <w:r w:rsidR="008C0FE2" w:rsidRPr="0519C45D">
        <w:rPr>
          <w:sz w:val="24"/>
          <w:szCs w:val="24"/>
        </w:rPr>
        <w:t>s</w:t>
      </w:r>
      <w:r w:rsidR="00916234">
        <w:rPr>
          <w:sz w:val="24"/>
          <w:szCs w:val="24"/>
        </w:rPr>
        <w:t>)</w:t>
      </w:r>
      <w:r w:rsidR="008C0FE2" w:rsidRPr="0519C45D">
        <w:rPr>
          <w:sz w:val="24"/>
          <w:szCs w:val="24"/>
        </w:rPr>
        <w:t xml:space="preserve"> </w:t>
      </w:r>
      <w:r w:rsidR="00916234">
        <w:rPr>
          <w:sz w:val="24"/>
          <w:szCs w:val="24"/>
        </w:rPr>
        <w:t>must</w:t>
      </w:r>
      <w:r w:rsidR="008C0FE2" w:rsidRPr="0519C45D">
        <w:rPr>
          <w:sz w:val="24"/>
          <w:szCs w:val="24"/>
        </w:rPr>
        <w:t xml:space="preserve"> be invited as equal partners in the shared CHP</w:t>
      </w:r>
      <w:r w:rsidR="00916234">
        <w:rPr>
          <w:sz w:val="24"/>
          <w:szCs w:val="24"/>
        </w:rPr>
        <w:t xml:space="preserve">, if the Tribe(s) have or will </w:t>
      </w:r>
      <w:r w:rsidR="00112743">
        <w:rPr>
          <w:sz w:val="24"/>
          <w:szCs w:val="24"/>
        </w:rPr>
        <w:t>develop their own CHP</w:t>
      </w:r>
      <w:r w:rsidR="00D2503A" w:rsidRPr="0519C45D">
        <w:rPr>
          <w:sz w:val="24"/>
          <w:szCs w:val="24"/>
        </w:rPr>
        <w:t>.</w:t>
      </w:r>
      <w:r w:rsidR="00112743">
        <w:rPr>
          <w:sz w:val="24"/>
          <w:szCs w:val="24"/>
        </w:rPr>
        <w:t xml:space="preserve"> However, </w:t>
      </w:r>
      <w:r w:rsidR="00554AE6">
        <w:rPr>
          <w:sz w:val="24"/>
          <w:szCs w:val="24"/>
        </w:rPr>
        <w:t>CCOs are always encouraged</w:t>
      </w:r>
      <w:r w:rsidR="00576C16">
        <w:rPr>
          <w:sz w:val="24"/>
          <w:szCs w:val="24"/>
        </w:rPr>
        <w:t xml:space="preserve"> </w:t>
      </w:r>
      <w:r w:rsidR="00554AE6">
        <w:rPr>
          <w:sz w:val="24"/>
          <w:szCs w:val="24"/>
        </w:rPr>
        <w:t>to ensure the Tribes are invited as equal partners in the shared CHP.</w:t>
      </w:r>
      <w:r w:rsidR="00D2503A" w:rsidRPr="0519C45D">
        <w:rPr>
          <w:sz w:val="24"/>
          <w:szCs w:val="24"/>
        </w:rPr>
        <w:t xml:space="preserve"> </w:t>
      </w:r>
      <w:r w:rsidRPr="5033346C">
        <w:rPr>
          <w:sz w:val="24"/>
          <w:szCs w:val="24"/>
        </w:rPr>
        <w:t>The CCO’s CAC(s) is/are responsible for adopting the</w:t>
      </w:r>
      <w:r w:rsidRPr="5033346C">
        <w:rPr>
          <w:spacing w:val="-1"/>
          <w:sz w:val="24"/>
          <w:szCs w:val="24"/>
        </w:rPr>
        <w:t xml:space="preserve"> </w:t>
      </w:r>
      <w:r w:rsidRPr="5033346C">
        <w:rPr>
          <w:sz w:val="24"/>
          <w:szCs w:val="24"/>
        </w:rPr>
        <w:t>CHP</w:t>
      </w:r>
      <w:r w:rsidR="00AA1093" w:rsidRPr="5033346C">
        <w:rPr>
          <w:sz w:val="24"/>
          <w:szCs w:val="24"/>
        </w:rPr>
        <w:t xml:space="preserve"> in collaboration with the CHA/CHP partners</w:t>
      </w:r>
      <w:r w:rsidRPr="5033346C">
        <w:rPr>
          <w:sz w:val="24"/>
          <w:szCs w:val="24"/>
        </w:rPr>
        <w:t>.</w:t>
      </w:r>
    </w:p>
    <w:p w14:paraId="41B15D2B" w14:textId="338844B8" w:rsidR="006614D9" w:rsidRDefault="006614D9" w:rsidP="00395A99">
      <w:pPr>
        <w:pStyle w:val="ListParagraph"/>
        <w:numPr>
          <w:ilvl w:val="0"/>
          <w:numId w:val="5"/>
        </w:numPr>
        <w:tabs>
          <w:tab w:val="left" w:pos="941"/>
        </w:tabs>
        <w:spacing w:before="0" w:after="120" w:line="252" w:lineRule="auto"/>
        <w:ind w:left="720" w:right="213"/>
        <w:rPr>
          <w:sz w:val="24"/>
          <w:szCs w:val="24"/>
        </w:rPr>
      </w:pPr>
      <w:r w:rsidRPr="5033346C">
        <w:rPr>
          <w:b/>
          <w:sz w:val="24"/>
          <w:szCs w:val="24"/>
        </w:rPr>
        <w:t>Document collaboration</w:t>
      </w:r>
      <w:r w:rsidRPr="5033346C">
        <w:rPr>
          <w:sz w:val="24"/>
          <w:szCs w:val="24"/>
        </w:rPr>
        <w:t xml:space="preserve"> among the collaborative CHA/CHP partners in the CHA and the CHP, as well as the CHP progress reports. (See possible approaches to documentation below.)</w:t>
      </w:r>
    </w:p>
    <w:p w14:paraId="0CFD2272" w14:textId="59BD87C8" w:rsidR="00FC6889" w:rsidRDefault="009D707B" w:rsidP="00395A99">
      <w:pPr>
        <w:pStyle w:val="Heading1"/>
        <w:spacing w:before="0" w:after="120" w:line="252" w:lineRule="auto"/>
        <w:ind w:left="0"/>
      </w:pPr>
      <w:r w:rsidRPr="7CB42A23">
        <w:rPr>
          <w:color w:val="2E5395"/>
        </w:rPr>
        <w:t xml:space="preserve">Demonstrating </w:t>
      </w:r>
      <w:r w:rsidR="004E19F8">
        <w:rPr>
          <w:color w:val="2E5395"/>
        </w:rPr>
        <w:t xml:space="preserve">the </w:t>
      </w:r>
      <w:r w:rsidRPr="7CB42A23">
        <w:rPr>
          <w:color w:val="2E5395"/>
        </w:rPr>
        <w:t>CHA or CHP is shared</w:t>
      </w:r>
    </w:p>
    <w:p w14:paraId="67422315" w14:textId="3538A484" w:rsidR="00F32566" w:rsidRDefault="00F32566" w:rsidP="00395A99">
      <w:pPr>
        <w:pStyle w:val="BodyText"/>
        <w:spacing w:before="0" w:after="120" w:line="252" w:lineRule="auto"/>
        <w:ind w:left="0" w:right="348"/>
      </w:pPr>
      <w:r>
        <w:t xml:space="preserve">For the purposes of the CHA and CHP, “shared” means one, shared CHA document and one, shared CHP document for the required entities. It may also include separate documentation to fulfill </w:t>
      </w:r>
      <w:r w:rsidR="006964A8">
        <w:t>an</w:t>
      </w:r>
      <w:r>
        <w:t xml:space="preserve"> entity’s state or federal requirements. </w:t>
      </w:r>
    </w:p>
    <w:p w14:paraId="0CFD2273" w14:textId="71E97092" w:rsidR="00FC6889" w:rsidRDefault="0523D04D" w:rsidP="00395A99">
      <w:pPr>
        <w:pStyle w:val="BodyText"/>
        <w:spacing w:before="0" w:after="120" w:line="252" w:lineRule="auto"/>
        <w:ind w:left="0" w:right="348"/>
      </w:pPr>
      <w:r>
        <w:t xml:space="preserve">The same means of demonstrating a shared CHA could be used to demonstrate a shared CHP. </w:t>
      </w:r>
      <w:r w:rsidR="021392DD">
        <w:t xml:space="preserve">CCOs may </w:t>
      </w:r>
      <w:r w:rsidR="021392DD">
        <w:lastRenderedPageBreak/>
        <w:t>have one shared CHA/CHP or multiple shared CHAs/CHPs, depending on the service area</w:t>
      </w:r>
      <w:r w:rsidR="561D1D3E">
        <w:t>(s)</w:t>
      </w:r>
      <w:r w:rsidR="021392DD">
        <w:t xml:space="preserve"> covered and how the community chooses to define itself. For example, a CCO covering two counties may have a separate CHA and CHP for each county, or it could have a regional CHA and CHP covering both counties. The goal is that each community has a single CHA and CHP, instead of multiple, disconnected assessments and improvement plans published by individual organizations within the community. (See page </w:t>
      </w:r>
      <w:r w:rsidR="004E19F8">
        <w:t>3</w:t>
      </w:r>
      <w:r w:rsidR="021392DD">
        <w:t xml:space="preserve"> for CHA/CHP guidelines on small, partial county CCO shared service areas.)</w:t>
      </w:r>
    </w:p>
    <w:p w14:paraId="0CFD2274" w14:textId="683134DC" w:rsidR="00FC6889" w:rsidRDefault="009D707B" w:rsidP="00395A99">
      <w:pPr>
        <w:pStyle w:val="BodyText"/>
        <w:spacing w:before="0" w:after="120" w:line="252" w:lineRule="auto"/>
        <w:ind w:left="0" w:right="549"/>
      </w:pPr>
      <w:r>
        <w:t>CCOs could demonstrate</w:t>
      </w:r>
      <w:r w:rsidR="009E5EF1">
        <w:t xml:space="preserve"> the shared</w:t>
      </w:r>
      <w:r>
        <w:t xml:space="preserve"> relationship </w:t>
      </w:r>
      <w:r w:rsidR="00AA1093">
        <w:t>through at least two of the following ways</w:t>
      </w:r>
      <w:r>
        <w:t>:</w:t>
      </w:r>
    </w:p>
    <w:p w14:paraId="30A28FC0" w14:textId="30D747C9" w:rsidR="00FC6889" w:rsidRPr="004D3830" w:rsidRDefault="009D707B" w:rsidP="00395A99">
      <w:pPr>
        <w:pStyle w:val="ListParagraph"/>
        <w:numPr>
          <w:ilvl w:val="0"/>
          <w:numId w:val="4"/>
        </w:numPr>
        <w:tabs>
          <w:tab w:val="left" w:pos="941"/>
        </w:tabs>
        <w:spacing w:before="0" w:after="120" w:line="252" w:lineRule="auto"/>
        <w:ind w:left="720" w:right="865"/>
        <w:jc w:val="both"/>
        <w:rPr>
          <w:sz w:val="24"/>
          <w:szCs w:val="24"/>
        </w:rPr>
      </w:pPr>
      <w:r w:rsidRPr="5033346C">
        <w:rPr>
          <w:sz w:val="24"/>
          <w:szCs w:val="24"/>
        </w:rPr>
        <w:t xml:space="preserve">Logos from each entity on the CHA and CHP cover pages or introduction to note shared ownership of the documents (entity logos that </w:t>
      </w:r>
      <w:r w:rsidRPr="5033346C">
        <w:rPr>
          <w:sz w:val="24"/>
          <w:szCs w:val="24"/>
          <w:u w:val="single"/>
        </w:rPr>
        <w:t>only</w:t>
      </w:r>
      <w:r w:rsidRPr="5033346C">
        <w:rPr>
          <w:sz w:val="24"/>
          <w:szCs w:val="24"/>
        </w:rPr>
        <w:t xml:space="preserve"> denote participation in the CHA or CHP process, but not ownership or endorsement, would not</w:t>
      </w:r>
      <w:r w:rsidRPr="5033346C">
        <w:rPr>
          <w:spacing w:val="-2"/>
          <w:sz w:val="24"/>
          <w:szCs w:val="24"/>
        </w:rPr>
        <w:t xml:space="preserve"> </w:t>
      </w:r>
      <w:r w:rsidRPr="5033346C">
        <w:rPr>
          <w:sz w:val="24"/>
          <w:szCs w:val="24"/>
        </w:rPr>
        <w:t>suffice);</w:t>
      </w:r>
    </w:p>
    <w:p w14:paraId="6E4E1CF9" w14:textId="491772D3" w:rsidR="004D3830" w:rsidRDefault="004D3830" w:rsidP="00395A99">
      <w:pPr>
        <w:pStyle w:val="ListParagraph"/>
        <w:numPr>
          <w:ilvl w:val="0"/>
          <w:numId w:val="4"/>
        </w:numPr>
        <w:tabs>
          <w:tab w:val="left" w:pos="941"/>
        </w:tabs>
        <w:spacing w:before="0" w:after="120" w:line="252" w:lineRule="auto"/>
        <w:ind w:left="720" w:right="418"/>
        <w:rPr>
          <w:sz w:val="24"/>
          <w:szCs w:val="24"/>
        </w:rPr>
      </w:pPr>
      <w:r w:rsidRPr="5033346C">
        <w:rPr>
          <w:sz w:val="24"/>
          <w:szCs w:val="24"/>
        </w:rPr>
        <w:t>Membership lists in CHA and CHP appendices that show each entity is represented on the CHA/CHP decision- making body and steering committee</w:t>
      </w:r>
      <w:r w:rsidR="001E0F69" w:rsidRPr="5033346C">
        <w:rPr>
          <w:sz w:val="24"/>
          <w:szCs w:val="24"/>
        </w:rPr>
        <w:t xml:space="preserve"> with language that demonstrates the entities represented on the governing body are also the entities fully sharing the CHA/CHP</w:t>
      </w:r>
      <w:r w:rsidRPr="5033346C">
        <w:rPr>
          <w:sz w:val="24"/>
          <w:szCs w:val="24"/>
        </w:rPr>
        <w:t>;</w:t>
      </w:r>
      <w:r w:rsidRPr="5033346C">
        <w:rPr>
          <w:spacing w:val="-2"/>
          <w:sz w:val="24"/>
          <w:szCs w:val="24"/>
        </w:rPr>
        <w:t xml:space="preserve"> </w:t>
      </w:r>
      <w:r w:rsidRPr="5033346C">
        <w:rPr>
          <w:sz w:val="24"/>
          <w:szCs w:val="24"/>
        </w:rPr>
        <w:t>or</w:t>
      </w:r>
    </w:p>
    <w:p w14:paraId="45BA6595" w14:textId="3D18A210" w:rsidR="004D3830" w:rsidRDefault="004D3830" w:rsidP="00395A99">
      <w:pPr>
        <w:pStyle w:val="ListParagraph"/>
        <w:numPr>
          <w:ilvl w:val="0"/>
          <w:numId w:val="4"/>
        </w:numPr>
        <w:tabs>
          <w:tab w:val="left" w:pos="941"/>
        </w:tabs>
        <w:spacing w:before="0" w:after="120" w:line="252" w:lineRule="auto"/>
        <w:ind w:left="720" w:right="334"/>
        <w:rPr>
          <w:sz w:val="24"/>
          <w:szCs w:val="24"/>
        </w:rPr>
      </w:pPr>
      <w:r w:rsidRPr="5033346C">
        <w:rPr>
          <w:sz w:val="24"/>
          <w:szCs w:val="24"/>
        </w:rPr>
        <w:t>Memorandums</w:t>
      </w:r>
      <w:r w:rsidRPr="5033346C">
        <w:rPr>
          <w:spacing w:val="-3"/>
          <w:sz w:val="24"/>
          <w:szCs w:val="24"/>
        </w:rPr>
        <w:t xml:space="preserve"> </w:t>
      </w:r>
      <w:r w:rsidRPr="5033346C">
        <w:rPr>
          <w:sz w:val="24"/>
          <w:szCs w:val="24"/>
        </w:rPr>
        <w:t>of</w:t>
      </w:r>
      <w:r w:rsidRPr="5033346C">
        <w:rPr>
          <w:spacing w:val="-4"/>
          <w:sz w:val="24"/>
          <w:szCs w:val="24"/>
        </w:rPr>
        <w:t xml:space="preserve"> </w:t>
      </w:r>
      <w:r w:rsidRPr="5033346C">
        <w:rPr>
          <w:sz w:val="24"/>
          <w:szCs w:val="24"/>
        </w:rPr>
        <w:t>understanding</w:t>
      </w:r>
      <w:r w:rsidRPr="5033346C">
        <w:rPr>
          <w:spacing w:val="1"/>
          <w:sz w:val="24"/>
          <w:szCs w:val="24"/>
        </w:rPr>
        <w:t xml:space="preserve"> </w:t>
      </w:r>
      <w:r w:rsidRPr="5033346C">
        <w:rPr>
          <w:sz w:val="24"/>
          <w:szCs w:val="24"/>
        </w:rPr>
        <w:t>or</w:t>
      </w:r>
      <w:r w:rsidRPr="5033346C">
        <w:rPr>
          <w:spacing w:val="-2"/>
          <w:sz w:val="24"/>
          <w:szCs w:val="24"/>
        </w:rPr>
        <w:t xml:space="preserve"> </w:t>
      </w:r>
      <w:r w:rsidRPr="5033346C">
        <w:rPr>
          <w:sz w:val="24"/>
          <w:szCs w:val="24"/>
        </w:rPr>
        <w:t>agreements</w:t>
      </w:r>
      <w:r w:rsidRPr="5033346C">
        <w:rPr>
          <w:spacing w:val="-5"/>
          <w:sz w:val="24"/>
          <w:szCs w:val="24"/>
        </w:rPr>
        <w:t xml:space="preserve"> </w:t>
      </w:r>
      <w:r w:rsidRPr="5033346C">
        <w:rPr>
          <w:sz w:val="24"/>
          <w:szCs w:val="24"/>
        </w:rPr>
        <w:t>that</w:t>
      </w:r>
      <w:r w:rsidRPr="5033346C">
        <w:rPr>
          <w:spacing w:val="-2"/>
          <w:sz w:val="24"/>
          <w:szCs w:val="24"/>
        </w:rPr>
        <w:t xml:space="preserve"> </w:t>
      </w:r>
      <w:r w:rsidRPr="5033346C">
        <w:rPr>
          <w:sz w:val="24"/>
          <w:szCs w:val="24"/>
        </w:rPr>
        <w:t>outline</w:t>
      </w:r>
      <w:r w:rsidRPr="5033346C">
        <w:rPr>
          <w:spacing w:val="-4"/>
          <w:sz w:val="24"/>
          <w:szCs w:val="24"/>
        </w:rPr>
        <w:t xml:space="preserve"> </w:t>
      </w:r>
      <w:r w:rsidRPr="5033346C">
        <w:rPr>
          <w:sz w:val="24"/>
          <w:szCs w:val="24"/>
        </w:rPr>
        <w:t>each</w:t>
      </w:r>
      <w:r w:rsidRPr="5033346C">
        <w:rPr>
          <w:spacing w:val="-3"/>
          <w:sz w:val="24"/>
          <w:szCs w:val="24"/>
        </w:rPr>
        <w:t xml:space="preserve"> </w:t>
      </w:r>
      <w:r w:rsidRPr="5033346C">
        <w:rPr>
          <w:sz w:val="24"/>
          <w:szCs w:val="24"/>
        </w:rPr>
        <w:t>entity’s</w:t>
      </w:r>
      <w:r w:rsidRPr="5033346C">
        <w:rPr>
          <w:spacing w:val="-8"/>
          <w:sz w:val="24"/>
          <w:szCs w:val="24"/>
        </w:rPr>
        <w:t xml:space="preserve"> </w:t>
      </w:r>
      <w:r w:rsidRPr="5033346C">
        <w:rPr>
          <w:sz w:val="24"/>
          <w:szCs w:val="24"/>
        </w:rPr>
        <w:t>role</w:t>
      </w:r>
      <w:r w:rsidRPr="5033346C">
        <w:rPr>
          <w:spacing w:val="-1"/>
          <w:sz w:val="24"/>
          <w:szCs w:val="24"/>
        </w:rPr>
        <w:t xml:space="preserve"> </w:t>
      </w:r>
      <w:r w:rsidRPr="5033346C">
        <w:rPr>
          <w:sz w:val="24"/>
          <w:szCs w:val="24"/>
        </w:rPr>
        <w:t>and</w:t>
      </w:r>
      <w:r w:rsidRPr="5033346C">
        <w:rPr>
          <w:spacing w:val="-4"/>
          <w:sz w:val="24"/>
          <w:szCs w:val="24"/>
        </w:rPr>
        <w:t xml:space="preserve"> </w:t>
      </w:r>
      <w:r w:rsidRPr="5033346C">
        <w:rPr>
          <w:sz w:val="24"/>
          <w:szCs w:val="24"/>
        </w:rPr>
        <w:t>responsibilities</w:t>
      </w:r>
      <w:r w:rsidRPr="5033346C">
        <w:rPr>
          <w:spacing w:val="-6"/>
          <w:sz w:val="24"/>
          <w:szCs w:val="24"/>
        </w:rPr>
        <w:t xml:space="preserve"> </w:t>
      </w:r>
      <w:r w:rsidRPr="5033346C">
        <w:rPr>
          <w:sz w:val="24"/>
          <w:szCs w:val="24"/>
        </w:rPr>
        <w:t>to clearly demonstrate ownership and endorsement that could be submitted as a CHA and CHP appendix or as separate documentation submitted to</w:t>
      </w:r>
      <w:r w:rsidRPr="5033346C">
        <w:rPr>
          <w:spacing w:val="-1"/>
          <w:sz w:val="24"/>
          <w:szCs w:val="24"/>
        </w:rPr>
        <w:t xml:space="preserve"> </w:t>
      </w:r>
      <w:r w:rsidRPr="5033346C">
        <w:rPr>
          <w:sz w:val="24"/>
          <w:szCs w:val="24"/>
        </w:rPr>
        <w:t>OHA.</w:t>
      </w:r>
    </w:p>
    <w:p w14:paraId="1AD7D8FA" w14:textId="15B8034D" w:rsidR="004D3830" w:rsidRDefault="004D3830" w:rsidP="00395A99">
      <w:pPr>
        <w:pStyle w:val="BodyText"/>
        <w:spacing w:before="0" w:after="120" w:line="252" w:lineRule="auto"/>
        <w:ind w:left="0" w:right="363"/>
      </w:pPr>
      <w:r w:rsidRPr="00001F61">
        <w:t>Shared CHAs and CHPs may also include appendices or addenda for specific collaborative CHA/CHP partners with language fulfilling that specific entity’s state or federal CHA/CHP requirements.</w:t>
      </w:r>
      <w:r>
        <w:t xml:space="preserve"> </w:t>
      </w:r>
    </w:p>
    <w:p w14:paraId="1540EF80" w14:textId="118A81EA" w:rsidR="00885D7B" w:rsidRDefault="32BE186D" w:rsidP="00395A99">
      <w:pPr>
        <w:pStyle w:val="BodyText"/>
        <w:spacing w:before="0" w:after="120" w:line="252" w:lineRule="auto"/>
        <w:ind w:left="0" w:right="16"/>
      </w:pPr>
      <w:r>
        <w:t xml:space="preserve">While the shared CHA and CHP </w:t>
      </w:r>
      <w:r w:rsidR="00904628">
        <w:t>are</w:t>
      </w:r>
      <w:r>
        <w:t xml:space="preserve"> required, CCOs will not be penalized if the</w:t>
      </w:r>
      <w:r w:rsidR="002F572A">
        <w:t xml:space="preserve"> shared</w:t>
      </w:r>
      <w:r>
        <w:t xml:space="preserve"> service area’s LPHA or hospital in unable to fully partner </w:t>
      </w:r>
      <w:r w:rsidR="007C2A02">
        <w:t xml:space="preserve">in </w:t>
      </w:r>
      <w:r>
        <w:t>developing</w:t>
      </w:r>
      <w:r w:rsidR="00904628">
        <w:t xml:space="preserve"> a</w:t>
      </w:r>
      <w:r>
        <w:t xml:space="preserve"> shared CHA</w:t>
      </w:r>
      <w:r w:rsidR="002D715C">
        <w:t xml:space="preserve"> and </w:t>
      </w:r>
      <w:r>
        <w:t>CHP document. In this situation, the CCO</w:t>
      </w:r>
      <w:r w:rsidR="4EA4B54D">
        <w:t xml:space="preserve"> must demonstrate </w:t>
      </w:r>
      <w:r w:rsidR="00885D7B">
        <w:t>the following for the CHA</w:t>
      </w:r>
      <w:r w:rsidR="00006DF4">
        <w:t xml:space="preserve"> and/or</w:t>
      </w:r>
      <w:r w:rsidR="00885D7B">
        <w:t xml:space="preserve"> CHP:</w:t>
      </w:r>
    </w:p>
    <w:p w14:paraId="6E31F032" w14:textId="7B37F3D1" w:rsidR="00885D7B" w:rsidRDefault="00885D7B" w:rsidP="00395A99">
      <w:pPr>
        <w:pStyle w:val="BodyText"/>
        <w:numPr>
          <w:ilvl w:val="0"/>
          <w:numId w:val="10"/>
        </w:numPr>
        <w:spacing w:before="0" w:after="120" w:line="252" w:lineRule="auto"/>
        <w:ind w:left="720" w:right="16"/>
      </w:pPr>
      <w:r w:rsidRPr="00885D7B">
        <w:t xml:space="preserve">The CHA must demonstrate review of shared and published data from other entities’ CHAs, if the entities have completed CHAs in the prior two years. The CCO should also </w:t>
      </w:r>
      <w:r>
        <w:t>demonstrate</w:t>
      </w:r>
      <w:r w:rsidRPr="00885D7B">
        <w:t xml:space="preserve"> efforts towards a share</w:t>
      </w:r>
      <w:r>
        <w:t>d</w:t>
      </w:r>
      <w:r w:rsidRPr="00885D7B">
        <w:t xml:space="preserve"> CHA</w:t>
      </w:r>
      <w:r>
        <w:t xml:space="preserve"> and</w:t>
      </w:r>
      <w:r w:rsidRPr="00885D7B">
        <w:t xml:space="preserve"> data sharing</w:t>
      </w:r>
      <w:r w:rsidR="004E19F8">
        <w:t>;</w:t>
      </w:r>
      <w:r w:rsidRPr="00885D7B">
        <w:t xml:space="preserve"> and</w:t>
      </w:r>
      <w:r>
        <w:t xml:space="preserve"> describe</w:t>
      </w:r>
      <w:r w:rsidRPr="00885D7B">
        <w:t xml:space="preserve"> why the entity is not partnering.</w:t>
      </w:r>
    </w:p>
    <w:p w14:paraId="2A73A959" w14:textId="77777777" w:rsidR="004E19F8" w:rsidRDefault="00885D7B" w:rsidP="004E19F8">
      <w:pPr>
        <w:pStyle w:val="BodyText"/>
        <w:numPr>
          <w:ilvl w:val="0"/>
          <w:numId w:val="10"/>
        </w:numPr>
        <w:spacing w:before="0" w:after="120" w:line="252" w:lineRule="auto"/>
        <w:ind w:left="720" w:right="16"/>
      </w:pPr>
      <w:r w:rsidRPr="00885D7B">
        <w:t>The CHP must demonstrate aligned CHP priorities and strategies with required entities' CHP</w:t>
      </w:r>
      <w:r w:rsidR="00006DF4">
        <w:t>s</w:t>
      </w:r>
      <w:r w:rsidRPr="00885D7B">
        <w:t>, if the entities have completed CHP</w:t>
      </w:r>
      <w:r w:rsidR="00006DF4">
        <w:t>s</w:t>
      </w:r>
      <w:r w:rsidRPr="00885D7B">
        <w:t xml:space="preserve"> in the prior two years. The CCO should </w:t>
      </w:r>
      <w:r>
        <w:t>demonstrate</w:t>
      </w:r>
      <w:r w:rsidRPr="00885D7B">
        <w:t xml:space="preserve"> efforts towards a share</w:t>
      </w:r>
      <w:r w:rsidR="00006DF4">
        <w:t>d</w:t>
      </w:r>
      <w:r w:rsidRPr="00885D7B">
        <w:t xml:space="preserve"> CHP and </w:t>
      </w:r>
      <w:r>
        <w:t xml:space="preserve">describe </w:t>
      </w:r>
      <w:r w:rsidRPr="00885D7B">
        <w:t>why the entity is not partnering.</w:t>
      </w:r>
    </w:p>
    <w:p w14:paraId="65ABAC1C" w14:textId="23350E39" w:rsidR="004D3830" w:rsidRDefault="004E19F8" w:rsidP="004E19F8">
      <w:pPr>
        <w:pStyle w:val="BodyText"/>
        <w:numPr>
          <w:ilvl w:val="0"/>
          <w:numId w:val="10"/>
        </w:numPr>
        <w:spacing w:before="0" w:after="120" w:line="252" w:lineRule="auto"/>
        <w:ind w:left="720" w:right="16"/>
      </w:pPr>
      <w:r>
        <w:t>H</w:t>
      </w:r>
      <w:bookmarkStart w:id="0" w:name="_GoBack"/>
      <w:bookmarkEnd w:id="0"/>
      <w:r w:rsidR="4EA4B54D">
        <w:t>ow their CHP priorities and strategies align with</w:t>
      </w:r>
      <w:r w:rsidR="003E7099">
        <w:t xml:space="preserve"> </w:t>
      </w:r>
      <w:r w:rsidR="75A246FB">
        <w:t>the CHP of the entity or entities that could not fully partner</w:t>
      </w:r>
      <w:r w:rsidR="1EAAAA2E">
        <w:t>. The CCO does not have to demonstrate shared priorit</w:t>
      </w:r>
      <w:r w:rsidR="456A1DA8">
        <w:t>ies and stra</w:t>
      </w:r>
      <w:r w:rsidR="003E7099">
        <w:t>te</w:t>
      </w:r>
      <w:r w:rsidR="456A1DA8">
        <w:t xml:space="preserve">gies with </w:t>
      </w:r>
      <w:r w:rsidR="00686B39">
        <w:t>Tribe(s)</w:t>
      </w:r>
      <w:r w:rsidR="456A1DA8">
        <w:t xml:space="preserve">, if </w:t>
      </w:r>
      <w:r w:rsidR="003E7099">
        <w:t>the Tribe</w:t>
      </w:r>
      <w:r w:rsidR="00686B39">
        <w:t>(s)</w:t>
      </w:r>
      <w:r w:rsidR="003E7099">
        <w:t xml:space="preserve"> </w:t>
      </w:r>
      <w:r w:rsidR="605903BE">
        <w:t>ha</w:t>
      </w:r>
      <w:r w:rsidR="00686B39">
        <w:t>ve</w:t>
      </w:r>
      <w:r w:rsidR="605903BE">
        <w:t xml:space="preserve"> not completed </w:t>
      </w:r>
      <w:r w:rsidR="00686B39">
        <w:t>their</w:t>
      </w:r>
      <w:r w:rsidR="605903BE">
        <w:t xml:space="preserve"> own CHA/CHP and </w:t>
      </w:r>
      <w:r w:rsidR="003E7099">
        <w:t>has declined to complete a shared CHA/CHP</w:t>
      </w:r>
      <w:r w:rsidR="2C024536">
        <w:t xml:space="preserve"> with the CCO</w:t>
      </w:r>
      <w:r w:rsidR="4EA4B54D">
        <w:t xml:space="preserve">. </w:t>
      </w:r>
      <w:r w:rsidR="32BE186D">
        <w:t xml:space="preserve"> </w:t>
      </w:r>
    </w:p>
    <w:p w14:paraId="05F69E58" w14:textId="77777777" w:rsidR="004D3830" w:rsidRDefault="004D3830" w:rsidP="00395A99">
      <w:pPr>
        <w:pStyle w:val="Heading1"/>
        <w:spacing w:before="0" w:after="120" w:line="252" w:lineRule="auto"/>
        <w:ind w:left="0"/>
      </w:pPr>
      <w:r>
        <w:rPr>
          <w:color w:val="2E5395"/>
        </w:rPr>
        <w:t>Timelines for completing shared CHAs and CHPs</w:t>
      </w:r>
    </w:p>
    <w:p w14:paraId="00147CB5" w14:textId="2AD70DD2" w:rsidR="004D3830" w:rsidRDefault="32BE186D" w:rsidP="00395A99">
      <w:pPr>
        <w:pStyle w:val="BodyText"/>
        <w:spacing w:before="0" w:after="120" w:line="252" w:lineRule="auto"/>
        <w:ind w:left="0" w:right="156"/>
      </w:pPr>
      <w:r>
        <w:t>By rule and contract, CCOs are required to complete a new CHA and CHP at least every five years. However, nonprofit hospitals are required to complete a community health needs assessment (CHNA) every three years and adopt an implementation strategy to meet the needs identified</w:t>
      </w:r>
      <w:r w:rsidR="7C22F580">
        <w:t xml:space="preserve"> in the CHNA</w:t>
      </w:r>
      <w:r>
        <w:t xml:space="preserve"> (per the Affordable Care Act). Whether CCOs adopt </w:t>
      </w:r>
      <w:r w:rsidR="69D202B8">
        <w:t>the</w:t>
      </w:r>
      <w:r>
        <w:t xml:space="preserve"> hospital 3-year timeline or stay on </w:t>
      </w:r>
      <w:r w:rsidR="69D202B8">
        <w:t>the CCO and LPHA</w:t>
      </w:r>
      <w:r>
        <w:t xml:space="preserve"> 5-year year timeline, approaches to collaboration</w:t>
      </w:r>
      <w:r w:rsidR="234055E1">
        <w:t xml:space="preserve"> for a shared CHA/CHP</w:t>
      </w:r>
      <w:r>
        <w:t xml:space="preserve"> may include:</w:t>
      </w:r>
    </w:p>
    <w:p w14:paraId="28DCA943" w14:textId="08998F57" w:rsidR="004D3830" w:rsidRDefault="32BE186D" w:rsidP="00395A99">
      <w:pPr>
        <w:pStyle w:val="BodyText"/>
        <w:numPr>
          <w:ilvl w:val="0"/>
          <w:numId w:val="8"/>
        </w:numPr>
        <w:spacing w:before="0" w:after="120" w:line="252" w:lineRule="auto"/>
        <w:ind w:left="680" w:right="156"/>
      </w:pPr>
      <w:r>
        <w:t xml:space="preserve">sharing data; </w:t>
      </w:r>
    </w:p>
    <w:p w14:paraId="4C43571E" w14:textId="061CBEEC" w:rsidR="004D3830" w:rsidRDefault="32BE186D" w:rsidP="00395A99">
      <w:pPr>
        <w:pStyle w:val="BodyText"/>
        <w:numPr>
          <w:ilvl w:val="0"/>
          <w:numId w:val="8"/>
        </w:numPr>
        <w:spacing w:before="0" w:after="120" w:line="252" w:lineRule="auto"/>
        <w:ind w:left="680" w:right="156"/>
      </w:pPr>
      <w:r>
        <w:lastRenderedPageBreak/>
        <w:t xml:space="preserve">aligning CHP priorities and implementation strategies; </w:t>
      </w:r>
    </w:p>
    <w:p w14:paraId="4C46AC0C" w14:textId="35E06FF7" w:rsidR="004D3830" w:rsidRDefault="32BE186D" w:rsidP="00395A99">
      <w:pPr>
        <w:pStyle w:val="BodyText"/>
        <w:numPr>
          <w:ilvl w:val="0"/>
          <w:numId w:val="8"/>
        </w:numPr>
        <w:spacing w:before="0" w:after="120" w:line="252" w:lineRule="auto"/>
        <w:ind w:left="680" w:right="156"/>
      </w:pPr>
      <w:r>
        <w:t xml:space="preserve">ensuring CHA/CHP decision-making bodies include representation from </w:t>
      </w:r>
      <w:r w:rsidR="005A3CFB">
        <w:t>all</w:t>
      </w:r>
      <w:r>
        <w:t xml:space="preserve"> entities; and/or </w:t>
      </w:r>
    </w:p>
    <w:p w14:paraId="04B670D7" w14:textId="3036B1E7" w:rsidR="004D3830" w:rsidRDefault="33781044" w:rsidP="00395A99">
      <w:pPr>
        <w:pStyle w:val="BodyText"/>
        <w:numPr>
          <w:ilvl w:val="0"/>
          <w:numId w:val="8"/>
        </w:numPr>
        <w:spacing w:before="0" w:after="120" w:line="252" w:lineRule="auto"/>
        <w:ind w:left="680" w:right="156"/>
      </w:pPr>
      <w:r>
        <w:t>developing</w:t>
      </w:r>
      <w:r w:rsidR="32BE186D">
        <w:t xml:space="preserve"> a Memorandum of Understanding or Agreement outlining each entity’s responsibilities. </w:t>
      </w:r>
    </w:p>
    <w:p w14:paraId="61254639" w14:textId="5ED00E31" w:rsidR="004D3830" w:rsidRDefault="00901545" w:rsidP="00395A99">
      <w:pPr>
        <w:pStyle w:val="BodyText"/>
        <w:spacing w:before="0" w:after="120" w:line="252" w:lineRule="auto"/>
        <w:ind w:left="0" w:right="156"/>
      </w:pPr>
      <w:r>
        <w:t xml:space="preserve">Where a shared CHA/CHP is not already </w:t>
      </w:r>
      <w:r w:rsidR="007A01EC">
        <w:t>developed or in development, the</w:t>
      </w:r>
      <w:r>
        <w:t xml:space="preserve"> </w:t>
      </w:r>
      <w:r w:rsidR="00B03AE1">
        <w:t xml:space="preserve">collaborative CHA/CHP partners </w:t>
      </w:r>
      <w:r w:rsidR="004D3830">
        <w:t>should convene as</w:t>
      </w:r>
      <w:r w:rsidR="007A01EC">
        <w:t xml:space="preserve"> early as they can</w:t>
      </w:r>
      <w:r w:rsidR="004D3830" w:rsidDel="007A01EC">
        <w:t xml:space="preserve"> </w:t>
      </w:r>
      <w:r w:rsidR="004D3830">
        <w:t xml:space="preserve">to discuss how to meet </w:t>
      </w:r>
      <w:r w:rsidR="00ED245D">
        <w:t xml:space="preserve">each entity’s </w:t>
      </w:r>
      <w:r w:rsidR="004D3830">
        <w:t xml:space="preserve">timeline and other </w:t>
      </w:r>
      <w:r w:rsidR="00ED245D">
        <w:t xml:space="preserve">regulatory </w:t>
      </w:r>
      <w:r w:rsidR="004D3830">
        <w:t>requirements.</w:t>
      </w:r>
    </w:p>
    <w:p w14:paraId="1AFA262E" w14:textId="052A6099" w:rsidR="00E722F6" w:rsidRDefault="00E722F6" w:rsidP="00395A99">
      <w:pPr>
        <w:pStyle w:val="Heading1"/>
        <w:spacing w:before="0" w:after="120" w:line="252" w:lineRule="auto"/>
        <w:ind w:left="0"/>
      </w:pPr>
      <w:r>
        <w:rPr>
          <w:color w:val="2E5395"/>
        </w:rPr>
        <w:t>Small, partial-county CCO shared service areas</w:t>
      </w:r>
    </w:p>
    <w:p w14:paraId="3B0FA604" w14:textId="477BB0A0" w:rsidR="006D039A" w:rsidRDefault="00E722F6" w:rsidP="00395A99">
      <w:pPr>
        <w:pStyle w:val="BodyText"/>
        <w:spacing w:before="0" w:after="120" w:line="252" w:lineRule="auto"/>
        <w:ind w:left="0" w:right="125"/>
      </w:pPr>
      <w:r>
        <w:t xml:space="preserve">While some CCOs may have shared service areas that encompass most of a county, others may have shared service areas that only encompass a small portion of a county. In the latter scenario, it </w:t>
      </w:r>
      <w:r w:rsidR="005D6544">
        <w:t xml:space="preserve">may </w:t>
      </w:r>
      <w:r>
        <w:t>not</w:t>
      </w:r>
      <w:r w:rsidR="005D6544">
        <w:t xml:space="preserve"> be</w:t>
      </w:r>
      <w:r>
        <w:t xml:space="preserve"> an effective use of resources for each CCO to have a fully shared CHA/CHP. </w:t>
      </w:r>
      <w:r w:rsidR="005D6544">
        <w:t>For example, if CCO A’s service area encompasses County X and a few zip codes in County Y, but CCO B’s service area covers all of County Y, then CCO A should engage with CCO B in County Y’s CHA/CHP</w:t>
      </w:r>
      <w:r w:rsidR="00491870">
        <w:t xml:space="preserve"> instead of completing</w:t>
      </w:r>
      <w:r w:rsidR="005D6544">
        <w:t xml:space="preserve"> a </w:t>
      </w:r>
      <w:r w:rsidR="00F45E40">
        <w:t>second</w:t>
      </w:r>
      <w:r w:rsidR="005D6544">
        <w:t xml:space="preserve"> fully shared CHA/CHP. In other words: </w:t>
      </w:r>
    </w:p>
    <w:p w14:paraId="6972D702" w14:textId="6EBD4E15" w:rsidR="006D039A" w:rsidRDefault="005D6544" w:rsidP="00395A99">
      <w:pPr>
        <w:pStyle w:val="BodyText"/>
        <w:numPr>
          <w:ilvl w:val="0"/>
          <w:numId w:val="7"/>
        </w:numPr>
        <w:spacing w:before="0" w:line="252" w:lineRule="auto"/>
        <w:ind w:left="500" w:right="125"/>
        <w:rPr>
          <w:rFonts w:asciiTheme="minorHAnsi" w:eastAsiaTheme="minorEastAsia" w:hAnsiTheme="minorHAnsi" w:cstheme="minorBidi"/>
        </w:rPr>
      </w:pPr>
      <w:r>
        <w:t>CCO A, whose service area covers all of County X but only a small portion of County Y, would not be required to have one fully shared CHA/CHP that reflects all of Counties X and Y</w:t>
      </w:r>
      <w:r w:rsidR="00ED6272">
        <w:t>;</w:t>
      </w:r>
      <w:r w:rsidR="0032447D">
        <w:t xml:space="preserve"> and</w:t>
      </w:r>
      <w:r>
        <w:t xml:space="preserve"> </w:t>
      </w:r>
    </w:p>
    <w:p w14:paraId="5AD4DE69" w14:textId="3959733D" w:rsidR="00DA6447" w:rsidRDefault="005D6544" w:rsidP="00395A99">
      <w:pPr>
        <w:pStyle w:val="BodyText"/>
        <w:numPr>
          <w:ilvl w:val="0"/>
          <w:numId w:val="7"/>
        </w:numPr>
        <w:spacing w:before="0" w:line="252" w:lineRule="auto"/>
        <w:ind w:left="500" w:right="125"/>
      </w:pPr>
      <w:r>
        <w:t>CCO A</w:t>
      </w:r>
      <w:r w:rsidR="00671F13">
        <w:t xml:space="preserve"> </w:t>
      </w:r>
      <w:r w:rsidR="0021701B">
        <w:t>would</w:t>
      </w:r>
      <w:r>
        <w:t xml:space="preserve"> have a fully shared CHA/CHP for County X and demonstrate meaningful engagement with CCO B (and partners) in the CHA/CHP process for County Y.</w:t>
      </w:r>
      <w:r w:rsidR="006D039A">
        <w:t xml:space="preserve"> </w:t>
      </w:r>
    </w:p>
    <w:p w14:paraId="3FC189AC" w14:textId="3F2930A3" w:rsidR="5033346C" w:rsidRDefault="5033346C" w:rsidP="00395A99">
      <w:pPr>
        <w:pStyle w:val="BodyText"/>
        <w:spacing w:before="0" w:line="252" w:lineRule="auto"/>
        <w:ind w:left="0" w:right="125"/>
      </w:pPr>
    </w:p>
    <w:p w14:paraId="0A3CB6AC" w14:textId="113A0132" w:rsidR="005D6544" w:rsidRDefault="006D039A" w:rsidP="00395A99">
      <w:pPr>
        <w:pStyle w:val="BodyText"/>
        <w:spacing w:before="0" w:after="120" w:line="252" w:lineRule="auto"/>
        <w:ind w:left="0" w:right="125"/>
      </w:pPr>
      <w:r>
        <w:t xml:space="preserve">If CCO A chooses, they may </w:t>
      </w:r>
      <w:r w:rsidR="00477124">
        <w:t>instead</w:t>
      </w:r>
      <w:r>
        <w:t xml:space="preserve"> reflect the small portion of County Y within their fully shared CHA/CHP for County X, but OHA is not requiring this and allows the CCO to work with its collaborative CHA/CHP partners and the </w:t>
      </w:r>
      <w:r w:rsidR="00D80B68">
        <w:t xml:space="preserve">community </w:t>
      </w:r>
      <w:r>
        <w:t>to decide</w:t>
      </w:r>
      <w:r w:rsidR="00D80B68">
        <w:t xml:space="preserve"> what is best</w:t>
      </w:r>
      <w:r>
        <w:t xml:space="preserve">. </w:t>
      </w:r>
      <w:r w:rsidR="00E722F6">
        <w:t xml:space="preserve"> </w:t>
      </w:r>
    </w:p>
    <w:p w14:paraId="7398FCF5" w14:textId="77777777" w:rsidR="00281D86" w:rsidRDefault="00996CC5" w:rsidP="00395A99">
      <w:pPr>
        <w:pStyle w:val="BodyText"/>
        <w:spacing w:before="0" w:after="120" w:line="252" w:lineRule="auto"/>
        <w:ind w:left="0" w:right="125"/>
      </w:pPr>
      <w:r>
        <w:t>Regardless of which approach the CCO takes, the CCO is expected to reflect CHP progress for all service areas through CHP annual progress reports</w:t>
      </w:r>
      <w:r w:rsidR="00CE161B">
        <w:t xml:space="preserve"> for each CHP the CCO fully shares or has engaged in with </w:t>
      </w:r>
      <w:r w:rsidR="00CD0CE5">
        <w:t>another CCO</w:t>
      </w:r>
      <w:r>
        <w:t>.</w:t>
      </w:r>
      <w:r w:rsidR="007E1990">
        <w:t xml:space="preserve"> </w:t>
      </w:r>
    </w:p>
    <w:p w14:paraId="6BF7E0CA" w14:textId="35056E52" w:rsidR="008831A4" w:rsidRDefault="004163E2" w:rsidP="00395A99">
      <w:pPr>
        <w:pStyle w:val="BodyText"/>
        <w:spacing w:before="0" w:after="120" w:line="252" w:lineRule="auto"/>
        <w:ind w:left="0" w:right="125"/>
      </w:pPr>
      <w:r>
        <w:t xml:space="preserve">CCOs with </w:t>
      </w:r>
      <w:r w:rsidR="00196EA5">
        <w:t xml:space="preserve">service areas that cover a small portion of a </w:t>
      </w:r>
      <w:r w:rsidR="00D552E6">
        <w:t>county (or counties)</w:t>
      </w:r>
      <w:r w:rsidR="007E1990">
        <w:t xml:space="preserve"> are encouraged to reach out to the OHA Transformation Center for further guidance.</w:t>
      </w:r>
    </w:p>
    <w:p w14:paraId="11C4BF44" w14:textId="77777777" w:rsidR="00E722F6" w:rsidRDefault="00E722F6" w:rsidP="00395A99">
      <w:pPr>
        <w:pStyle w:val="Heading1"/>
        <w:spacing w:before="0" w:after="120" w:line="252" w:lineRule="auto"/>
        <w:ind w:left="0"/>
      </w:pPr>
      <w:r>
        <w:rPr>
          <w:color w:val="2E5395"/>
        </w:rPr>
        <w:t>Best practices for how to develop a shared CHA/CHP</w:t>
      </w:r>
    </w:p>
    <w:p w14:paraId="2938D87F" w14:textId="7E343762" w:rsidR="00333EA2" w:rsidRPr="00333EA2" w:rsidRDefault="00E722F6" w:rsidP="00395A99">
      <w:pPr>
        <w:spacing w:after="120" w:line="252" w:lineRule="auto"/>
      </w:pPr>
      <w:r w:rsidRPr="7CB42A23">
        <w:rPr>
          <w:sz w:val="24"/>
          <w:szCs w:val="24"/>
        </w:rPr>
        <w:t xml:space="preserve">The OHA Transformation Center has many CHA/CHP development best practice resources available on its website: </w:t>
      </w:r>
      <w:hyperlink r:id="rId11">
        <w:r w:rsidRPr="7CB42A23">
          <w:rPr>
            <w:color w:val="0462C1"/>
            <w:sz w:val="24"/>
            <w:szCs w:val="24"/>
            <w:u w:val="single"/>
          </w:rPr>
          <w:t>www.oregon.gov/oha/HPA/dsi-tc/Pages/chachp-technical-assistance.aspx</w:t>
        </w:r>
      </w:hyperlink>
      <w:r w:rsidRPr="7CB42A23">
        <w:rPr>
          <w:sz w:val="24"/>
          <w:szCs w:val="24"/>
        </w:rPr>
        <w:t xml:space="preserve">. </w:t>
      </w:r>
      <w:r w:rsidR="009373C3" w:rsidRPr="7CB42A23">
        <w:rPr>
          <w:sz w:val="24"/>
          <w:szCs w:val="24"/>
        </w:rPr>
        <w:t xml:space="preserve">These resources include recorded webinars, </w:t>
      </w:r>
      <w:r w:rsidR="000D35CF" w:rsidRPr="7CB42A23">
        <w:rPr>
          <w:sz w:val="24"/>
          <w:szCs w:val="24"/>
        </w:rPr>
        <w:t>training materials and information about an upcoming CHA/CHP learning collaborative for CCOs and their CHA/CHP partners</w:t>
      </w:r>
      <w:r w:rsidR="00333EA2" w:rsidRPr="7CB42A23">
        <w:rPr>
          <w:sz w:val="24"/>
          <w:szCs w:val="24"/>
        </w:rPr>
        <w:t>.</w:t>
      </w:r>
    </w:p>
    <w:sectPr w:rsidR="00333EA2" w:rsidRPr="00333EA2" w:rsidSect="00395A99">
      <w:headerReference w:type="default" r:id="rId12"/>
      <w:footerReference w:type="default" r:id="rId13"/>
      <w:pgSz w:w="12240" w:h="15840"/>
      <w:pgMar w:top="720" w:right="720" w:bottom="720" w:left="720" w:header="776" w:footer="96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DC626" w14:textId="77777777" w:rsidR="002A307C" w:rsidRDefault="002A307C">
      <w:r>
        <w:separator/>
      </w:r>
    </w:p>
  </w:endnote>
  <w:endnote w:type="continuationSeparator" w:id="0">
    <w:p w14:paraId="05FDF9F3" w14:textId="77777777" w:rsidR="002A307C" w:rsidRDefault="002A307C">
      <w:r>
        <w:continuationSeparator/>
      </w:r>
    </w:p>
  </w:endnote>
  <w:endnote w:type="continuationNotice" w:id="1">
    <w:p w14:paraId="41CC3073" w14:textId="77777777" w:rsidR="002A307C" w:rsidRDefault="002A3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3758B" w14:textId="38D2261D" w:rsidR="00F44A92" w:rsidRPr="00F44A92" w:rsidRDefault="00F44A92" w:rsidP="00395A99">
    <w:pPr>
      <w:spacing w:line="222" w:lineRule="exact"/>
      <w:rPr>
        <w:sz w:val="20"/>
        <w:szCs w:val="20"/>
      </w:rPr>
    </w:pPr>
    <w:r w:rsidRPr="00F44A92">
      <w:rPr>
        <w:noProof/>
        <w:sz w:val="20"/>
        <w:szCs w:val="20"/>
      </w:rPr>
      <w:drawing>
        <wp:anchor distT="0" distB="0" distL="0" distR="0" simplePos="0" relativeHeight="251658240" behindDoc="1" locked="0" layoutInCell="1" allowOverlap="1" wp14:anchorId="0CFD22E1" wp14:editId="4BFED95B">
          <wp:simplePos x="0" y="0"/>
          <wp:positionH relativeFrom="page">
            <wp:posOffset>6095365</wp:posOffset>
          </wp:positionH>
          <wp:positionV relativeFrom="page">
            <wp:posOffset>9140190</wp:posOffset>
          </wp:positionV>
          <wp:extent cx="1219835" cy="4572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19835" cy="457200"/>
                  </a:xfrm>
                  <a:prstGeom prst="rect">
                    <a:avLst/>
                  </a:prstGeom>
                </pic:spPr>
              </pic:pic>
            </a:graphicData>
          </a:graphic>
        </wp:anchor>
      </w:drawing>
    </w:r>
    <w:r w:rsidRPr="00F44A92">
      <w:rPr>
        <w:sz w:val="20"/>
        <w:szCs w:val="20"/>
      </w:rPr>
      <w:t xml:space="preserve">Page </w:t>
    </w:r>
    <w:r w:rsidRPr="00F44A92">
      <w:rPr>
        <w:sz w:val="20"/>
        <w:szCs w:val="20"/>
      </w:rPr>
      <w:fldChar w:fldCharType="begin"/>
    </w:r>
    <w:r w:rsidRPr="00F44A92">
      <w:rPr>
        <w:sz w:val="20"/>
        <w:szCs w:val="20"/>
      </w:rPr>
      <w:instrText xml:space="preserve"> PAGE </w:instrText>
    </w:r>
    <w:r w:rsidRPr="00F44A92">
      <w:rPr>
        <w:sz w:val="20"/>
        <w:szCs w:val="20"/>
      </w:rPr>
      <w:fldChar w:fldCharType="separate"/>
    </w:r>
    <w:r w:rsidRPr="00F44A92">
      <w:rPr>
        <w:sz w:val="20"/>
        <w:szCs w:val="20"/>
      </w:rPr>
      <w:t>2</w:t>
    </w:r>
    <w:r w:rsidRPr="00F44A92">
      <w:rPr>
        <w:sz w:val="20"/>
        <w:szCs w:val="20"/>
      </w:rPr>
      <w:fldChar w:fldCharType="end"/>
    </w:r>
    <w:r w:rsidRPr="00F44A92">
      <w:rPr>
        <w:sz w:val="20"/>
        <w:szCs w:val="20"/>
      </w:rPr>
      <w:t xml:space="preserve"> of</w:t>
    </w:r>
    <w:r>
      <w:rPr>
        <w:sz w:val="20"/>
        <w:szCs w:val="20"/>
      </w:rPr>
      <w:t xml:space="preserve"> </w:t>
    </w:r>
    <w:r>
      <w:rPr>
        <w:sz w:val="20"/>
        <w:szCs w:val="20"/>
      </w:rPr>
      <w:fldChar w:fldCharType="begin"/>
    </w:r>
    <w:r>
      <w:rPr>
        <w:sz w:val="20"/>
        <w:szCs w:val="20"/>
      </w:rPr>
      <w:instrText xml:space="preserve"> NUMPAGES   \* MERGEFORMAT </w:instrText>
    </w:r>
    <w:r>
      <w:rPr>
        <w:sz w:val="20"/>
        <w:szCs w:val="20"/>
      </w:rPr>
      <w:fldChar w:fldCharType="separate"/>
    </w:r>
    <w:r>
      <w:rPr>
        <w:noProof/>
        <w:sz w:val="20"/>
        <w:szCs w:val="20"/>
      </w:rPr>
      <w:t>2</w:t>
    </w:r>
    <w:r>
      <w:rPr>
        <w:sz w:val="20"/>
        <w:szCs w:val="20"/>
      </w:rPr>
      <w:fldChar w:fldCharType="end"/>
    </w:r>
  </w:p>
  <w:p w14:paraId="0CFD22DF" w14:textId="0CB91999" w:rsidR="00FC6889" w:rsidRPr="00F44A92" w:rsidRDefault="00F44A92" w:rsidP="00395A99">
    <w:pPr>
      <w:spacing w:line="243" w:lineRule="exact"/>
      <w:rPr>
        <w:sz w:val="20"/>
        <w:szCs w:val="20"/>
      </w:rPr>
    </w:pPr>
    <w:r w:rsidRPr="00F44A92">
      <w:rPr>
        <w:sz w:val="20"/>
        <w:szCs w:val="20"/>
      </w:rPr>
      <w:t xml:space="preserve">Updated </w:t>
    </w:r>
    <w:r>
      <w:rPr>
        <w:sz w:val="20"/>
        <w:szCs w:val="20"/>
      </w:rPr>
      <w:fldChar w:fldCharType="begin"/>
    </w:r>
    <w:r>
      <w:rPr>
        <w:sz w:val="20"/>
        <w:szCs w:val="20"/>
      </w:rPr>
      <w:instrText xml:space="preserve"> DATE   \* MERGEFORMAT </w:instrText>
    </w:r>
    <w:r>
      <w:rPr>
        <w:sz w:val="20"/>
        <w:szCs w:val="20"/>
      </w:rPr>
      <w:fldChar w:fldCharType="separate"/>
    </w:r>
    <w:r w:rsidR="004E19F8">
      <w:rPr>
        <w:noProof/>
        <w:sz w:val="20"/>
        <w:szCs w:val="20"/>
      </w:rPr>
      <w:t>3/25/2022</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47659" w14:textId="77777777" w:rsidR="002A307C" w:rsidRDefault="002A307C">
      <w:r>
        <w:separator/>
      </w:r>
    </w:p>
  </w:footnote>
  <w:footnote w:type="continuationSeparator" w:id="0">
    <w:p w14:paraId="0BB962C4" w14:textId="77777777" w:rsidR="002A307C" w:rsidRDefault="002A307C">
      <w:r>
        <w:continuationSeparator/>
      </w:r>
    </w:p>
  </w:footnote>
  <w:footnote w:type="continuationNotice" w:id="1">
    <w:p w14:paraId="68A179C5" w14:textId="77777777" w:rsidR="002A307C" w:rsidRDefault="002A30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D22DE" w14:textId="15A154F2" w:rsidR="00FC6889" w:rsidRPr="00761791" w:rsidRDefault="00F44A92" w:rsidP="00395A99">
    <w:pPr>
      <w:spacing w:after="120" w:line="306" w:lineRule="exact"/>
      <w:rPr>
        <w:rFonts w:ascii="Calibri Light"/>
        <w:sz w:val="30"/>
        <w:szCs w:val="30"/>
      </w:rPr>
    </w:pPr>
    <w:r w:rsidRPr="00761791">
      <w:rPr>
        <w:rFonts w:ascii="Calibri Light"/>
        <w:color w:val="2E5395"/>
        <w:sz w:val="30"/>
        <w:szCs w:val="30"/>
      </w:rPr>
      <w:t xml:space="preserve">CCO </w:t>
    </w:r>
    <w:r w:rsidRPr="00761791">
      <w:rPr>
        <w:rFonts w:ascii="Calibri Light"/>
        <w:color w:val="2E5395"/>
        <w:spacing w:val="-3"/>
        <w:sz w:val="30"/>
        <w:szCs w:val="30"/>
      </w:rPr>
      <w:t xml:space="preserve">Guidance: </w:t>
    </w:r>
    <w:r w:rsidRPr="00761791">
      <w:rPr>
        <w:rFonts w:ascii="Calibri Light"/>
        <w:color w:val="2E5395"/>
        <w:sz w:val="30"/>
        <w:szCs w:val="30"/>
      </w:rPr>
      <w:t>Community Health Assessments &amp; Community Health Improvement Plans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D70DB"/>
    <w:multiLevelType w:val="hybridMultilevel"/>
    <w:tmpl w:val="8DA45E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8F7E5B"/>
    <w:multiLevelType w:val="hybridMultilevel"/>
    <w:tmpl w:val="B00C6CE0"/>
    <w:lvl w:ilvl="0" w:tplc="D2627BE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219C055C"/>
    <w:multiLevelType w:val="hybridMultilevel"/>
    <w:tmpl w:val="71EA82FE"/>
    <w:lvl w:ilvl="0" w:tplc="E794A2BC">
      <w:start w:val="1"/>
      <w:numFmt w:val="decimal"/>
      <w:lvlText w:val="%1."/>
      <w:lvlJc w:val="left"/>
      <w:pPr>
        <w:ind w:left="940" w:hanging="361"/>
      </w:pPr>
      <w:rPr>
        <w:rFonts w:ascii="Calibri" w:eastAsia="Calibri" w:hAnsi="Calibri" w:cs="Calibri" w:hint="default"/>
        <w:w w:val="100"/>
        <w:sz w:val="24"/>
        <w:szCs w:val="24"/>
        <w:lang w:val="en-US" w:eastAsia="en-US" w:bidi="ar-SA"/>
      </w:rPr>
    </w:lvl>
    <w:lvl w:ilvl="1" w:tplc="ABDED6CC">
      <w:numFmt w:val="bullet"/>
      <w:lvlText w:val="•"/>
      <w:lvlJc w:val="left"/>
      <w:pPr>
        <w:ind w:left="1958" w:hanging="361"/>
      </w:pPr>
      <w:rPr>
        <w:rFonts w:hint="default"/>
        <w:lang w:val="en-US" w:eastAsia="en-US" w:bidi="ar-SA"/>
      </w:rPr>
    </w:lvl>
    <w:lvl w:ilvl="2" w:tplc="F862702A">
      <w:numFmt w:val="bullet"/>
      <w:lvlText w:val="•"/>
      <w:lvlJc w:val="left"/>
      <w:pPr>
        <w:ind w:left="2976" w:hanging="361"/>
      </w:pPr>
      <w:rPr>
        <w:rFonts w:hint="default"/>
        <w:lang w:val="en-US" w:eastAsia="en-US" w:bidi="ar-SA"/>
      </w:rPr>
    </w:lvl>
    <w:lvl w:ilvl="3" w:tplc="72021AF8">
      <w:numFmt w:val="bullet"/>
      <w:lvlText w:val="•"/>
      <w:lvlJc w:val="left"/>
      <w:pPr>
        <w:ind w:left="3994" w:hanging="361"/>
      </w:pPr>
      <w:rPr>
        <w:rFonts w:hint="default"/>
        <w:lang w:val="en-US" w:eastAsia="en-US" w:bidi="ar-SA"/>
      </w:rPr>
    </w:lvl>
    <w:lvl w:ilvl="4" w:tplc="F5C2A65C">
      <w:numFmt w:val="bullet"/>
      <w:lvlText w:val="•"/>
      <w:lvlJc w:val="left"/>
      <w:pPr>
        <w:ind w:left="5012" w:hanging="361"/>
      </w:pPr>
      <w:rPr>
        <w:rFonts w:hint="default"/>
        <w:lang w:val="en-US" w:eastAsia="en-US" w:bidi="ar-SA"/>
      </w:rPr>
    </w:lvl>
    <w:lvl w:ilvl="5" w:tplc="9DB0D9A8">
      <w:numFmt w:val="bullet"/>
      <w:lvlText w:val="•"/>
      <w:lvlJc w:val="left"/>
      <w:pPr>
        <w:ind w:left="6030" w:hanging="361"/>
      </w:pPr>
      <w:rPr>
        <w:rFonts w:hint="default"/>
        <w:lang w:val="en-US" w:eastAsia="en-US" w:bidi="ar-SA"/>
      </w:rPr>
    </w:lvl>
    <w:lvl w:ilvl="6" w:tplc="79D2D2BE">
      <w:numFmt w:val="bullet"/>
      <w:lvlText w:val="•"/>
      <w:lvlJc w:val="left"/>
      <w:pPr>
        <w:ind w:left="7048" w:hanging="361"/>
      </w:pPr>
      <w:rPr>
        <w:rFonts w:hint="default"/>
        <w:lang w:val="en-US" w:eastAsia="en-US" w:bidi="ar-SA"/>
      </w:rPr>
    </w:lvl>
    <w:lvl w:ilvl="7" w:tplc="4FC22DEE">
      <w:numFmt w:val="bullet"/>
      <w:lvlText w:val="•"/>
      <w:lvlJc w:val="left"/>
      <w:pPr>
        <w:ind w:left="8066" w:hanging="361"/>
      </w:pPr>
      <w:rPr>
        <w:rFonts w:hint="default"/>
        <w:lang w:val="en-US" w:eastAsia="en-US" w:bidi="ar-SA"/>
      </w:rPr>
    </w:lvl>
    <w:lvl w:ilvl="8" w:tplc="7666B98E">
      <w:numFmt w:val="bullet"/>
      <w:lvlText w:val="•"/>
      <w:lvlJc w:val="left"/>
      <w:pPr>
        <w:ind w:left="9084" w:hanging="361"/>
      </w:pPr>
      <w:rPr>
        <w:rFonts w:hint="default"/>
        <w:lang w:val="en-US" w:eastAsia="en-US" w:bidi="ar-SA"/>
      </w:rPr>
    </w:lvl>
  </w:abstractNum>
  <w:abstractNum w:abstractNumId="3" w15:restartNumberingAfterBreak="0">
    <w:nsid w:val="263C0102"/>
    <w:multiLevelType w:val="hybridMultilevel"/>
    <w:tmpl w:val="A0F8F0FE"/>
    <w:lvl w:ilvl="0" w:tplc="FDF43AC6">
      <w:start w:val="1"/>
      <w:numFmt w:val="decimal"/>
      <w:lvlText w:val="%1."/>
      <w:lvlJc w:val="left"/>
      <w:pPr>
        <w:ind w:left="940" w:hanging="361"/>
      </w:pPr>
      <w:rPr>
        <w:rFonts w:ascii="Calibri" w:eastAsia="Calibri" w:hAnsi="Calibri" w:cs="Calibri" w:hint="default"/>
        <w:w w:val="100"/>
        <w:sz w:val="24"/>
        <w:szCs w:val="24"/>
        <w:lang w:val="en-US" w:eastAsia="en-US" w:bidi="ar-SA"/>
      </w:rPr>
    </w:lvl>
    <w:lvl w:ilvl="1" w:tplc="28D2656A">
      <w:numFmt w:val="bullet"/>
      <w:lvlText w:val="•"/>
      <w:lvlJc w:val="left"/>
      <w:pPr>
        <w:ind w:left="1958" w:hanging="361"/>
      </w:pPr>
      <w:rPr>
        <w:rFonts w:hint="default"/>
        <w:lang w:val="en-US" w:eastAsia="en-US" w:bidi="ar-SA"/>
      </w:rPr>
    </w:lvl>
    <w:lvl w:ilvl="2" w:tplc="F052045E">
      <w:numFmt w:val="bullet"/>
      <w:lvlText w:val="•"/>
      <w:lvlJc w:val="left"/>
      <w:pPr>
        <w:ind w:left="2976" w:hanging="361"/>
      </w:pPr>
      <w:rPr>
        <w:rFonts w:hint="default"/>
        <w:lang w:val="en-US" w:eastAsia="en-US" w:bidi="ar-SA"/>
      </w:rPr>
    </w:lvl>
    <w:lvl w:ilvl="3" w:tplc="F28C74A4">
      <w:numFmt w:val="bullet"/>
      <w:lvlText w:val="•"/>
      <w:lvlJc w:val="left"/>
      <w:pPr>
        <w:ind w:left="3994" w:hanging="361"/>
      </w:pPr>
      <w:rPr>
        <w:rFonts w:hint="default"/>
        <w:lang w:val="en-US" w:eastAsia="en-US" w:bidi="ar-SA"/>
      </w:rPr>
    </w:lvl>
    <w:lvl w:ilvl="4" w:tplc="1E980BC8">
      <w:numFmt w:val="bullet"/>
      <w:lvlText w:val="•"/>
      <w:lvlJc w:val="left"/>
      <w:pPr>
        <w:ind w:left="5012" w:hanging="361"/>
      </w:pPr>
      <w:rPr>
        <w:rFonts w:hint="default"/>
        <w:lang w:val="en-US" w:eastAsia="en-US" w:bidi="ar-SA"/>
      </w:rPr>
    </w:lvl>
    <w:lvl w:ilvl="5" w:tplc="53CE71CE">
      <w:numFmt w:val="bullet"/>
      <w:lvlText w:val="•"/>
      <w:lvlJc w:val="left"/>
      <w:pPr>
        <w:ind w:left="6030" w:hanging="361"/>
      </w:pPr>
      <w:rPr>
        <w:rFonts w:hint="default"/>
        <w:lang w:val="en-US" w:eastAsia="en-US" w:bidi="ar-SA"/>
      </w:rPr>
    </w:lvl>
    <w:lvl w:ilvl="6" w:tplc="5F9A226E">
      <w:numFmt w:val="bullet"/>
      <w:lvlText w:val="•"/>
      <w:lvlJc w:val="left"/>
      <w:pPr>
        <w:ind w:left="7048" w:hanging="361"/>
      </w:pPr>
      <w:rPr>
        <w:rFonts w:hint="default"/>
        <w:lang w:val="en-US" w:eastAsia="en-US" w:bidi="ar-SA"/>
      </w:rPr>
    </w:lvl>
    <w:lvl w:ilvl="7" w:tplc="186C34E2">
      <w:numFmt w:val="bullet"/>
      <w:lvlText w:val="•"/>
      <w:lvlJc w:val="left"/>
      <w:pPr>
        <w:ind w:left="8066" w:hanging="361"/>
      </w:pPr>
      <w:rPr>
        <w:rFonts w:hint="default"/>
        <w:lang w:val="en-US" w:eastAsia="en-US" w:bidi="ar-SA"/>
      </w:rPr>
    </w:lvl>
    <w:lvl w:ilvl="8" w:tplc="49688B48">
      <w:numFmt w:val="bullet"/>
      <w:lvlText w:val="•"/>
      <w:lvlJc w:val="left"/>
      <w:pPr>
        <w:ind w:left="9084" w:hanging="361"/>
      </w:pPr>
      <w:rPr>
        <w:rFonts w:hint="default"/>
        <w:lang w:val="en-US" w:eastAsia="en-US" w:bidi="ar-SA"/>
      </w:rPr>
    </w:lvl>
  </w:abstractNum>
  <w:abstractNum w:abstractNumId="4" w15:restartNumberingAfterBreak="0">
    <w:nsid w:val="2BAD4C41"/>
    <w:multiLevelType w:val="hybridMultilevel"/>
    <w:tmpl w:val="33D8715C"/>
    <w:lvl w:ilvl="0" w:tplc="63F2C6AC">
      <w:start w:val="1"/>
      <w:numFmt w:val="decimal"/>
      <w:lvlText w:val="%1."/>
      <w:lvlJc w:val="left"/>
      <w:pPr>
        <w:ind w:left="940" w:hanging="361"/>
      </w:pPr>
      <w:rPr>
        <w:rFonts w:ascii="Calibri" w:eastAsia="Calibri" w:hAnsi="Calibri" w:cs="Calibri" w:hint="default"/>
        <w:w w:val="100"/>
        <w:sz w:val="24"/>
        <w:szCs w:val="24"/>
        <w:lang w:val="en-US" w:eastAsia="en-US" w:bidi="ar-SA"/>
      </w:rPr>
    </w:lvl>
    <w:lvl w:ilvl="1" w:tplc="615EAFD8">
      <w:numFmt w:val="bullet"/>
      <w:lvlText w:val="•"/>
      <w:lvlJc w:val="left"/>
      <w:pPr>
        <w:ind w:left="1958" w:hanging="361"/>
      </w:pPr>
      <w:rPr>
        <w:rFonts w:hint="default"/>
        <w:lang w:val="en-US" w:eastAsia="en-US" w:bidi="ar-SA"/>
      </w:rPr>
    </w:lvl>
    <w:lvl w:ilvl="2" w:tplc="8488E9D8">
      <w:numFmt w:val="bullet"/>
      <w:lvlText w:val="•"/>
      <w:lvlJc w:val="left"/>
      <w:pPr>
        <w:ind w:left="2976" w:hanging="361"/>
      </w:pPr>
      <w:rPr>
        <w:rFonts w:hint="default"/>
        <w:lang w:val="en-US" w:eastAsia="en-US" w:bidi="ar-SA"/>
      </w:rPr>
    </w:lvl>
    <w:lvl w:ilvl="3" w:tplc="8FAC4862">
      <w:numFmt w:val="bullet"/>
      <w:lvlText w:val="•"/>
      <w:lvlJc w:val="left"/>
      <w:pPr>
        <w:ind w:left="3994" w:hanging="361"/>
      </w:pPr>
      <w:rPr>
        <w:rFonts w:hint="default"/>
        <w:lang w:val="en-US" w:eastAsia="en-US" w:bidi="ar-SA"/>
      </w:rPr>
    </w:lvl>
    <w:lvl w:ilvl="4" w:tplc="2E04BD08">
      <w:numFmt w:val="bullet"/>
      <w:lvlText w:val="•"/>
      <w:lvlJc w:val="left"/>
      <w:pPr>
        <w:ind w:left="5012" w:hanging="361"/>
      </w:pPr>
      <w:rPr>
        <w:rFonts w:hint="default"/>
        <w:lang w:val="en-US" w:eastAsia="en-US" w:bidi="ar-SA"/>
      </w:rPr>
    </w:lvl>
    <w:lvl w:ilvl="5" w:tplc="4D52D7B0">
      <w:numFmt w:val="bullet"/>
      <w:lvlText w:val="•"/>
      <w:lvlJc w:val="left"/>
      <w:pPr>
        <w:ind w:left="6030" w:hanging="361"/>
      </w:pPr>
      <w:rPr>
        <w:rFonts w:hint="default"/>
        <w:lang w:val="en-US" w:eastAsia="en-US" w:bidi="ar-SA"/>
      </w:rPr>
    </w:lvl>
    <w:lvl w:ilvl="6" w:tplc="2BB2B1D2">
      <w:numFmt w:val="bullet"/>
      <w:lvlText w:val="•"/>
      <w:lvlJc w:val="left"/>
      <w:pPr>
        <w:ind w:left="7048" w:hanging="361"/>
      </w:pPr>
      <w:rPr>
        <w:rFonts w:hint="default"/>
        <w:lang w:val="en-US" w:eastAsia="en-US" w:bidi="ar-SA"/>
      </w:rPr>
    </w:lvl>
    <w:lvl w:ilvl="7" w:tplc="4A7A98EC">
      <w:numFmt w:val="bullet"/>
      <w:lvlText w:val="•"/>
      <w:lvlJc w:val="left"/>
      <w:pPr>
        <w:ind w:left="8066" w:hanging="361"/>
      </w:pPr>
      <w:rPr>
        <w:rFonts w:hint="default"/>
        <w:lang w:val="en-US" w:eastAsia="en-US" w:bidi="ar-SA"/>
      </w:rPr>
    </w:lvl>
    <w:lvl w:ilvl="8" w:tplc="29249C3C">
      <w:numFmt w:val="bullet"/>
      <w:lvlText w:val="•"/>
      <w:lvlJc w:val="left"/>
      <w:pPr>
        <w:ind w:left="9084" w:hanging="361"/>
      </w:pPr>
      <w:rPr>
        <w:rFonts w:hint="default"/>
        <w:lang w:val="en-US" w:eastAsia="en-US" w:bidi="ar-SA"/>
      </w:rPr>
    </w:lvl>
  </w:abstractNum>
  <w:abstractNum w:abstractNumId="5" w15:restartNumberingAfterBreak="0">
    <w:nsid w:val="323D02C6"/>
    <w:multiLevelType w:val="hybridMultilevel"/>
    <w:tmpl w:val="FFFFFFFF"/>
    <w:lvl w:ilvl="0" w:tplc="18E21126">
      <w:start w:val="1"/>
      <w:numFmt w:val="bullet"/>
      <w:lvlText w:val=""/>
      <w:lvlJc w:val="left"/>
      <w:pPr>
        <w:ind w:left="720" w:hanging="360"/>
      </w:pPr>
      <w:rPr>
        <w:rFonts w:ascii="Symbol" w:hAnsi="Symbol" w:hint="default"/>
      </w:rPr>
    </w:lvl>
    <w:lvl w:ilvl="1" w:tplc="310868BC">
      <w:start w:val="1"/>
      <w:numFmt w:val="bullet"/>
      <w:lvlText w:val="o"/>
      <w:lvlJc w:val="left"/>
      <w:pPr>
        <w:ind w:left="1440" w:hanging="360"/>
      </w:pPr>
      <w:rPr>
        <w:rFonts w:ascii="Courier New" w:hAnsi="Courier New" w:hint="default"/>
      </w:rPr>
    </w:lvl>
    <w:lvl w:ilvl="2" w:tplc="8C8697A0">
      <w:start w:val="1"/>
      <w:numFmt w:val="bullet"/>
      <w:lvlText w:val=""/>
      <w:lvlJc w:val="left"/>
      <w:pPr>
        <w:ind w:left="2160" w:hanging="360"/>
      </w:pPr>
      <w:rPr>
        <w:rFonts w:ascii="Wingdings" w:hAnsi="Wingdings" w:hint="default"/>
      </w:rPr>
    </w:lvl>
    <w:lvl w:ilvl="3" w:tplc="67245456">
      <w:start w:val="1"/>
      <w:numFmt w:val="bullet"/>
      <w:lvlText w:val=""/>
      <w:lvlJc w:val="left"/>
      <w:pPr>
        <w:ind w:left="2880" w:hanging="360"/>
      </w:pPr>
      <w:rPr>
        <w:rFonts w:ascii="Symbol" w:hAnsi="Symbol" w:hint="default"/>
      </w:rPr>
    </w:lvl>
    <w:lvl w:ilvl="4" w:tplc="E1FAED3A">
      <w:start w:val="1"/>
      <w:numFmt w:val="bullet"/>
      <w:lvlText w:val="o"/>
      <w:lvlJc w:val="left"/>
      <w:pPr>
        <w:ind w:left="3600" w:hanging="360"/>
      </w:pPr>
      <w:rPr>
        <w:rFonts w:ascii="Courier New" w:hAnsi="Courier New" w:hint="default"/>
      </w:rPr>
    </w:lvl>
    <w:lvl w:ilvl="5" w:tplc="93186FB8">
      <w:start w:val="1"/>
      <w:numFmt w:val="bullet"/>
      <w:lvlText w:val=""/>
      <w:lvlJc w:val="left"/>
      <w:pPr>
        <w:ind w:left="4320" w:hanging="360"/>
      </w:pPr>
      <w:rPr>
        <w:rFonts w:ascii="Wingdings" w:hAnsi="Wingdings" w:hint="default"/>
      </w:rPr>
    </w:lvl>
    <w:lvl w:ilvl="6" w:tplc="681A20CA">
      <w:start w:val="1"/>
      <w:numFmt w:val="bullet"/>
      <w:lvlText w:val=""/>
      <w:lvlJc w:val="left"/>
      <w:pPr>
        <w:ind w:left="5040" w:hanging="360"/>
      </w:pPr>
      <w:rPr>
        <w:rFonts w:ascii="Symbol" w:hAnsi="Symbol" w:hint="default"/>
      </w:rPr>
    </w:lvl>
    <w:lvl w:ilvl="7" w:tplc="7078118C">
      <w:start w:val="1"/>
      <w:numFmt w:val="bullet"/>
      <w:lvlText w:val="o"/>
      <w:lvlJc w:val="left"/>
      <w:pPr>
        <w:ind w:left="5760" w:hanging="360"/>
      </w:pPr>
      <w:rPr>
        <w:rFonts w:ascii="Courier New" w:hAnsi="Courier New" w:hint="default"/>
      </w:rPr>
    </w:lvl>
    <w:lvl w:ilvl="8" w:tplc="9A20568A">
      <w:start w:val="1"/>
      <w:numFmt w:val="bullet"/>
      <w:lvlText w:val=""/>
      <w:lvlJc w:val="left"/>
      <w:pPr>
        <w:ind w:left="6480" w:hanging="360"/>
      </w:pPr>
      <w:rPr>
        <w:rFonts w:ascii="Wingdings" w:hAnsi="Wingdings" w:hint="default"/>
      </w:rPr>
    </w:lvl>
  </w:abstractNum>
  <w:abstractNum w:abstractNumId="6" w15:restartNumberingAfterBreak="0">
    <w:nsid w:val="54DF2592"/>
    <w:multiLevelType w:val="hybridMultilevel"/>
    <w:tmpl w:val="F9D60EAC"/>
    <w:lvl w:ilvl="0" w:tplc="4F1E9248">
      <w:start w:val="1"/>
      <w:numFmt w:val="decimal"/>
      <w:lvlText w:val="%1."/>
      <w:lvlJc w:val="left"/>
      <w:pPr>
        <w:ind w:left="940" w:hanging="361"/>
      </w:pPr>
      <w:rPr>
        <w:rFonts w:ascii="Calibri" w:eastAsia="Calibri" w:hAnsi="Calibri" w:cs="Calibri" w:hint="default"/>
        <w:w w:val="100"/>
        <w:sz w:val="24"/>
        <w:szCs w:val="24"/>
        <w:lang w:val="en-US" w:eastAsia="en-US" w:bidi="ar-SA"/>
      </w:rPr>
    </w:lvl>
    <w:lvl w:ilvl="1" w:tplc="627A4B90">
      <w:start w:val="1"/>
      <w:numFmt w:val="lowerLetter"/>
      <w:lvlText w:val="%2."/>
      <w:lvlJc w:val="left"/>
      <w:pPr>
        <w:ind w:left="1660" w:hanging="360"/>
      </w:pPr>
      <w:rPr>
        <w:rFonts w:ascii="Calibri" w:eastAsia="Calibri" w:hAnsi="Calibri" w:cs="Calibri" w:hint="default"/>
        <w:w w:val="100"/>
        <w:sz w:val="24"/>
        <w:szCs w:val="24"/>
        <w:lang w:val="en-US" w:eastAsia="en-US" w:bidi="ar-SA"/>
      </w:rPr>
    </w:lvl>
    <w:lvl w:ilvl="2" w:tplc="44BC52DA">
      <w:numFmt w:val="bullet"/>
      <w:lvlText w:val="•"/>
      <w:lvlJc w:val="left"/>
      <w:pPr>
        <w:ind w:left="2711" w:hanging="360"/>
      </w:pPr>
      <w:rPr>
        <w:rFonts w:hint="default"/>
        <w:lang w:val="en-US" w:eastAsia="en-US" w:bidi="ar-SA"/>
      </w:rPr>
    </w:lvl>
    <w:lvl w:ilvl="3" w:tplc="E66665E0">
      <w:numFmt w:val="bullet"/>
      <w:lvlText w:val="•"/>
      <w:lvlJc w:val="left"/>
      <w:pPr>
        <w:ind w:left="3762" w:hanging="360"/>
      </w:pPr>
      <w:rPr>
        <w:rFonts w:hint="default"/>
        <w:lang w:val="en-US" w:eastAsia="en-US" w:bidi="ar-SA"/>
      </w:rPr>
    </w:lvl>
    <w:lvl w:ilvl="4" w:tplc="D57C9EA8">
      <w:numFmt w:val="bullet"/>
      <w:lvlText w:val="•"/>
      <w:lvlJc w:val="left"/>
      <w:pPr>
        <w:ind w:left="4813" w:hanging="360"/>
      </w:pPr>
      <w:rPr>
        <w:rFonts w:hint="default"/>
        <w:lang w:val="en-US" w:eastAsia="en-US" w:bidi="ar-SA"/>
      </w:rPr>
    </w:lvl>
    <w:lvl w:ilvl="5" w:tplc="41027658">
      <w:numFmt w:val="bullet"/>
      <w:lvlText w:val="•"/>
      <w:lvlJc w:val="left"/>
      <w:pPr>
        <w:ind w:left="5864" w:hanging="360"/>
      </w:pPr>
      <w:rPr>
        <w:rFonts w:hint="default"/>
        <w:lang w:val="en-US" w:eastAsia="en-US" w:bidi="ar-SA"/>
      </w:rPr>
    </w:lvl>
    <w:lvl w:ilvl="6" w:tplc="A38A4E7C">
      <w:numFmt w:val="bullet"/>
      <w:lvlText w:val="•"/>
      <w:lvlJc w:val="left"/>
      <w:pPr>
        <w:ind w:left="6915" w:hanging="360"/>
      </w:pPr>
      <w:rPr>
        <w:rFonts w:hint="default"/>
        <w:lang w:val="en-US" w:eastAsia="en-US" w:bidi="ar-SA"/>
      </w:rPr>
    </w:lvl>
    <w:lvl w:ilvl="7" w:tplc="5E4C25F8">
      <w:numFmt w:val="bullet"/>
      <w:lvlText w:val="•"/>
      <w:lvlJc w:val="left"/>
      <w:pPr>
        <w:ind w:left="7966" w:hanging="360"/>
      </w:pPr>
      <w:rPr>
        <w:rFonts w:hint="default"/>
        <w:lang w:val="en-US" w:eastAsia="en-US" w:bidi="ar-SA"/>
      </w:rPr>
    </w:lvl>
    <w:lvl w:ilvl="8" w:tplc="06AE891C">
      <w:numFmt w:val="bullet"/>
      <w:lvlText w:val="•"/>
      <w:lvlJc w:val="left"/>
      <w:pPr>
        <w:ind w:left="9017" w:hanging="360"/>
      </w:pPr>
      <w:rPr>
        <w:rFonts w:hint="default"/>
        <w:lang w:val="en-US" w:eastAsia="en-US" w:bidi="ar-SA"/>
      </w:rPr>
    </w:lvl>
  </w:abstractNum>
  <w:abstractNum w:abstractNumId="7" w15:restartNumberingAfterBreak="0">
    <w:nsid w:val="661C1C48"/>
    <w:multiLevelType w:val="hybridMultilevel"/>
    <w:tmpl w:val="6B366808"/>
    <w:lvl w:ilvl="0" w:tplc="96F85614">
      <w:start w:val="1"/>
      <w:numFmt w:val="decimal"/>
      <w:lvlText w:val="%1."/>
      <w:lvlJc w:val="left"/>
      <w:pPr>
        <w:ind w:left="940" w:hanging="361"/>
      </w:pPr>
      <w:rPr>
        <w:rFonts w:ascii="Calibri" w:eastAsia="Calibri" w:hAnsi="Calibri" w:cs="Calibri" w:hint="default"/>
        <w:w w:val="100"/>
        <w:sz w:val="24"/>
        <w:szCs w:val="24"/>
        <w:lang w:val="en-US" w:eastAsia="en-US" w:bidi="ar-SA"/>
      </w:rPr>
    </w:lvl>
    <w:lvl w:ilvl="1" w:tplc="9F90D7DC">
      <w:numFmt w:val="bullet"/>
      <w:lvlText w:val="•"/>
      <w:lvlJc w:val="left"/>
      <w:pPr>
        <w:ind w:left="1958" w:hanging="361"/>
      </w:pPr>
      <w:rPr>
        <w:rFonts w:hint="default"/>
        <w:lang w:val="en-US" w:eastAsia="en-US" w:bidi="ar-SA"/>
      </w:rPr>
    </w:lvl>
    <w:lvl w:ilvl="2" w:tplc="B12C556E">
      <w:numFmt w:val="bullet"/>
      <w:lvlText w:val="•"/>
      <w:lvlJc w:val="left"/>
      <w:pPr>
        <w:ind w:left="2976" w:hanging="361"/>
      </w:pPr>
      <w:rPr>
        <w:rFonts w:hint="default"/>
        <w:lang w:val="en-US" w:eastAsia="en-US" w:bidi="ar-SA"/>
      </w:rPr>
    </w:lvl>
    <w:lvl w:ilvl="3" w:tplc="EDC2EEB2">
      <w:numFmt w:val="bullet"/>
      <w:lvlText w:val="•"/>
      <w:lvlJc w:val="left"/>
      <w:pPr>
        <w:ind w:left="3994" w:hanging="361"/>
      </w:pPr>
      <w:rPr>
        <w:rFonts w:hint="default"/>
        <w:lang w:val="en-US" w:eastAsia="en-US" w:bidi="ar-SA"/>
      </w:rPr>
    </w:lvl>
    <w:lvl w:ilvl="4" w:tplc="A43AC8D0">
      <w:numFmt w:val="bullet"/>
      <w:lvlText w:val="•"/>
      <w:lvlJc w:val="left"/>
      <w:pPr>
        <w:ind w:left="5012" w:hanging="361"/>
      </w:pPr>
      <w:rPr>
        <w:rFonts w:hint="default"/>
        <w:lang w:val="en-US" w:eastAsia="en-US" w:bidi="ar-SA"/>
      </w:rPr>
    </w:lvl>
    <w:lvl w:ilvl="5" w:tplc="8E340572">
      <w:numFmt w:val="bullet"/>
      <w:lvlText w:val="•"/>
      <w:lvlJc w:val="left"/>
      <w:pPr>
        <w:ind w:left="6030" w:hanging="361"/>
      </w:pPr>
      <w:rPr>
        <w:rFonts w:hint="default"/>
        <w:lang w:val="en-US" w:eastAsia="en-US" w:bidi="ar-SA"/>
      </w:rPr>
    </w:lvl>
    <w:lvl w:ilvl="6" w:tplc="68A88D30">
      <w:numFmt w:val="bullet"/>
      <w:lvlText w:val="•"/>
      <w:lvlJc w:val="left"/>
      <w:pPr>
        <w:ind w:left="7048" w:hanging="361"/>
      </w:pPr>
      <w:rPr>
        <w:rFonts w:hint="default"/>
        <w:lang w:val="en-US" w:eastAsia="en-US" w:bidi="ar-SA"/>
      </w:rPr>
    </w:lvl>
    <w:lvl w:ilvl="7" w:tplc="EBD856A4">
      <w:numFmt w:val="bullet"/>
      <w:lvlText w:val="•"/>
      <w:lvlJc w:val="left"/>
      <w:pPr>
        <w:ind w:left="8066" w:hanging="361"/>
      </w:pPr>
      <w:rPr>
        <w:rFonts w:hint="default"/>
        <w:lang w:val="en-US" w:eastAsia="en-US" w:bidi="ar-SA"/>
      </w:rPr>
    </w:lvl>
    <w:lvl w:ilvl="8" w:tplc="55922936">
      <w:numFmt w:val="bullet"/>
      <w:lvlText w:val="•"/>
      <w:lvlJc w:val="left"/>
      <w:pPr>
        <w:ind w:left="9084" w:hanging="361"/>
      </w:pPr>
      <w:rPr>
        <w:rFonts w:hint="default"/>
        <w:lang w:val="en-US" w:eastAsia="en-US" w:bidi="ar-SA"/>
      </w:rPr>
    </w:lvl>
  </w:abstractNum>
  <w:abstractNum w:abstractNumId="8" w15:restartNumberingAfterBreak="0">
    <w:nsid w:val="737B1610"/>
    <w:multiLevelType w:val="hybridMultilevel"/>
    <w:tmpl w:val="15523384"/>
    <w:lvl w:ilvl="0" w:tplc="0409000F">
      <w:start w:val="1"/>
      <w:numFmt w:val="decimal"/>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9" w15:restartNumberingAfterBreak="0">
    <w:nsid w:val="7952165A"/>
    <w:multiLevelType w:val="hybridMultilevel"/>
    <w:tmpl w:val="4008BCC4"/>
    <w:lvl w:ilvl="0" w:tplc="566CCE60">
      <w:start w:val="1"/>
      <w:numFmt w:val="decimal"/>
      <w:lvlText w:val="%1."/>
      <w:lvlJc w:val="left"/>
      <w:pPr>
        <w:ind w:left="940" w:hanging="361"/>
      </w:pPr>
      <w:rPr>
        <w:rFonts w:ascii="Calibri" w:eastAsia="Calibri" w:hAnsi="Calibri" w:cs="Calibri" w:hint="default"/>
        <w:w w:val="100"/>
        <w:sz w:val="24"/>
        <w:szCs w:val="24"/>
        <w:lang w:val="en-US" w:eastAsia="en-US" w:bidi="ar-SA"/>
      </w:rPr>
    </w:lvl>
    <w:lvl w:ilvl="1" w:tplc="BB9A7308">
      <w:numFmt w:val="bullet"/>
      <w:lvlText w:val="•"/>
      <w:lvlJc w:val="left"/>
      <w:pPr>
        <w:ind w:left="1958" w:hanging="361"/>
      </w:pPr>
      <w:rPr>
        <w:rFonts w:hint="default"/>
        <w:lang w:val="en-US" w:eastAsia="en-US" w:bidi="ar-SA"/>
      </w:rPr>
    </w:lvl>
    <w:lvl w:ilvl="2" w:tplc="8F9E3660">
      <w:numFmt w:val="bullet"/>
      <w:lvlText w:val="•"/>
      <w:lvlJc w:val="left"/>
      <w:pPr>
        <w:ind w:left="2976" w:hanging="361"/>
      </w:pPr>
      <w:rPr>
        <w:rFonts w:hint="default"/>
        <w:lang w:val="en-US" w:eastAsia="en-US" w:bidi="ar-SA"/>
      </w:rPr>
    </w:lvl>
    <w:lvl w:ilvl="3" w:tplc="81CC0FDC">
      <w:numFmt w:val="bullet"/>
      <w:lvlText w:val="•"/>
      <w:lvlJc w:val="left"/>
      <w:pPr>
        <w:ind w:left="3994" w:hanging="361"/>
      </w:pPr>
      <w:rPr>
        <w:rFonts w:hint="default"/>
        <w:lang w:val="en-US" w:eastAsia="en-US" w:bidi="ar-SA"/>
      </w:rPr>
    </w:lvl>
    <w:lvl w:ilvl="4" w:tplc="BC603654">
      <w:numFmt w:val="bullet"/>
      <w:lvlText w:val="•"/>
      <w:lvlJc w:val="left"/>
      <w:pPr>
        <w:ind w:left="5012" w:hanging="361"/>
      </w:pPr>
      <w:rPr>
        <w:rFonts w:hint="default"/>
        <w:lang w:val="en-US" w:eastAsia="en-US" w:bidi="ar-SA"/>
      </w:rPr>
    </w:lvl>
    <w:lvl w:ilvl="5" w:tplc="A9C435FE">
      <w:numFmt w:val="bullet"/>
      <w:lvlText w:val="•"/>
      <w:lvlJc w:val="left"/>
      <w:pPr>
        <w:ind w:left="6030" w:hanging="361"/>
      </w:pPr>
      <w:rPr>
        <w:rFonts w:hint="default"/>
        <w:lang w:val="en-US" w:eastAsia="en-US" w:bidi="ar-SA"/>
      </w:rPr>
    </w:lvl>
    <w:lvl w:ilvl="6" w:tplc="B1907248">
      <w:numFmt w:val="bullet"/>
      <w:lvlText w:val="•"/>
      <w:lvlJc w:val="left"/>
      <w:pPr>
        <w:ind w:left="7048" w:hanging="361"/>
      </w:pPr>
      <w:rPr>
        <w:rFonts w:hint="default"/>
        <w:lang w:val="en-US" w:eastAsia="en-US" w:bidi="ar-SA"/>
      </w:rPr>
    </w:lvl>
    <w:lvl w:ilvl="7" w:tplc="D9088674">
      <w:numFmt w:val="bullet"/>
      <w:lvlText w:val="•"/>
      <w:lvlJc w:val="left"/>
      <w:pPr>
        <w:ind w:left="8066" w:hanging="361"/>
      </w:pPr>
      <w:rPr>
        <w:rFonts w:hint="default"/>
        <w:lang w:val="en-US" w:eastAsia="en-US" w:bidi="ar-SA"/>
      </w:rPr>
    </w:lvl>
    <w:lvl w:ilvl="8" w:tplc="9A484DCE">
      <w:numFmt w:val="bullet"/>
      <w:lvlText w:val="•"/>
      <w:lvlJc w:val="left"/>
      <w:pPr>
        <w:ind w:left="9084" w:hanging="361"/>
      </w:pPr>
      <w:rPr>
        <w:rFonts w:hint="default"/>
        <w:lang w:val="en-US" w:eastAsia="en-US" w:bidi="ar-SA"/>
      </w:rPr>
    </w:lvl>
  </w:abstractNum>
  <w:num w:numId="1">
    <w:abstractNumId w:val="7"/>
  </w:num>
  <w:num w:numId="2">
    <w:abstractNumId w:val="3"/>
  </w:num>
  <w:num w:numId="3">
    <w:abstractNumId w:val="6"/>
  </w:num>
  <w:num w:numId="4">
    <w:abstractNumId w:val="4"/>
  </w:num>
  <w:num w:numId="5">
    <w:abstractNumId w:val="2"/>
  </w:num>
  <w:num w:numId="6">
    <w:abstractNumId w:val="9"/>
  </w:num>
  <w:num w:numId="7">
    <w:abstractNumId w:val="5"/>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889"/>
    <w:rsid w:val="00001052"/>
    <w:rsid w:val="00001F61"/>
    <w:rsid w:val="000068E0"/>
    <w:rsid w:val="00006DF4"/>
    <w:rsid w:val="00014C19"/>
    <w:rsid w:val="00023077"/>
    <w:rsid w:val="00024A03"/>
    <w:rsid w:val="00026C4A"/>
    <w:rsid w:val="00033270"/>
    <w:rsid w:val="00035E69"/>
    <w:rsid w:val="00045D47"/>
    <w:rsid w:val="000623F7"/>
    <w:rsid w:val="000702A9"/>
    <w:rsid w:val="0007092E"/>
    <w:rsid w:val="000A0A4C"/>
    <w:rsid w:val="000A2AAC"/>
    <w:rsid w:val="000A2EF5"/>
    <w:rsid w:val="000A6096"/>
    <w:rsid w:val="000A7224"/>
    <w:rsid w:val="000B182C"/>
    <w:rsid w:val="000B1F45"/>
    <w:rsid w:val="000B4E71"/>
    <w:rsid w:val="000C1C63"/>
    <w:rsid w:val="000C4700"/>
    <w:rsid w:val="000C564C"/>
    <w:rsid w:val="000D35CF"/>
    <w:rsid w:val="000E657A"/>
    <w:rsid w:val="000F7277"/>
    <w:rsid w:val="00104A61"/>
    <w:rsid w:val="0010722A"/>
    <w:rsid w:val="00111B47"/>
    <w:rsid w:val="00112743"/>
    <w:rsid w:val="00114E11"/>
    <w:rsid w:val="0012788B"/>
    <w:rsid w:val="001410A2"/>
    <w:rsid w:val="001440CD"/>
    <w:rsid w:val="00153886"/>
    <w:rsid w:val="00161C9C"/>
    <w:rsid w:val="00167291"/>
    <w:rsid w:val="00170A26"/>
    <w:rsid w:val="00175D07"/>
    <w:rsid w:val="00176845"/>
    <w:rsid w:val="001969A7"/>
    <w:rsid w:val="00196EA5"/>
    <w:rsid w:val="001A5B2D"/>
    <w:rsid w:val="001D5FBC"/>
    <w:rsid w:val="001E0F69"/>
    <w:rsid w:val="00200257"/>
    <w:rsid w:val="00203B32"/>
    <w:rsid w:val="002052C3"/>
    <w:rsid w:val="00207677"/>
    <w:rsid w:val="002163D6"/>
    <w:rsid w:val="0021701B"/>
    <w:rsid w:val="00222B86"/>
    <w:rsid w:val="002231F7"/>
    <w:rsid w:val="0023210B"/>
    <w:rsid w:val="00236404"/>
    <w:rsid w:val="00240184"/>
    <w:rsid w:val="00241693"/>
    <w:rsid w:val="0024500C"/>
    <w:rsid w:val="0025658B"/>
    <w:rsid w:val="00256B30"/>
    <w:rsid w:val="00260B96"/>
    <w:rsid w:val="002635CA"/>
    <w:rsid w:val="00264E61"/>
    <w:rsid w:val="00270689"/>
    <w:rsid w:val="00270FEB"/>
    <w:rsid w:val="002753C1"/>
    <w:rsid w:val="00280785"/>
    <w:rsid w:val="00281D86"/>
    <w:rsid w:val="00294300"/>
    <w:rsid w:val="002A18D5"/>
    <w:rsid w:val="002A307C"/>
    <w:rsid w:val="002A40A8"/>
    <w:rsid w:val="002B6983"/>
    <w:rsid w:val="002C28B4"/>
    <w:rsid w:val="002D0BF3"/>
    <w:rsid w:val="002D2024"/>
    <w:rsid w:val="002D4137"/>
    <w:rsid w:val="002D715C"/>
    <w:rsid w:val="002E09D6"/>
    <w:rsid w:val="002E291A"/>
    <w:rsid w:val="002E6E90"/>
    <w:rsid w:val="002F572A"/>
    <w:rsid w:val="00316BFB"/>
    <w:rsid w:val="00317554"/>
    <w:rsid w:val="00320881"/>
    <w:rsid w:val="0032412B"/>
    <w:rsid w:val="0032447D"/>
    <w:rsid w:val="00333EA2"/>
    <w:rsid w:val="003403E6"/>
    <w:rsid w:val="00350B1B"/>
    <w:rsid w:val="00351335"/>
    <w:rsid w:val="0035638D"/>
    <w:rsid w:val="003648BD"/>
    <w:rsid w:val="00372879"/>
    <w:rsid w:val="00376726"/>
    <w:rsid w:val="0039322F"/>
    <w:rsid w:val="00395A99"/>
    <w:rsid w:val="003B6F46"/>
    <w:rsid w:val="003D17D3"/>
    <w:rsid w:val="003D3A7A"/>
    <w:rsid w:val="003E7099"/>
    <w:rsid w:val="003F2A1B"/>
    <w:rsid w:val="003F41AF"/>
    <w:rsid w:val="00403902"/>
    <w:rsid w:val="00406F14"/>
    <w:rsid w:val="00410797"/>
    <w:rsid w:val="00413B29"/>
    <w:rsid w:val="004163E2"/>
    <w:rsid w:val="004163F2"/>
    <w:rsid w:val="00426608"/>
    <w:rsid w:val="00430AB3"/>
    <w:rsid w:val="00435083"/>
    <w:rsid w:val="00437E57"/>
    <w:rsid w:val="0045296B"/>
    <w:rsid w:val="004605DD"/>
    <w:rsid w:val="00463FFA"/>
    <w:rsid w:val="00464CAF"/>
    <w:rsid w:val="00466A86"/>
    <w:rsid w:val="00477124"/>
    <w:rsid w:val="00484BE4"/>
    <w:rsid w:val="00487EC2"/>
    <w:rsid w:val="00490329"/>
    <w:rsid w:val="0049103D"/>
    <w:rsid w:val="00491870"/>
    <w:rsid w:val="00491927"/>
    <w:rsid w:val="00497CE7"/>
    <w:rsid w:val="004A1526"/>
    <w:rsid w:val="004A61E0"/>
    <w:rsid w:val="004B0317"/>
    <w:rsid w:val="004C1811"/>
    <w:rsid w:val="004C27CE"/>
    <w:rsid w:val="004C454A"/>
    <w:rsid w:val="004C479C"/>
    <w:rsid w:val="004C5AE1"/>
    <w:rsid w:val="004C7145"/>
    <w:rsid w:val="004C743B"/>
    <w:rsid w:val="004D3830"/>
    <w:rsid w:val="004D5369"/>
    <w:rsid w:val="004E19F8"/>
    <w:rsid w:val="004F22A6"/>
    <w:rsid w:val="004F37D8"/>
    <w:rsid w:val="004F4B0B"/>
    <w:rsid w:val="004F4D5C"/>
    <w:rsid w:val="0051233C"/>
    <w:rsid w:val="00517A40"/>
    <w:rsid w:val="00517F8D"/>
    <w:rsid w:val="005250CE"/>
    <w:rsid w:val="0052631A"/>
    <w:rsid w:val="0053564F"/>
    <w:rsid w:val="00535AF1"/>
    <w:rsid w:val="005444A8"/>
    <w:rsid w:val="00544590"/>
    <w:rsid w:val="005534FB"/>
    <w:rsid w:val="00554AE6"/>
    <w:rsid w:val="0056140E"/>
    <w:rsid w:val="00576C16"/>
    <w:rsid w:val="00587F8F"/>
    <w:rsid w:val="005A3CFB"/>
    <w:rsid w:val="005A70E0"/>
    <w:rsid w:val="005A7467"/>
    <w:rsid w:val="005B1315"/>
    <w:rsid w:val="005B701F"/>
    <w:rsid w:val="005C0723"/>
    <w:rsid w:val="005C6C3F"/>
    <w:rsid w:val="005D6544"/>
    <w:rsid w:val="005E4E74"/>
    <w:rsid w:val="00602EC3"/>
    <w:rsid w:val="0061057E"/>
    <w:rsid w:val="00611B54"/>
    <w:rsid w:val="00613CF2"/>
    <w:rsid w:val="0061590F"/>
    <w:rsid w:val="006230B0"/>
    <w:rsid w:val="00623EBE"/>
    <w:rsid w:val="00630997"/>
    <w:rsid w:val="00633DFA"/>
    <w:rsid w:val="00636562"/>
    <w:rsid w:val="006374CE"/>
    <w:rsid w:val="0063790F"/>
    <w:rsid w:val="0064082F"/>
    <w:rsid w:val="00640972"/>
    <w:rsid w:val="00640B4F"/>
    <w:rsid w:val="006427E6"/>
    <w:rsid w:val="00654329"/>
    <w:rsid w:val="00656004"/>
    <w:rsid w:val="00656AA5"/>
    <w:rsid w:val="006614D9"/>
    <w:rsid w:val="00667B99"/>
    <w:rsid w:val="00667D61"/>
    <w:rsid w:val="00671F13"/>
    <w:rsid w:val="006730CA"/>
    <w:rsid w:val="0068057F"/>
    <w:rsid w:val="00686B39"/>
    <w:rsid w:val="006964A8"/>
    <w:rsid w:val="00696A29"/>
    <w:rsid w:val="006A2374"/>
    <w:rsid w:val="006B5522"/>
    <w:rsid w:val="006D039A"/>
    <w:rsid w:val="006D4D44"/>
    <w:rsid w:val="006E163B"/>
    <w:rsid w:val="006E6E63"/>
    <w:rsid w:val="006E7573"/>
    <w:rsid w:val="0070056D"/>
    <w:rsid w:val="00703BE2"/>
    <w:rsid w:val="007042A6"/>
    <w:rsid w:val="00705C1A"/>
    <w:rsid w:val="00727292"/>
    <w:rsid w:val="00727688"/>
    <w:rsid w:val="00761791"/>
    <w:rsid w:val="00772C85"/>
    <w:rsid w:val="0079407D"/>
    <w:rsid w:val="007961AF"/>
    <w:rsid w:val="007A01EC"/>
    <w:rsid w:val="007B1732"/>
    <w:rsid w:val="007B46A3"/>
    <w:rsid w:val="007B74FC"/>
    <w:rsid w:val="007C2A02"/>
    <w:rsid w:val="007C4490"/>
    <w:rsid w:val="007E1990"/>
    <w:rsid w:val="007E274F"/>
    <w:rsid w:val="007F16E6"/>
    <w:rsid w:val="007F67BF"/>
    <w:rsid w:val="00817A4D"/>
    <w:rsid w:val="00825D46"/>
    <w:rsid w:val="0082720E"/>
    <w:rsid w:val="008272EE"/>
    <w:rsid w:val="00827973"/>
    <w:rsid w:val="00827B39"/>
    <w:rsid w:val="0083010F"/>
    <w:rsid w:val="008477D8"/>
    <w:rsid w:val="00847BD3"/>
    <w:rsid w:val="00851667"/>
    <w:rsid w:val="0085359A"/>
    <w:rsid w:val="00863BD5"/>
    <w:rsid w:val="00875332"/>
    <w:rsid w:val="008831A4"/>
    <w:rsid w:val="00885D7B"/>
    <w:rsid w:val="00887AB7"/>
    <w:rsid w:val="0089603B"/>
    <w:rsid w:val="008A4D9C"/>
    <w:rsid w:val="008A56F7"/>
    <w:rsid w:val="008A7941"/>
    <w:rsid w:val="008B00A9"/>
    <w:rsid w:val="008B3B3B"/>
    <w:rsid w:val="008C0FE2"/>
    <w:rsid w:val="008C5F49"/>
    <w:rsid w:val="008D3F6F"/>
    <w:rsid w:val="008D4B2C"/>
    <w:rsid w:val="008F04D3"/>
    <w:rsid w:val="008F4F8D"/>
    <w:rsid w:val="008F63F6"/>
    <w:rsid w:val="00900E9A"/>
    <w:rsid w:val="00901545"/>
    <w:rsid w:val="00904628"/>
    <w:rsid w:val="00916234"/>
    <w:rsid w:val="00927967"/>
    <w:rsid w:val="009315FA"/>
    <w:rsid w:val="0093337F"/>
    <w:rsid w:val="0093541A"/>
    <w:rsid w:val="009373C3"/>
    <w:rsid w:val="00940A3F"/>
    <w:rsid w:val="00943E3D"/>
    <w:rsid w:val="009612BD"/>
    <w:rsid w:val="00963F04"/>
    <w:rsid w:val="00975483"/>
    <w:rsid w:val="00975D0D"/>
    <w:rsid w:val="00983361"/>
    <w:rsid w:val="00984C35"/>
    <w:rsid w:val="00986532"/>
    <w:rsid w:val="00986D7D"/>
    <w:rsid w:val="00995F5D"/>
    <w:rsid w:val="00996CC5"/>
    <w:rsid w:val="00996EBB"/>
    <w:rsid w:val="009B672F"/>
    <w:rsid w:val="009C632A"/>
    <w:rsid w:val="009D707B"/>
    <w:rsid w:val="009E5A08"/>
    <w:rsid w:val="009E5EF1"/>
    <w:rsid w:val="009E7BEE"/>
    <w:rsid w:val="009F1990"/>
    <w:rsid w:val="009F1FC6"/>
    <w:rsid w:val="009F6261"/>
    <w:rsid w:val="00A146E3"/>
    <w:rsid w:val="00A20B4D"/>
    <w:rsid w:val="00A21093"/>
    <w:rsid w:val="00A30579"/>
    <w:rsid w:val="00A3102A"/>
    <w:rsid w:val="00A42D42"/>
    <w:rsid w:val="00A50426"/>
    <w:rsid w:val="00A511DA"/>
    <w:rsid w:val="00A53A2B"/>
    <w:rsid w:val="00A645DA"/>
    <w:rsid w:val="00A65BCD"/>
    <w:rsid w:val="00A7045D"/>
    <w:rsid w:val="00A83974"/>
    <w:rsid w:val="00A93154"/>
    <w:rsid w:val="00A96D2A"/>
    <w:rsid w:val="00A96D85"/>
    <w:rsid w:val="00AA1093"/>
    <w:rsid w:val="00AB4FBC"/>
    <w:rsid w:val="00AC42AA"/>
    <w:rsid w:val="00AC4520"/>
    <w:rsid w:val="00AE0039"/>
    <w:rsid w:val="00AE1671"/>
    <w:rsid w:val="00AE5589"/>
    <w:rsid w:val="00AE7246"/>
    <w:rsid w:val="00AF0AE7"/>
    <w:rsid w:val="00AF0EA2"/>
    <w:rsid w:val="00AF7D41"/>
    <w:rsid w:val="00B03AE1"/>
    <w:rsid w:val="00B13AAC"/>
    <w:rsid w:val="00B16454"/>
    <w:rsid w:val="00B2025D"/>
    <w:rsid w:val="00B261F6"/>
    <w:rsid w:val="00B37793"/>
    <w:rsid w:val="00B55420"/>
    <w:rsid w:val="00B66897"/>
    <w:rsid w:val="00B741F6"/>
    <w:rsid w:val="00B74627"/>
    <w:rsid w:val="00B77C4E"/>
    <w:rsid w:val="00B87D8A"/>
    <w:rsid w:val="00B93BBA"/>
    <w:rsid w:val="00BA7877"/>
    <w:rsid w:val="00BB3949"/>
    <w:rsid w:val="00BC5E83"/>
    <w:rsid w:val="00BD48E7"/>
    <w:rsid w:val="00BE2EE5"/>
    <w:rsid w:val="00BF129F"/>
    <w:rsid w:val="00C033EB"/>
    <w:rsid w:val="00C05D17"/>
    <w:rsid w:val="00C1692B"/>
    <w:rsid w:val="00C21B27"/>
    <w:rsid w:val="00C24CF9"/>
    <w:rsid w:val="00C322BB"/>
    <w:rsid w:val="00C36E4C"/>
    <w:rsid w:val="00C51686"/>
    <w:rsid w:val="00C51B5B"/>
    <w:rsid w:val="00C53A44"/>
    <w:rsid w:val="00C663B9"/>
    <w:rsid w:val="00C7054C"/>
    <w:rsid w:val="00C70DB2"/>
    <w:rsid w:val="00C719DE"/>
    <w:rsid w:val="00C7326D"/>
    <w:rsid w:val="00C73EE2"/>
    <w:rsid w:val="00C76684"/>
    <w:rsid w:val="00C776CB"/>
    <w:rsid w:val="00C80741"/>
    <w:rsid w:val="00C80E28"/>
    <w:rsid w:val="00C81263"/>
    <w:rsid w:val="00C85970"/>
    <w:rsid w:val="00C87AFB"/>
    <w:rsid w:val="00C96CDD"/>
    <w:rsid w:val="00C9781A"/>
    <w:rsid w:val="00CA2B1A"/>
    <w:rsid w:val="00CA449C"/>
    <w:rsid w:val="00CB5F2A"/>
    <w:rsid w:val="00CC1BAE"/>
    <w:rsid w:val="00CC6BB5"/>
    <w:rsid w:val="00CD010C"/>
    <w:rsid w:val="00CD0CE5"/>
    <w:rsid w:val="00CD0F0C"/>
    <w:rsid w:val="00CD278A"/>
    <w:rsid w:val="00CE161B"/>
    <w:rsid w:val="00CE50C7"/>
    <w:rsid w:val="00CE59CE"/>
    <w:rsid w:val="00CF0393"/>
    <w:rsid w:val="00CF636E"/>
    <w:rsid w:val="00D01478"/>
    <w:rsid w:val="00D2503A"/>
    <w:rsid w:val="00D25CC6"/>
    <w:rsid w:val="00D31C4E"/>
    <w:rsid w:val="00D4149A"/>
    <w:rsid w:val="00D45A53"/>
    <w:rsid w:val="00D552E6"/>
    <w:rsid w:val="00D5576D"/>
    <w:rsid w:val="00D56679"/>
    <w:rsid w:val="00D56EAF"/>
    <w:rsid w:val="00D61F16"/>
    <w:rsid w:val="00D67284"/>
    <w:rsid w:val="00D70AE4"/>
    <w:rsid w:val="00D75D52"/>
    <w:rsid w:val="00D80286"/>
    <w:rsid w:val="00D80B68"/>
    <w:rsid w:val="00D82448"/>
    <w:rsid w:val="00D91A10"/>
    <w:rsid w:val="00DA6447"/>
    <w:rsid w:val="00DB1810"/>
    <w:rsid w:val="00DB1B4C"/>
    <w:rsid w:val="00DC2B3E"/>
    <w:rsid w:val="00DC3A61"/>
    <w:rsid w:val="00DC6F24"/>
    <w:rsid w:val="00DD2D74"/>
    <w:rsid w:val="00DF02D9"/>
    <w:rsid w:val="00E0004D"/>
    <w:rsid w:val="00E00BF9"/>
    <w:rsid w:val="00E02E2C"/>
    <w:rsid w:val="00E0409D"/>
    <w:rsid w:val="00E052A5"/>
    <w:rsid w:val="00E332D6"/>
    <w:rsid w:val="00E33D47"/>
    <w:rsid w:val="00E3741B"/>
    <w:rsid w:val="00E40D60"/>
    <w:rsid w:val="00E47EDD"/>
    <w:rsid w:val="00E5341B"/>
    <w:rsid w:val="00E64606"/>
    <w:rsid w:val="00E722F6"/>
    <w:rsid w:val="00E75804"/>
    <w:rsid w:val="00E77231"/>
    <w:rsid w:val="00E77EDF"/>
    <w:rsid w:val="00E840AF"/>
    <w:rsid w:val="00E86159"/>
    <w:rsid w:val="00E94689"/>
    <w:rsid w:val="00E94802"/>
    <w:rsid w:val="00E96268"/>
    <w:rsid w:val="00EA3F66"/>
    <w:rsid w:val="00EB201B"/>
    <w:rsid w:val="00EB44E0"/>
    <w:rsid w:val="00ED245D"/>
    <w:rsid w:val="00ED5304"/>
    <w:rsid w:val="00ED6272"/>
    <w:rsid w:val="00ED77F9"/>
    <w:rsid w:val="00EF39F7"/>
    <w:rsid w:val="00F0107C"/>
    <w:rsid w:val="00F05754"/>
    <w:rsid w:val="00F118BB"/>
    <w:rsid w:val="00F16724"/>
    <w:rsid w:val="00F17CAD"/>
    <w:rsid w:val="00F21379"/>
    <w:rsid w:val="00F2786B"/>
    <w:rsid w:val="00F32566"/>
    <w:rsid w:val="00F33E3E"/>
    <w:rsid w:val="00F44A92"/>
    <w:rsid w:val="00F45E40"/>
    <w:rsid w:val="00F52CCC"/>
    <w:rsid w:val="00F52D0F"/>
    <w:rsid w:val="00F6021D"/>
    <w:rsid w:val="00F61D6C"/>
    <w:rsid w:val="00F633F4"/>
    <w:rsid w:val="00F675AD"/>
    <w:rsid w:val="00FA69F1"/>
    <w:rsid w:val="00FB6E55"/>
    <w:rsid w:val="00FB7484"/>
    <w:rsid w:val="00FC0171"/>
    <w:rsid w:val="00FC0CB1"/>
    <w:rsid w:val="00FC48E4"/>
    <w:rsid w:val="00FC5F30"/>
    <w:rsid w:val="00FC6889"/>
    <w:rsid w:val="00FC7872"/>
    <w:rsid w:val="00FD0E88"/>
    <w:rsid w:val="00FD4E50"/>
    <w:rsid w:val="00FD72A9"/>
    <w:rsid w:val="00FE00D0"/>
    <w:rsid w:val="00FE0343"/>
    <w:rsid w:val="00FE50E4"/>
    <w:rsid w:val="00FE5B89"/>
    <w:rsid w:val="00FE610F"/>
    <w:rsid w:val="00FE6425"/>
    <w:rsid w:val="00FF75B7"/>
    <w:rsid w:val="010EA809"/>
    <w:rsid w:val="0143E2F5"/>
    <w:rsid w:val="0150DC71"/>
    <w:rsid w:val="020557E8"/>
    <w:rsid w:val="0212123C"/>
    <w:rsid w:val="021392DD"/>
    <w:rsid w:val="022F20EA"/>
    <w:rsid w:val="025C1E6C"/>
    <w:rsid w:val="025F13C4"/>
    <w:rsid w:val="02BCFB2A"/>
    <w:rsid w:val="032D430B"/>
    <w:rsid w:val="03746FA1"/>
    <w:rsid w:val="03748CB4"/>
    <w:rsid w:val="03A12849"/>
    <w:rsid w:val="03B8DF0E"/>
    <w:rsid w:val="03E92699"/>
    <w:rsid w:val="049B649A"/>
    <w:rsid w:val="050BFC5F"/>
    <w:rsid w:val="0519C45D"/>
    <w:rsid w:val="05213345"/>
    <w:rsid w:val="0523D04D"/>
    <w:rsid w:val="05AD93C6"/>
    <w:rsid w:val="060F6692"/>
    <w:rsid w:val="061F5566"/>
    <w:rsid w:val="06AE08A1"/>
    <w:rsid w:val="07202FE3"/>
    <w:rsid w:val="07A44687"/>
    <w:rsid w:val="07E93D76"/>
    <w:rsid w:val="07F69C94"/>
    <w:rsid w:val="08B98DA1"/>
    <w:rsid w:val="08E4CFE1"/>
    <w:rsid w:val="098B49B8"/>
    <w:rsid w:val="09A04DCD"/>
    <w:rsid w:val="0A023657"/>
    <w:rsid w:val="0A474A59"/>
    <w:rsid w:val="0A73F7F7"/>
    <w:rsid w:val="0BA72233"/>
    <w:rsid w:val="0C7D8EE4"/>
    <w:rsid w:val="0D248B70"/>
    <w:rsid w:val="0D395CB4"/>
    <w:rsid w:val="0D8E4277"/>
    <w:rsid w:val="0D95CA5B"/>
    <w:rsid w:val="0DCD94FD"/>
    <w:rsid w:val="0E570026"/>
    <w:rsid w:val="0E99348E"/>
    <w:rsid w:val="0EE2F0DA"/>
    <w:rsid w:val="0F2D6CD7"/>
    <w:rsid w:val="0F6FA13F"/>
    <w:rsid w:val="0F8255D5"/>
    <w:rsid w:val="0F8D7A36"/>
    <w:rsid w:val="104BED7A"/>
    <w:rsid w:val="10BA9217"/>
    <w:rsid w:val="11041B92"/>
    <w:rsid w:val="11761003"/>
    <w:rsid w:val="121F7F32"/>
    <w:rsid w:val="1261B39A"/>
    <w:rsid w:val="1264A8F2"/>
    <w:rsid w:val="13413FFF"/>
    <w:rsid w:val="143E1A34"/>
    <w:rsid w:val="146B17B6"/>
    <w:rsid w:val="1480EA4D"/>
    <w:rsid w:val="14B7C95A"/>
    <w:rsid w:val="15319593"/>
    <w:rsid w:val="15418467"/>
    <w:rsid w:val="155C035F"/>
    <w:rsid w:val="15B5CB92"/>
    <w:rsid w:val="1644EE9A"/>
    <w:rsid w:val="16C05902"/>
    <w:rsid w:val="174A8E74"/>
    <w:rsid w:val="179F914A"/>
    <w:rsid w:val="17EBDD4C"/>
    <w:rsid w:val="17EC101D"/>
    <w:rsid w:val="1823DABF"/>
    <w:rsid w:val="1868D1AE"/>
    <w:rsid w:val="1879825F"/>
    <w:rsid w:val="191F3A59"/>
    <w:rsid w:val="19271221"/>
    <w:rsid w:val="193700F5"/>
    <w:rsid w:val="19C01A5F"/>
    <w:rsid w:val="1A0ADDF0"/>
    <w:rsid w:val="1A14573C"/>
    <w:rsid w:val="1A9BEE10"/>
    <w:rsid w:val="1ADE2278"/>
    <w:rsid w:val="1AF64EB6"/>
    <w:rsid w:val="1B15BA49"/>
    <w:rsid w:val="1B28C620"/>
    <w:rsid w:val="1B851F04"/>
    <w:rsid w:val="1BE18CAB"/>
    <w:rsid w:val="1C114CB4"/>
    <w:rsid w:val="1CE9BC3B"/>
    <w:rsid w:val="1CEF912D"/>
    <w:rsid w:val="1DB63890"/>
    <w:rsid w:val="1EAAAA2E"/>
    <w:rsid w:val="1ED39F06"/>
    <w:rsid w:val="1ED407E6"/>
    <w:rsid w:val="1EE778DF"/>
    <w:rsid w:val="1F9CAC99"/>
    <w:rsid w:val="1FCA0FBD"/>
    <w:rsid w:val="20849444"/>
    <w:rsid w:val="20A656E6"/>
    <w:rsid w:val="21B148FD"/>
    <w:rsid w:val="21B36FD3"/>
    <w:rsid w:val="234055E1"/>
    <w:rsid w:val="23922927"/>
    <w:rsid w:val="23A217FB"/>
    <w:rsid w:val="23BC96F3"/>
    <w:rsid w:val="23D752E7"/>
    <w:rsid w:val="2460BE10"/>
    <w:rsid w:val="248DBB92"/>
    <w:rsid w:val="24A5822E"/>
    <w:rsid w:val="264F9909"/>
    <w:rsid w:val="26649D1E"/>
    <w:rsid w:val="2699BAF7"/>
    <w:rsid w:val="26C6A2BB"/>
    <w:rsid w:val="2745D6EF"/>
    <w:rsid w:val="27EA48DB"/>
    <w:rsid w:val="292CDA20"/>
    <w:rsid w:val="29A3E3D2"/>
    <w:rsid w:val="29D0C441"/>
    <w:rsid w:val="2A001EA8"/>
    <w:rsid w:val="2A17E544"/>
    <w:rsid w:val="2A454868"/>
    <w:rsid w:val="2A623A03"/>
    <w:rsid w:val="2A8CCF0D"/>
    <w:rsid w:val="2B337BB5"/>
    <w:rsid w:val="2B3890F6"/>
    <w:rsid w:val="2B3B537D"/>
    <w:rsid w:val="2B7618FD"/>
    <w:rsid w:val="2BCB4EA4"/>
    <w:rsid w:val="2C024536"/>
    <w:rsid w:val="2C78B4AE"/>
    <w:rsid w:val="2D8E04D6"/>
    <w:rsid w:val="2DE5AC62"/>
    <w:rsid w:val="2DF5CE07"/>
    <w:rsid w:val="2EF9383A"/>
    <w:rsid w:val="2F97F75C"/>
    <w:rsid w:val="2F9FE4E2"/>
    <w:rsid w:val="30172B90"/>
    <w:rsid w:val="30C04E16"/>
    <w:rsid w:val="30C5B000"/>
    <w:rsid w:val="3114DDE4"/>
    <w:rsid w:val="31A653A6"/>
    <w:rsid w:val="31A9162D"/>
    <w:rsid w:val="32031131"/>
    <w:rsid w:val="3228544E"/>
    <w:rsid w:val="3291F73D"/>
    <w:rsid w:val="32BE186D"/>
    <w:rsid w:val="32DF903D"/>
    <w:rsid w:val="33781044"/>
    <w:rsid w:val="339E0381"/>
    <w:rsid w:val="343F2083"/>
    <w:rsid w:val="3453D4B4"/>
    <w:rsid w:val="34A365F2"/>
    <w:rsid w:val="34E85CE1"/>
    <w:rsid w:val="35573EE7"/>
    <w:rsid w:val="35875642"/>
    <w:rsid w:val="35B3C9A1"/>
    <w:rsid w:val="35B6BEF9"/>
    <w:rsid w:val="37603D61"/>
    <w:rsid w:val="378D6DB4"/>
    <w:rsid w:val="37BD2DBD"/>
    <w:rsid w:val="3890D7E7"/>
    <w:rsid w:val="38F31055"/>
    <w:rsid w:val="3907E199"/>
    <w:rsid w:val="3A44D9E4"/>
    <w:rsid w:val="3B3DF353"/>
    <w:rsid w:val="3B85ACC9"/>
    <w:rsid w:val="3BE522B0"/>
    <w:rsid w:val="3C0F10EE"/>
    <w:rsid w:val="3D179766"/>
    <w:rsid w:val="3D44FA8A"/>
    <w:rsid w:val="3DD68D5F"/>
    <w:rsid w:val="3F33A2B2"/>
    <w:rsid w:val="3F50944D"/>
    <w:rsid w:val="403BD242"/>
    <w:rsid w:val="40519608"/>
    <w:rsid w:val="406C1500"/>
    <w:rsid w:val="40DDD6A0"/>
    <w:rsid w:val="413D399F"/>
    <w:rsid w:val="414023D1"/>
    <w:rsid w:val="41FB7A12"/>
    <w:rsid w:val="4210E3C9"/>
    <w:rsid w:val="42114CA9"/>
    <w:rsid w:val="4225B50D"/>
    <w:rsid w:val="425ABD28"/>
    <w:rsid w:val="42B79071"/>
    <w:rsid w:val="42E71DA9"/>
    <w:rsid w:val="42FEB174"/>
    <w:rsid w:val="4319FAB5"/>
    <w:rsid w:val="431C25C4"/>
    <w:rsid w:val="43384D8C"/>
    <w:rsid w:val="4378609A"/>
    <w:rsid w:val="43D550F6"/>
    <w:rsid w:val="4417528D"/>
    <w:rsid w:val="441C7D8C"/>
    <w:rsid w:val="45035F04"/>
    <w:rsid w:val="450585DA"/>
    <w:rsid w:val="456A1DA8"/>
    <w:rsid w:val="45C94130"/>
    <w:rsid w:val="460B25B4"/>
    <w:rsid w:val="466F8931"/>
    <w:rsid w:val="46DCCD08"/>
    <w:rsid w:val="46E43F2E"/>
    <w:rsid w:val="470E8FE7"/>
    <w:rsid w:val="47E80F03"/>
    <w:rsid w:val="48A32848"/>
    <w:rsid w:val="49450E98"/>
    <w:rsid w:val="4A48DE6D"/>
    <w:rsid w:val="4A602254"/>
    <w:rsid w:val="4B6B9720"/>
    <w:rsid w:val="4BA58E1E"/>
    <w:rsid w:val="4BA5C0EF"/>
    <w:rsid w:val="4BC07CE3"/>
    <w:rsid w:val="4C646A42"/>
    <w:rsid w:val="4CABBAD8"/>
    <w:rsid w:val="4D8A09E9"/>
    <w:rsid w:val="4D975E6F"/>
    <w:rsid w:val="4DAF250B"/>
    <w:rsid w:val="4DC6EBA7"/>
    <w:rsid w:val="4E887BEE"/>
    <w:rsid w:val="4EA4B54D"/>
    <w:rsid w:val="4F43D22F"/>
    <w:rsid w:val="4FE80C34"/>
    <w:rsid w:val="5033346C"/>
    <w:rsid w:val="504479DB"/>
    <w:rsid w:val="5071E03D"/>
    <w:rsid w:val="50FB653B"/>
    <w:rsid w:val="5147B13D"/>
    <w:rsid w:val="517CB958"/>
    <w:rsid w:val="5235E48A"/>
    <w:rsid w:val="524B4E41"/>
    <w:rsid w:val="5297EA27"/>
    <w:rsid w:val="535952C3"/>
    <w:rsid w:val="54718E3A"/>
    <w:rsid w:val="54B3D860"/>
    <w:rsid w:val="5547FAEB"/>
    <w:rsid w:val="55494936"/>
    <w:rsid w:val="5613CD4D"/>
    <w:rsid w:val="561D1D3E"/>
    <w:rsid w:val="5645902C"/>
    <w:rsid w:val="564B651E"/>
    <w:rsid w:val="56E9D45C"/>
    <w:rsid w:val="57A5EABB"/>
    <w:rsid w:val="58A97201"/>
    <w:rsid w:val="58F8808A"/>
    <w:rsid w:val="5905DFA8"/>
    <w:rsid w:val="5923B89F"/>
    <w:rsid w:val="59F8F660"/>
    <w:rsid w:val="5A05FFD2"/>
    <w:rsid w:val="5A8348E5"/>
    <w:rsid w:val="5ADFB68C"/>
    <w:rsid w:val="5B0F43C4"/>
    <w:rsid w:val="5B105A71"/>
    <w:rsid w:val="5B6C3420"/>
    <w:rsid w:val="5B86B318"/>
    <w:rsid w:val="5BE5B075"/>
    <w:rsid w:val="5C101E41"/>
    <w:rsid w:val="5C87390C"/>
    <w:rsid w:val="5CEB6D62"/>
    <w:rsid w:val="5D30473E"/>
    <w:rsid w:val="5DBC9201"/>
    <w:rsid w:val="5DF1CCED"/>
    <w:rsid w:val="5FAB6CFA"/>
    <w:rsid w:val="602276AC"/>
    <w:rsid w:val="605903BE"/>
    <w:rsid w:val="60AF09FE"/>
    <w:rsid w:val="61B9E657"/>
    <w:rsid w:val="625B7DBE"/>
    <w:rsid w:val="6285B8B9"/>
    <w:rsid w:val="629CF63E"/>
    <w:rsid w:val="62A2AA54"/>
    <w:rsid w:val="62B578C2"/>
    <w:rsid w:val="62FFB7C3"/>
    <w:rsid w:val="638922EC"/>
    <w:rsid w:val="6393BD3B"/>
    <w:rsid w:val="640321F6"/>
    <w:rsid w:val="643C8FDD"/>
    <w:rsid w:val="6528A7C8"/>
    <w:rsid w:val="6562F9D0"/>
    <w:rsid w:val="65677799"/>
    <w:rsid w:val="6577CB14"/>
    <w:rsid w:val="657D82F3"/>
    <w:rsid w:val="6592B9D9"/>
    <w:rsid w:val="65F1CA1E"/>
    <w:rsid w:val="661E77BC"/>
    <w:rsid w:val="662944DC"/>
    <w:rsid w:val="66B0204F"/>
    <w:rsid w:val="66C98D2D"/>
    <w:rsid w:val="676E9393"/>
    <w:rsid w:val="6857CEB2"/>
    <w:rsid w:val="692B78DC"/>
    <w:rsid w:val="6940AFC2"/>
    <w:rsid w:val="6958765E"/>
    <w:rsid w:val="69D202B8"/>
    <w:rsid w:val="6A2EE30F"/>
    <w:rsid w:val="6A464409"/>
    <w:rsid w:val="6A46A9AB"/>
    <w:rsid w:val="6A70B1D5"/>
    <w:rsid w:val="6AF1D41C"/>
    <w:rsid w:val="6BEDCB2E"/>
    <w:rsid w:val="6C3B642E"/>
    <w:rsid w:val="6C97249F"/>
    <w:rsid w:val="6CF9D772"/>
    <w:rsid w:val="6D0EA8B6"/>
    <w:rsid w:val="6D9D5159"/>
    <w:rsid w:val="6DE3E677"/>
    <w:rsid w:val="6DF49F94"/>
    <w:rsid w:val="6DF9F1D1"/>
    <w:rsid w:val="6E0F28B7"/>
    <w:rsid w:val="6E4430D2"/>
    <w:rsid w:val="6EBFD4B6"/>
    <w:rsid w:val="6F1292EA"/>
    <w:rsid w:val="6FFDD0DF"/>
    <w:rsid w:val="711901AE"/>
    <w:rsid w:val="716E5FD0"/>
    <w:rsid w:val="71DF7F8B"/>
    <w:rsid w:val="71ECDEA9"/>
    <w:rsid w:val="7295E836"/>
    <w:rsid w:val="72C02331"/>
    <w:rsid w:val="72DB11F6"/>
    <w:rsid w:val="734EE4CD"/>
    <w:rsid w:val="73968FE2"/>
    <w:rsid w:val="73DE1687"/>
    <w:rsid w:val="74C6F797"/>
    <w:rsid w:val="7516BBA6"/>
    <w:rsid w:val="75A026CF"/>
    <w:rsid w:val="75A246FB"/>
    <w:rsid w:val="75CD2451"/>
    <w:rsid w:val="75CF2727"/>
    <w:rsid w:val="75E4EAED"/>
    <w:rsid w:val="76A8A643"/>
    <w:rsid w:val="775C4C67"/>
    <w:rsid w:val="777478A5"/>
    <w:rsid w:val="778F01C8"/>
    <w:rsid w:val="77C3A441"/>
    <w:rsid w:val="77D39315"/>
    <w:rsid w:val="77D6B018"/>
    <w:rsid w:val="7965B083"/>
    <w:rsid w:val="799D7B25"/>
    <w:rsid w:val="7A422F8F"/>
    <w:rsid w:val="7A588A51"/>
    <w:rsid w:val="7B6CB7BA"/>
    <w:rsid w:val="7BCCC41E"/>
    <w:rsid w:val="7C22F580"/>
    <w:rsid w:val="7C4A9691"/>
    <w:rsid w:val="7C5A8565"/>
    <w:rsid w:val="7C6FBC4B"/>
    <w:rsid w:val="7C77F9B5"/>
    <w:rsid w:val="7CB42A23"/>
    <w:rsid w:val="7D5B5FE2"/>
    <w:rsid w:val="7E04696F"/>
    <w:rsid w:val="7E6159CB"/>
    <w:rsid w:val="7ED8C91F"/>
    <w:rsid w:val="7F4A080A"/>
    <w:rsid w:val="7F66F9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FD2268"/>
  <w15:docId w15:val="{B7918163-7470-4CC6-930A-F1691F09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61"/>
      <w:ind w:left="220"/>
      <w:outlineLvl w:val="0"/>
    </w:pPr>
    <w:rPr>
      <w:rFonts w:ascii="Calibri Light" w:eastAsia="Calibri Light" w:hAnsi="Calibri Light" w:cs="Calibri Light"/>
      <w:sz w:val="28"/>
      <w:szCs w:val="28"/>
    </w:rPr>
  </w:style>
  <w:style w:type="paragraph" w:styleId="Heading2">
    <w:name w:val="heading 2"/>
    <w:basedOn w:val="Normal"/>
    <w:uiPriority w:val="9"/>
    <w:unhideWhenUsed/>
    <w:qFormat/>
    <w:pPr>
      <w:ind w:left="940"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220"/>
    </w:pPr>
    <w:rPr>
      <w:sz w:val="24"/>
      <w:szCs w:val="24"/>
    </w:rPr>
  </w:style>
  <w:style w:type="paragraph" w:styleId="ListParagraph">
    <w:name w:val="List Paragraph"/>
    <w:basedOn w:val="Normal"/>
    <w:uiPriority w:val="1"/>
    <w:qFormat/>
    <w:pPr>
      <w:spacing w:before="24"/>
      <w:ind w:left="940" w:hanging="361"/>
    </w:pPr>
  </w:style>
  <w:style w:type="paragraph" w:customStyle="1" w:styleId="TableParagraph">
    <w:name w:val="Table Paragraph"/>
    <w:basedOn w:val="Normal"/>
    <w:uiPriority w:val="1"/>
    <w:qFormat/>
    <w:pPr>
      <w:spacing w:line="292" w:lineRule="exact"/>
      <w:ind w:left="142"/>
      <w:jc w:val="center"/>
    </w:pPr>
  </w:style>
  <w:style w:type="paragraph" w:styleId="Header">
    <w:name w:val="header"/>
    <w:basedOn w:val="Normal"/>
    <w:link w:val="HeaderChar"/>
    <w:uiPriority w:val="99"/>
    <w:unhideWhenUsed/>
    <w:rsid w:val="00C663B9"/>
    <w:pPr>
      <w:tabs>
        <w:tab w:val="center" w:pos="4680"/>
        <w:tab w:val="right" w:pos="9360"/>
      </w:tabs>
    </w:pPr>
  </w:style>
  <w:style w:type="character" w:customStyle="1" w:styleId="HeaderChar">
    <w:name w:val="Header Char"/>
    <w:basedOn w:val="DefaultParagraphFont"/>
    <w:link w:val="Header"/>
    <w:uiPriority w:val="99"/>
    <w:rsid w:val="00C663B9"/>
    <w:rPr>
      <w:rFonts w:ascii="Calibri" w:eastAsia="Calibri" w:hAnsi="Calibri" w:cs="Calibri"/>
    </w:rPr>
  </w:style>
  <w:style w:type="paragraph" w:styleId="Footer">
    <w:name w:val="footer"/>
    <w:basedOn w:val="Normal"/>
    <w:link w:val="FooterChar"/>
    <w:uiPriority w:val="99"/>
    <w:unhideWhenUsed/>
    <w:rsid w:val="00C663B9"/>
    <w:pPr>
      <w:tabs>
        <w:tab w:val="center" w:pos="4680"/>
        <w:tab w:val="right" w:pos="9360"/>
      </w:tabs>
    </w:pPr>
  </w:style>
  <w:style w:type="character" w:customStyle="1" w:styleId="FooterChar">
    <w:name w:val="Footer Char"/>
    <w:basedOn w:val="DefaultParagraphFont"/>
    <w:link w:val="Footer"/>
    <w:uiPriority w:val="99"/>
    <w:rsid w:val="00C663B9"/>
    <w:rPr>
      <w:rFonts w:ascii="Calibri" w:eastAsia="Calibri" w:hAnsi="Calibri" w:cs="Calibri"/>
    </w:rPr>
  </w:style>
  <w:style w:type="paragraph" w:styleId="BalloonText">
    <w:name w:val="Balloon Text"/>
    <w:basedOn w:val="Normal"/>
    <w:link w:val="BalloonTextChar"/>
    <w:uiPriority w:val="99"/>
    <w:semiHidden/>
    <w:unhideWhenUsed/>
    <w:rsid w:val="004D38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830"/>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DB1B4C"/>
    <w:rPr>
      <w:sz w:val="20"/>
      <w:szCs w:val="20"/>
    </w:rPr>
  </w:style>
  <w:style w:type="character" w:customStyle="1" w:styleId="FootnoteTextChar">
    <w:name w:val="Footnote Text Char"/>
    <w:basedOn w:val="DefaultParagraphFont"/>
    <w:link w:val="FootnoteText"/>
    <w:uiPriority w:val="99"/>
    <w:semiHidden/>
    <w:rsid w:val="00DB1B4C"/>
    <w:rPr>
      <w:rFonts w:ascii="Calibri" w:eastAsia="Calibri" w:hAnsi="Calibri" w:cs="Calibri"/>
      <w:sz w:val="20"/>
      <w:szCs w:val="20"/>
    </w:rPr>
  </w:style>
  <w:style w:type="character" w:styleId="FootnoteReference">
    <w:name w:val="footnote reference"/>
    <w:basedOn w:val="DefaultParagraphFont"/>
    <w:uiPriority w:val="99"/>
    <w:semiHidden/>
    <w:unhideWhenUsed/>
    <w:rsid w:val="00DB1B4C"/>
    <w:rPr>
      <w:vertAlign w:val="superscript"/>
    </w:rPr>
  </w:style>
  <w:style w:type="character" w:styleId="CommentReference">
    <w:name w:val="annotation reference"/>
    <w:basedOn w:val="DefaultParagraphFont"/>
    <w:uiPriority w:val="99"/>
    <w:semiHidden/>
    <w:unhideWhenUsed/>
    <w:rsid w:val="00FE50E4"/>
    <w:rPr>
      <w:sz w:val="16"/>
      <w:szCs w:val="16"/>
    </w:rPr>
  </w:style>
  <w:style w:type="paragraph" w:styleId="CommentText">
    <w:name w:val="annotation text"/>
    <w:basedOn w:val="Normal"/>
    <w:link w:val="CommentTextChar"/>
    <w:uiPriority w:val="99"/>
    <w:semiHidden/>
    <w:unhideWhenUsed/>
    <w:rsid w:val="00FE50E4"/>
    <w:rPr>
      <w:sz w:val="20"/>
      <w:szCs w:val="20"/>
    </w:rPr>
  </w:style>
  <w:style w:type="character" w:customStyle="1" w:styleId="CommentTextChar">
    <w:name w:val="Comment Text Char"/>
    <w:basedOn w:val="DefaultParagraphFont"/>
    <w:link w:val="CommentText"/>
    <w:uiPriority w:val="99"/>
    <w:semiHidden/>
    <w:rsid w:val="00FE50E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E50E4"/>
    <w:rPr>
      <w:b/>
      <w:bCs/>
    </w:rPr>
  </w:style>
  <w:style w:type="character" w:customStyle="1" w:styleId="CommentSubjectChar">
    <w:name w:val="Comment Subject Char"/>
    <w:basedOn w:val="CommentTextChar"/>
    <w:link w:val="CommentSubject"/>
    <w:uiPriority w:val="99"/>
    <w:semiHidden/>
    <w:rsid w:val="00FE50E4"/>
    <w:rPr>
      <w:rFonts w:ascii="Calibri" w:eastAsia="Calibri" w:hAnsi="Calibri" w:cs="Calibri"/>
      <w:b/>
      <w:bCs/>
      <w:sz w:val="20"/>
      <w:szCs w:val="20"/>
    </w:rPr>
  </w:style>
  <w:style w:type="character" w:styleId="Hyperlink">
    <w:name w:val="Hyperlink"/>
    <w:basedOn w:val="DefaultParagraphFont"/>
    <w:uiPriority w:val="99"/>
    <w:unhideWhenUsed/>
    <w:rsid w:val="00E052A5"/>
    <w:rPr>
      <w:color w:val="0000FF" w:themeColor="hyperlink"/>
      <w:u w:val="single"/>
    </w:rPr>
  </w:style>
  <w:style w:type="character" w:styleId="UnresolvedMention">
    <w:name w:val="Unresolved Mention"/>
    <w:basedOn w:val="DefaultParagraphFont"/>
    <w:uiPriority w:val="99"/>
    <w:unhideWhenUsed/>
    <w:rsid w:val="00E052A5"/>
    <w:rPr>
      <w:color w:val="605E5C"/>
      <w:shd w:val="clear" w:color="auto" w:fill="E1DFDD"/>
    </w:rPr>
  </w:style>
  <w:style w:type="paragraph" w:styleId="Revision">
    <w:name w:val="Revision"/>
    <w:hidden/>
    <w:uiPriority w:val="99"/>
    <w:semiHidden/>
    <w:rsid w:val="00AA1093"/>
    <w:pPr>
      <w:widowControl/>
      <w:autoSpaceDE/>
      <w:autoSpaceDN/>
    </w:pPr>
    <w:rPr>
      <w:rFonts w:ascii="Calibri" w:eastAsia="Calibri" w:hAnsi="Calibri" w:cs="Calibri"/>
    </w:rPr>
  </w:style>
  <w:style w:type="character" w:styleId="Mention">
    <w:name w:val="Mention"/>
    <w:basedOn w:val="DefaultParagraphFont"/>
    <w:uiPriority w:val="99"/>
    <w:unhideWhenUsed/>
    <w:rsid w:val="00FD72A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regon.gov/oha/HPA/dsi-tc/Pages/chachp-technical-assistance.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ExpirationDate xmlns="59da1016-2a1b-4f8a-9768-d7a4932f6f16" xsi:nil="true"/>
    <URL xmlns="http://schemas.microsoft.com/sharepoint/v3">
      <Url>https://www.oregon.gov/oha/HPA/dsi-tc/Documents/CCO-Guidance-CHA-CHP%202022.docx</Url>
      <Description>CCO-Guidance-CHA-CHP 2022</Description>
    </URL>
    <Meta_x0020_Description xmlns="e5f1ac6e-e8e1-4751-aa4e-20d14744385a">CCO-Guidance-CHA-CHP 2022</Meta_x0020_Description>
    <PublishingExpirationDate xmlns="http://schemas.microsoft.com/sharepoint/v3" xsi:nil="true"/>
    <PublishingStartDate xmlns="http://schemas.microsoft.com/sharepoint/v3" xsi:nil="true"/>
    <Meta_x0020_Keywords xmlns="e5f1ac6e-e8e1-4751-aa4e-20d14744385a">CCO-Guidance-CHA-CHP 2022</Meta_x0020_Keyword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1677473FA22F4D84A2424E1006D7E0" ma:contentTypeVersion="18" ma:contentTypeDescription="Create a new document." ma:contentTypeScope="" ma:versionID="1d1e569fdc6b9e976cc03a2f07043bf9">
  <xsd:schema xmlns:xsd="http://www.w3.org/2001/XMLSchema" xmlns:xs="http://www.w3.org/2001/XMLSchema" xmlns:p="http://schemas.microsoft.com/office/2006/metadata/properties" xmlns:ns1="http://schemas.microsoft.com/sharepoint/v3" xmlns:ns2="e5f1ac6e-e8e1-4751-aa4e-20d14744385a" xmlns:ns3="59da1016-2a1b-4f8a-9768-d7a4932f6f16" targetNamespace="http://schemas.microsoft.com/office/2006/metadata/properties" ma:root="true" ma:fieldsID="90756af6c6ed2a9854526670b4dc5b3e" ns1:_="" ns2:_="" ns3:_="">
    <xsd:import namespace="http://schemas.microsoft.com/sharepoint/v3"/>
    <xsd:import namespace="e5f1ac6e-e8e1-4751-aa4e-20d14744385a"/>
    <xsd:import namespace="59da1016-2a1b-4f8a-9768-d7a4932f6f16"/>
    <xsd:element name="properties">
      <xsd:complexType>
        <xsd:sequence>
          <xsd:element name="documentManagement">
            <xsd:complexType>
              <xsd:all>
                <xsd:element ref="ns2:Meta_x0020_Description"/>
                <xsd:element ref="ns2:Meta_x0020_Keywords"/>
                <xsd:element ref="ns1:PublishingStartDate" minOccurs="0"/>
                <xsd:element ref="ns1:PublishingExpirationDate" minOccurs="0"/>
                <xsd:element ref="ns1:URL" minOccurs="0"/>
                <xsd:element ref="ns3:Document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8"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f1ac6e-e8e1-4751-aa4e-20d14744385a" elementFormDefault="qualified">
    <xsd:import namespace="http://schemas.microsoft.com/office/2006/documentManagement/types"/>
    <xsd:import namespace="http://schemas.microsoft.com/office/infopath/2007/PartnerControls"/>
    <xsd:element name="Meta_x0020_Description" ma:index="4" ma:displayName="Meta Description" ma:internalName="Meta_x0020_Description" ma:readOnly="false">
      <xsd:simpleType>
        <xsd:restriction base="dms:Text"/>
      </xsd:simpleType>
    </xsd:element>
    <xsd:element name="Meta_x0020_Keywords" ma:index="5" ma:displayName="Meta Keywords" ma:internalName="Meta_x0020_Keyword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DocumentExpirationDate" ma:index="9" nillable="true" ma:displayName="Document Expiration Date" ma:format="DateOnly" ma:internalName="DocumentExpirationDate" ma:readOnly="false">
      <xsd:simpleType>
        <xsd:restriction base="dms:DateTime"/>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DCD6C-72D0-4139-8007-87D0F0C0D9AF}">
  <ds:schemaRefs>
    <ds:schemaRef ds:uri="http://schemas.microsoft.com/sharepoint/v3/contenttype/forms"/>
  </ds:schemaRefs>
</ds:datastoreItem>
</file>

<file path=customXml/itemProps2.xml><?xml version="1.0" encoding="utf-8"?>
<ds:datastoreItem xmlns:ds="http://schemas.openxmlformats.org/officeDocument/2006/customXml" ds:itemID="{B0638635-11F0-4BDC-9930-C7AC6C7E2BF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227f4e8-77f4-4d3a-b9fa-a94b95c18dca"/>
    <ds:schemaRef ds:uri="http://purl.org/dc/elements/1.1/"/>
    <ds:schemaRef ds:uri="http://schemas.microsoft.com/office/2006/metadata/properties"/>
    <ds:schemaRef ds:uri="199ca11f-b724-41ce-a7e5-e46f34aa8d00"/>
    <ds:schemaRef ds:uri="http://www.w3.org/XML/1998/namespace"/>
    <ds:schemaRef ds:uri="http://purl.org/dc/dcmitype/"/>
  </ds:schemaRefs>
</ds:datastoreItem>
</file>

<file path=customXml/itemProps3.xml><?xml version="1.0" encoding="utf-8"?>
<ds:datastoreItem xmlns:ds="http://schemas.openxmlformats.org/officeDocument/2006/customXml" ds:itemID="{21B4BAF8-2C89-4416-8A30-DDC829C00005}"/>
</file>

<file path=customXml/itemProps4.xml><?xml version="1.0" encoding="utf-8"?>
<ds:datastoreItem xmlns:ds="http://schemas.openxmlformats.org/officeDocument/2006/customXml" ds:itemID="{E797D1A3-68A1-44A6-B93C-362334B6B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1310</Words>
  <Characters>7472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CCO-Guidance-CHA-CHP 2022</dc:title>
  <dc:subject/>
  <dc:creator>Anona E Gund</dc:creator>
  <cp:keywords/>
  <cp:lastModifiedBy>Cogswell Thomas</cp:lastModifiedBy>
  <cp:revision>2</cp:revision>
  <dcterms:created xsi:type="dcterms:W3CDTF">2022-03-25T14:32:00Z</dcterms:created>
  <dcterms:modified xsi:type="dcterms:W3CDTF">2022-03-25T14:32:00Z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2019-10-17T00:00:00Z</vt:filetime>
  </property>
  <property fmtid="{D5CDD505-2E9C-101B-9397-08002B2CF9AE}" pid="3" name="Creator">
    <vt:lpwstr>Microsoft® Word 2013</vt:lpwstr>
  </property>
  <property fmtid="{D5CDD505-2E9C-101B-9397-08002B2CF9AE}" pid="4" name="LastSaved">
    <vt:filetime>2022-02-15T00:00:00Z</vt:filetime>
  </property>
  <property fmtid="{D5CDD505-2E9C-101B-9397-08002B2CF9AE}" pid="5" name="ContentTypeId">
    <vt:lpwstr>0x0101004A1677473FA22F4D84A2424E1006D7E0</vt:lpwstr>
  </property>
  <property fmtid="{D5CDD505-2E9C-101B-9397-08002B2CF9AE}" pid="6" name="WorkflowChangePath">
    <vt:lpwstr>94a13aca-3094-49fd-9950-7513a1911c7a,4;</vt:lpwstr>
  </property>
</Properties>
</file>