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96FF9" w14:textId="77777777" w:rsidR="002E7D8E" w:rsidRDefault="002E7D8E" w:rsidP="004155B2">
      <w:pPr>
        <w:spacing w:line="276" w:lineRule="auto"/>
        <w:jc w:val="center"/>
        <w:outlineLvl w:val="0"/>
        <w:rPr>
          <w:b/>
          <w:sz w:val="28"/>
          <w:szCs w:val="24"/>
        </w:rPr>
      </w:pPr>
    </w:p>
    <w:p w14:paraId="2919A443" w14:textId="77777777" w:rsidR="002E7D8E" w:rsidRDefault="002E7D8E" w:rsidP="004155B2">
      <w:pPr>
        <w:spacing w:line="276" w:lineRule="auto"/>
        <w:jc w:val="center"/>
        <w:outlineLvl w:val="0"/>
        <w:rPr>
          <w:b/>
          <w:sz w:val="28"/>
          <w:szCs w:val="24"/>
        </w:rPr>
      </w:pPr>
    </w:p>
    <w:p w14:paraId="7DB7E2FC" w14:textId="77777777" w:rsidR="00407A0F" w:rsidRPr="00093342" w:rsidRDefault="00407A0F" w:rsidP="004155B2">
      <w:pPr>
        <w:spacing w:line="276" w:lineRule="auto"/>
        <w:jc w:val="center"/>
        <w:outlineLvl w:val="0"/>
        <w:rPr>
          <w:b/>
          <w:sz w:val="28"/>
          <w:szCs w:val="24"/>
        </w:rPr>
      </w:pPr>
      <w:r w:rsidRPr="00093342">
        <w:rPr>
          <w:b/>
          <w:sz w:val="28"/>
          <w:szCs w:val="24"/>
        </w:rPr>
        <w:t>Primary Care Payment Reform Collaborative</w:t>
      </w:r>
    </w:p>
    <w:p w14:paraId="1BE9335D" w14:textId="1B1C3054" w:rsidR="00407A0F" w:rsidRPr="00E64B01" w:rsidRDefault="00407A0F" w:rsidP="00E64B01">
      <w:pPr>
        <w:spacing w:line="276" w:lineRule="auto"/>
        <w:jc w:val="center"/>
        <w:outlineLvl w:val="0"/>
        <w:rPr>
          <w:b/>
          <w:bCs/>
          <w:sz w:val="24"/>
        </w:rPr>
      </w:pPr>
      <w:r w:rsidRPr="00093342">
        <w:rPr>
          <w:b/>
          <w:bCs/>
          <w:sz w:val="24"/>
        </w:rPr>
        <w:t xml:space="preserve">Recommendations </w:t>
      </w:r>
      <w:r w:rsidR="007505A7">
        <w:rPr>
          <w:b/>
          <w:bCs/>
          <w:sz w:val="24"/>
        </w:rPr>
        <w:t>to</w:t>
      </w:r>
      <w:r w:rsidR="0095791A" w:rsidRPr="00093342">
        <w:rPr>
          <w:b/>
          <w:bCs/>
          <w:sz w:val="24"/>
        </w:rPr>
        <w:t xml:space="preserve"> the Oregon Health Policy Board</w:t>
      </w:r>
    </w:p>
    <w:p w14:paraId="444D2356" w14:textId="77777777" w:rsidR="00C9024F" w:rsidRDefault="00C9024F" w:rsidP="004155B2">
      <w:pPr>
        <w:spacing w:line="276" w:lineRule="auto"/>
        <w:jc w:val="center"/>
        <w:rPr>
          <w:b/>
          <w:bCs/>
          <w:sz w:val="24"/>
        </w:rPr>
      </w:pPr>
    </w:p>
    <w:p w14:paraId="5C642F94" w14:textId="06B4A0B9" w:rsidR="00407A0F" w:rsidRPr="00093342" w:rsidRDefault="00DF7B28" w:rsidP="004155B2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bCs/>
          <w:sz w:val="24"/>
        </w:rPr>
        <w:t>December 6</w:t>
      </w:r>
      <w:r w:rsidR="006B1D86">
        <w:rPr>
          <w:b/>
          <w:bCs/>
          <w:sz w:val="24"/>
        </w:rPr>
        <w:t>, 2016</w:t>
      </w:r>
    </w:p>
    <w:p w14:paraId="3D804016" w14:textId="741C12C8" w:rsidR="009615BF" w:rsidRPr="005B5D0F" w:rsidRDefault="004F0474" w:rsidP="002E7D8E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4F0474">
        <w:rPr>
          <w:rFonts w:asciiTheme="minorHAnsi" w:hAnsiTheme="minorHAnsi" w:cstheme="minorHAnsi"/>
          <w:b/>
          <w:bCs/>
          <w:sz w:val="24"/>
          <w:szCs w:val="24"/>
        </w:rPr>
        <w:t>Recommendations</w:t>
      </w:r>
      <w:r w:rsidR="002E7D8E">
        <w:rPr>
          <w:rFonts w:asciiTheme="minorHAnsi" w:hAnsiTheme="minorHAnsi" w:cstheme="minorHAnsi"/>
          <w:b/>
          <w:bCs/>
          <w:sz w:val="24"/>
          <w:szCs w:val="24"/>
        </w:rPr>
        <w:t xml:space="preserve"> (Excerpt)</w:t>
      </w:r>
    </w:p>
    <w:p w14:paraId="3487AF2A" w14:textId="77777777" w:rsidR="005B5D0F" w:rsidRPr="002E7D8E" w:rsidRDefault="005B5D0F" w:rsidP="002E7D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A2B840" w14:textId="77777777" w:rsidR="007D13CE" w:rsidRPr="005C5466" w:rsidRDefault="009B1ED9" w:rsidP="004155B2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C5466">
        <w:rPr>
          <w:rFonts w:asciiTheme="minorHAnsi" w:hAnsiTheme="minorHAnsi" w:cstheme="minorHAnsi"/>
          <w:b/>
          <w:sz w:val="24"/>
          <w:szCs w:val="24"/>
        </w:rPr>
        <w:t>Payment M</w:t>
      </w:r>
      <w:r w:rsidR="007D13CE" w:rsidRPr="005C5466">
        <w:rPr>
          <w:rFonts w:asciiTheme="minorHAnsi" w:hAnsiTheme="minorHAnsi" w:cstheme="minorHAnsi"/>
          <w:b/>
          <w:sz w:val="24"/>
          <w:szCs w:val="24"/>
        </w:rPr>
        <w:t xml:space="preserve">odel </w:t>
      </w:r>
    </w:p>
    <w:p w14:paraId="60833F7F" w14:textId="77777777" w:rsidR="007D13CE" w:rsidRDefault="007D13CE" w:rsidP="004155B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627D995" w14:textId="412A8817" w:rsidR="00843E5D" w:rsidRDefault="00602D0C" w:rsidP="004155B2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b/>
          <w:sz w:val="24"/>
          <w:szCs w:val="24"/>
        </w:rPr>
        <w:t xml:space="preserve">Goal: </w:t>
      </w:r>
      <w:r w:rsidRPr="00602D0C">
        <w:rPr>
          <w:rFonts w:asciiTheme="minorHAnsi" w:hAnsiTheme="minorHAnsi" w:cstheme="minorHAnsi"/>
          <w:sz w:val="24"/>
          <w:szCs w:val="24"/>
        </w:rPr>
        <w:t>Develop a multi-payer (Medicare, Medicaid, commercial, publicly funded and self-insured) primary care payment framework that fosters alignment of both</w:t>
      </w:r>
      <w:r w:rsidR="009B1ED9">
        <w:rPr>
          <w:rFonts w:asciiTheme="minorHAnsi" w:hAnsiTheme="minorHAnsi" w:cstheme="minorHAnsi"/>
          <w:sz w:val="24"/>
          <w:szCs w:val="24"/>
        </w:rPr>
        <w:t xml:space="preserve"> payment</w:t>
      </w:r>
      <w:r w:rsidR="00D767A7">
        <w:rPr>
          <w:rFonts w:asciiTheme="minorHAnsi" w:hAnsiTheme="minorHAnsi" w:cstheme="minorHAnsi"/>
          <w:sz w:val="24"/>
          <w:szCs w:val="24"/>
        </w:rPr>
        <w:t>-</w:t>
      </w:r>
      <w:r w:rsidR="009B1ED9">
        <w:rPr>
          <w:rFonts w:asciiTheme="minorHAnsi" w:hAnsiTheme="minorHAnsi" w:cstheme="minorHAnsi"/>
          <w:sz w:val="24"/>
          <w:szCs w:val="24"/>
        </w:rPr>
        <w:t xml:space="preserve"> and </w:t>
      </w:r>
      <w:r w:rsidRPr="00602D0C">
        <w:rPr>
          <w:rFonts w:asciiTheme="minorHAnsi" w:hAnsiTheme="minorHAnsi" w:cstheme="minorHAnsi"/>
          <w:sz w:val="24"/>
          <w:szCs w:val="24"/>
        </w:rPr>
        <w:t>performance</w:t>
      </w:r>
      <w:r w:rsidR="00D767A7">
        <w:rPr>
          <w:rFonts w:asciiTheme="minorHAnsi" w:hAnsiTheme="minorHAnsi" w:cstheme="minorHAnsi"/>
          <w:sz w:val="24"/>
          <w:szCs w:val="24"/>
        </w:rPr>
        <w:t>-</w:t>
      </w:r>
      <w:r w:rsidRPr="00602D0C">
        <w:rPr>
          <w:rFonts w:asciiTheme="minorHAnsi" w:hAnsiTheme="minorHAnsi" w:cstheme="minorHAnsi"/>
          <w:sz w:val="24"/>
          <w:szCs w:val="24"/>
        </w:rPr>
        <w:t xml:space="preserve">incentive methodologies. </w:t>
      </w:r>
    </w:p>
    <w:p w14:paraId="61D2F8ED" w14:textId="77777777" w:rsidR="00D767A7" w:rsidRDefault="00D767A7" w:rsidP="00B5485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5A48718" w14:textId="77777777" w:rsidR="00602D0C" w:rsidRPr="00602D0C" w:rsidRDefault="00602D0C" w:rsidP="004F1659">
      <w:pPr>
        <w:spacing w:line="276" w:lineRule="auto"/>
        <w:ind w:firstLine="720"/>
        <w:rPr>
          <w:rFonts w:asciiTheme="minorHAnsi" w:hAnsiTheme="minorHAnsi" w:cstheme="minorHAnsi"/>
          <w:b/>
          <w:sz w:val="24"/>
          <w:szCs w:val="24"/>
        </w:rPr>
      </w:pPr>
      <w:r w:rsidRPr="00602D0C">
        <w:rPr>
          <w:rFonts w:asciiTheme="minorHAnsi" w:hAnsiTheme="minorHAnsi" w:cstheme="minorHAnsi"/>
          <w:b/>
          <w:sz w:val="24"/>
          <w:szCs w:val="24"/>
        </w:rPr>
        <w:t>Assumptions for payment model recommendati</w:t>
      </w:r>
      <w:r w:rsidR="007D13CE">
        <w:rPr>
          <w:rFonts w:asciiTheme="minorHAnsi" w:hAnsiTheme="minorHAnsi" w:cstheme="minorHAnsi"/>
          <w:b/>
          <w:sz w:val="24"/>
          <w:szCs w:val="24"/>
        </w:rPr>
        <w:t>on</w:t>
      </w:r>
    </w:p>
    <w:p w14:paraId="43DF8C3E" w14:textId="77777777" w:rsidR="00602D0C" w:rsidRPr="00602D0C" w:rsidRDefault="00602D0C" w:rsidP="004155B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2140F58" w14:textId="77777777" w:rsidR="00602D0C" w:rsidRPr="00CE3190" w:rsidRDefault="00A32406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Per-capita i</w:t>
      </w:r>
      <w:r w:rsidR="00602D0C" w:rsidRPr="00602D0C">
        <w:rPr>
          <w:rFonts w:asciiTheme="minorHAnsi" w:hAnsiTheme="minorHAnsi" w:cstheme="minorHAnsi"/>
          <w:sz w:val="24"/>
          <w:szCs w:val="24"/>
        </w:rPr>
        <w:t xml:space="preserve">nvestment in primary care in Oregon </w:t>
      </w:r>
      <w:r>
        <w:rPr>
          <w:rFonts w:asciiTheme="minorHAnsi" w:hAnsiTheme="minorHAnsi" w:cstheme="minorHAnsi"/>
          <w:sz w:val="24"/>
          <w:szCs w:val="24"/>
        </w:rPr>
        <w:t>will</w:t>
      </w:r>
      <w:r w:rsidRPr="00602D0C">
        <w:rPr>
          <w:rFonts w:asciiTheme="minorHAnsi" w:hAnsiTheme="minorHAnsi" w:cstheme="minorHAnsi"/>
          <w:sz w:val="24"/>
          <w:szCs w:val="24"/>
        </w:rPr>
        <w:t xml:space="preserve"> </w:t>
      </w:r>
      <w:r w:rsidR="00602D0C" w:rsidRPr="00602D0C">
        <w:rPr>
          <w:rFonts w:asciiTheme="minorHAnsi" w:hAnsiTheme="minorHAnsi" w:cstheme="minorHAnsi"/>
          <w:sz w:val="24"/>
          <w:szCs w:val="24"/>
        </w:rPr>
        <w:t>increase in the aggregate given that primary care has benefits including – but not limited to – avoiding higher-cost care. This should be accomplished without passing increased costs on to the consumer or increasing the total cost of care by more than a set</w:t>
      </w:r>
      <w:r w:rsidR="006451DD">
        <w:rPr>
          <w:rFonts w:asciiTheme="minorHAnsi" w:hAnsiTheme="minorHAnsi" w:cstheme="minorHAnsi"/>
          <w:sz w:val="24"/>
          <w:szCs w:val="24"/>
        </w:rPr>
        <w:t>,</w:t>
      </w:r>
      <w:r w:rsidR="00602D0C" w:rsidRPr="00602D0C">
        <w:rPr>
          <w:rFonts w:asciiTheme="minorHAnsi" w:hAnsiTheme="minorHAnsi" w:cstheme="minorHAnsi"/>
          <w:sz w:val="24"/>
          <w:szCs w:val="24"/>
        </w:rPr>
        <w:t xml:space="preserve"> </w:t>
      </w:r>
      <w:r w:rsidR="00EE00AE">
        <w:rPr>
          <w:rFonts w:asciiTheme="minorHAnsi" w:hAnsiTheme="minorHAnsi" w:cstheme="minorHAnsi"/>
          <w:sz w:val="24"/>
          <w:szCs w:val="24"/>
        </w:rPr>
        <w:t xml:space="preserve">sustainable </w:t>
      </w:r>
      <w:r w:rsidR="00602D0C" w:rsidRPr="00602D0C">
        <w:rPr>
          <w:rFonts w:asciiTheme="minorHAnsi" w:hAnsiTheme="minorHAnsi" w:cstheme="minorHAnsi"/>
          <w:sz w:val="24"/>
          <w:szCs w:val="24"/>
        </w:rPr>
        <w:t>rate. A return on investment from this strategy will take time</w:t>
      </w:r>
      <w:r w:rsidR="001E5CD0">
        <w:rPr>
          <w:rFonts w:asciiTheme="minorHAnsi" w:hAnsiTheme="minorHAnsi" w:cstheme="minorHAnsi"/>
          <w:sz w:val="24"/>
          <w:szCs w:val="24"/>
        </w:rPr>
        <w:t xml:space="preserve">. </w:t>
      </w:r>
      <w:r w:rsidR="00CE3190">
        <w:rPr>
          <w:rFonts w:asciiTheme="minorHAnsi" w:hAnsiTheme="minorHAnsi" w:cstheme="minorHAnsi"/>
          <w:sz w:val="24"/>
          <w:szCs w:val="24"/>
        </w:rPr>
        <w:t xml:space="preserve">Budgetary tradeoffs may have to be made in the near-term to avoid a fiscal impact on purchasers. </w:t>
      </w:r>
      <w:r w:rsidR="00602D0C" w:rsidRPr="00602D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9DA798" w14:textId="77777777" w:rsidR="00602D0C" w:rsidRPr="00602D0C" w:rsidRDefault="00602D0C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sz w:val="24"/>
          <w:szCs w:val="24"/>
        </w:rPr>
        <w:t xml:space="preserve">Investments in primary care need to include resources to build and sustain infrastructure and capacity, including coordinated technical assistance and data aggregation at the system-level, and quality improvement activities and support for population-based initiatives at the practice level. </w:t>
      </w:r>
    </w:p>
    <w:p w14:paraId="6933392C" w14:textId="184691A4" w:rsidR="00602D0C" w:rsidRPr="00602D0C" w:rsidRDefault="00602D0C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sz w:val="24"/>
          <w:szCs w:val="24"/>
        </w:rPr>
        <w:t>Payers and providers in Oregon will move away from a primarily fee-for-service system to a value-based payment approach that pays for advanced primary care</w:t>
      </w:r>
      <w:r w:rsidR="005658A5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Pr="00602D0C">
        <w:rPr>
          <w:rFonts w:asciiTheme="minorHAnsi" w:hAnsiTheme="minorHAnsi" w:cstheme="minorHAnsi"/>
          <w:sz w:val="24"/>
          <w:szCs w:val="24"/>
        </w:rPr>
        <w:t xml:space="preserve"> services and the infrastructure to provide these services to reward high-quality, cost-effective care.  </w:t>
      </w:r>
    </w:p>
    <w:p w14:paraId="6D254DB5" w14:textId="3C8D6ACA" w:rsidR="00602D0C" w:rsidRPr="00602D0C" w:rsidRDefault="00602D0C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sz w:val="24"/>
          <w:szCs w:val="24"/>
        </w:rPr>
        <w:t>A variety of certification programs, including the</w:t>
      </w:r>
      <w:r w:rsidR="005658A5">
        <w:rPr>
          <w:rFonts w:asciiTheme="minorHAnsi" w:hAnsiTheme="minorHAnsi" w:cstheme="minorHAnsi"/>
          <w:sz w:val="24"/>
          <w:szCs w:val="24"/>
        </w:rPr>
        <w:t xml:space="preserve"> </w:t>
      </w:r>
      <w:r w:rsidR="005658A5" w:rsidRPr="00602D0C">
        <w:rPr>
          <w:rFonts w:asciiTheme="minorHAnsi" w:hAnsiTheme="minorHAnsi" w:cstheme="minorHAnsi"/>
          <w:sz w:val="24"/>
          <w:szCs w:val="24"/>
        </w:rPr>
        <w:t xml:space="preserve">PCPCH Program </w:t>
      </w:r>
      <w:r w:rsidR="005658A5">
        <w:rPr>
          <w:rFonts w:asciiTheme="minorHAnsi" w:hAnsiTheme="minorHAnsi" w:cstheme="minorHAnsi"/>
          <w:sz w:val="24"/>
          <w:szCs w:val="24"/>
        </w:rPr>
        <w:t xml:space="preserve">and </w:t>
      </w:r>
      <w:r w:rsidR="005658A5" w:rsidRPr="00602D0C">
        <w:rPr>
          <w:rFonts w:asciiTheme="minorHAnsi" w:hAnsiTheme="minorHAnsi" w:cstheme="minorHAnsi"/>
          <w:sz w:val="24"/>
          <w:szCs w:val="24"/>
        </w:rPr>
        <w:t>N</w:t>
      </w:r>
      <w:r w:rsidR="005658A5">
        <w:rPr>
          <w:rFonts w:asciiTheme="minorHAnsi" w:hAnsiTheme="minorHAnsi" w:cstheme="minorHAnsi"/>
          <w:sz w:val="24"/>
          <w:szCs w:val="24"/>
        </w:rPr>
        <w:t>ational Committee for Quality Assurance Patient-Centered Medical Home Recognition (NCQA PCMH)</w:t>
      </w:r>
      <w:r w:rsidRPr="00602D0C">
        <w:rPr>
          <w:rFonts w:asciiTheme="minorHAnsi" w:hAnsiTheme="minorHAnsi" w:cstheme="minorHAnsi"/>
          <w:sz w:val="24"/>
          <w:szCs w:val="24"/>
        </w:rPr>
        <w:t xml:space="preserve"> can meet the requirements of advanced primary care.</w:t>
      </w:r>
    </w:p>
    <w:p w14:paraId="4B231B34" w14:textId="77777777" w:rsidR="00602D0C" w:rsidRPr="00602D0C" w:rsidRDefault="00602D0C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sz w:val="24"/>
          <w:szCs w:val="24"/>
        </w:rPr>
        <w:t>Primary care is defined, per SB 231, as family medicine, general internal medicine, naturopathic medicine, obstetrics and gynecology, pediatrics</w:t>
      </w:r>
      <w:r w:rsidR="006451DD">
        <w:rPr>
          <w:rFonts w:asciiTheme="minorHAnsi" w:hAnsiTheme="minorHAnsi" w:cstheme="minorHAnsi"/>
          <w:sz w:val="24"/>
          <w:szCs w:val="24"/>
        </w:rPr>
        <w:t>,</w:t>
      </w:r>
      <w:r w:rsidRPr="00602D0C">
        <w:rPr>
          <w:rFonts w:asciiTheme="minorHAnsi" w:hAnsiTheme="minorHAnsi" w:cstheme="minorHAnsi"/>
          <w:sz w:val="24"/>
          <w:szCs w:val="24"/>
        </w:rPr>
        <w:t xml:space="preserve"> or general psychiatry. Specialty psychiatric and specialty obstetric services are not part of the calculation of primary care investment (payers will report on these costs, but they will be tracked separately). </w:t>
      </w:r>
    </w:p>
    <w:p w14:paraId="1CD77CE0" w14:textId="77777777" w:rsidR="00602D0C" w:rsidRPr="00602D0C" w:rsidRDefault="00602D0C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sz w:val="24"/>
          <w:szCs w:val="24"/>
        </w:rPr>
        <w:t>Success for primary care payment reform innovation requires accountability, collaboration, alignment, and flexibility between all providers, payers and the state.</w:t>
      </w:r>
    </w:p>
    <w:p w14:paraId="11DE4ED5" w14:textId="77777777" w:rsidR="00602D0C" w:rsidRPr="00602D0C" w:rsidRDefault="00602D0C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sz w:val="24"/>
          <w:szCs w:val="24"/>
        </w:rPr>
        <w:lastRenderedPageBreak/>
        <w:t>Payments for primary care services, including value-based incentive payments</w:t>
      </w:r>
      <w:r w:rsidR="009B1ED9">
        <w:rPr>
          <w:rFonts w:asciiTheme="minorHAnsi" w:hAnsiTheme="minorHAnsi" w:cstheme="minorHAnsi"/>
          <w:sz w:val="24"/>
          <w:szCs w:val="24"/>
        </w:rPr>
        <w:t>,</w:t>
      </w:r>
      <w:r w:rsidRPr="00602D0C">
        <w:rPr>
          <w:rFonts w:asciiTheme="minorHAnsi" w:hAnsiTheme="minorHAnsi" w:cstheme="minorHAnsi"/>
          <w:sz w:val="24"/>
          <w:szCs w:val="24"/>
        </w:rPr>
        <w:t xml:space="preserve"> should </w:t>
      </w:r>
      <w:r w:rsidR="00F71540">
        <w:rPr>
          <w:rFonts w:asciiTheme="minorHAnsi" w:hAnsiTheme="minorHAnsi" w:cstheme="minorHAnsi"/>
          <w:sz w:val="24"/>
          <w:szCs w:val="24"/>
        </w:rPr>
        <w:t>align with payments to care teams</w:t>
      </w:r>
      <w:r w:rsidRPr="00602D0C">
        <w:rPr>
          <w:rFonts w:asciiTheme="minorHAnsi" w:hAnsiTheme="minorHAnsi" w:cstheme="minorHAnsi"/>
          <w:sz w:val="24"/>
          <w:szCs w:val="24"/>
        </w:rPr>
        <w:t xml:space="preserve">. Provider compensation models should support advanced primary care, include quality factors, and not depend solely on productivity </w:t>
      </w:r>
      <w:r w:rsidR="009B1ED9">
        <w:rPr>
          <w:rFonts w:asciiTheme="minorHAnsi" w:hAnsiTheme="minorHAnsi" w:cstheme="minorHAnsi"/>
          <w:sz w:val="24"/>
          <w:szCs w:val="24"/>
        </w:rPr>
        <w:t xml:space="preserve">(i.e., </w:t>
      </w:r>
      <w:r w:rsidRPr="00602D0C">
        <w:rPr>
          <w:rFonts w:asciiTheme="minorHAnsi" w:hAnsiTheme="minorHAnsi" w:cstheme="minorHAnsi"/>
          <w:sz w:val="24"/>
          <w:szCs w:val="24"/>
        </w:rPr>
        <w:t>face-to-face visits</w:t>
      </w:r>
      <w:r w:rsidR="009B1ED9">
        <w:rPr>
          <w:rFonts w:asciiTheme="minorHAnsi" w:hAnsiTheme="minorHAnsi" w:cstheme="minorHAnsi"/>
          <w:sz w:val="24"/>
          <w:szCs w:val="24"/>
        </w:rPr>
        <w:t>)</w:t>
      </w:r>
      <w:r w:rsidRPr="00602D0C">
        <w:rPr>
          <w:rFonts w:asciiTheme="minorHAnsi" w:hAnsiTheme="minorHAnsi" w:cstheme="minorHAnsi"/>
          <w:sz w:val="24"/>
          <w:szCs w:val="24"/>
        </w:rPr>
        <w:t>.</w:t>
      </w:r>
    </w:p>
    <w:p w14:paraId="1882F05D" w14:textId="77777777" w:rsidR="00602D0C" w:rsidRPr="00602D0C" w:rsidRDefault="00602D0C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sz w:val="24"/>
          <w:szCs w:val="24"/>
        </w:rPr>
        <w:t xml:space="preserve">Successful primary care payment reform must meet the medical, behavioral and social needs of diverse populations of patients and demonstrate financial sustainability across primary care practice settings. </w:t>
      </w:r>
    </w:p>
    <w:p w14:paraId="724BCEFD" w14:textId="77777777" w:rsidR="001E5CD0" w:rsidRDefault="00602D0C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sz w:val="24"/>
          <w:szCs w:val="24"/>
        </w:rPr>
        <w:t>Oregon’s multi-payer primary care payment framework must align with CMS’ CPC+ primary care payment framework while also supporting non-CPC+ populations and providers.</w:t>
      </w:r>
    </w:p>
    <w:p w14:paraId="6150AA62" w14:textId="04123444" w:rsidR="009C5368" w:rsidRPr="001E5CD0" w:rsidRDefault="006E3FDD" w:rsidP="004155B2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support </w:t>
      </w:r>
      <w:r w:rsidR="009C5368" w:rsidRPr="001E5CD0">
        <w:rPr>
          <w:rFonts w:asciiTheme="minorHAnsi" w:hAnsiTheme="minorHAnsi" w:cstheme="minorHAnsi"/>
          <w:sz w:val="24"/>
          <w:szCs w:val="24"/>
        </w:rPr>
        <w:t>improved care and accurate measurement</w:t>
      </w:r>
      <w:r>
        <w:rPr>
          <w:rFonts w:asciiTheme="minorHAnsi" w:hAnsiTheme="minorHAnsi" w:cstheme="minorHAnsi"/>
          <w:sz w:val="24"/>
          <w:szCs w:val="24"/>
        </w:rPr>
        <w:t>,</w:t>
      </w:r>
      <w:r w:rsidR="009C5368" w:rsidRPr="001E5CD0">
        <w:rPr>
          <w:rFonts w:asciiTheme="minorHAnsi" w:hAnsiTheme="minorHAnsi" w:cstheme="minorHAnsi"/>
          <w:sz w:val="24"/>
          <w:szCs w:val="24"/>
        </w:rPr>
        <w:t xml:space="preserve"> we should aspire to </w:t>
      </w:r>
      <w:r w:rsidR="006451DD">
        <w:rPr>
          <w:rFonts w:asciiTheme="minorHAnsi" w:hAnsiTheme="minorHAnsi" w:cstheme="minorHAnsi"/>
          <w:sz w:val="24"/>
          <w:szCs w:val="24"/>
        </w:rPr>
        <w:t xml:space="preserve">a </w:t>
      </w:r>
      <w:r w:rsidR="009C5368" w:rsidRPr="001E5CD0">
        <w:rPr>
          <w:rFonts w:asciiTheme="minorHAnsi" w:hAnsiTheme="minorHAnsi" w:cstheme="minorHAnsi"/>
          <w:sz w:val="24"/>
          <w:szCs w:val="24"/>
        </w:rPr>
        <w:t xml:space="preserve">transparent and aligned </w:t>
      </w:r>
      <w:r w:rsidR="00A32163">
        <w:rPr>
          <w:rFonts w:asciiTheme="minorHAnsi" w:hAnsiTheme="minorHAnsi" w:cstheme="minorHAnsi"/>
          <w:sz w:val="24"/>
          <w:szCs w:val="24"/>
        </w:rPr>
        <w:t xml:space="preserve">member </w:t>
      </w:r>
      <w:r w:rsidR="009C5368" w:rsidRPr="001E5CD0">
        <w:rPr>
          <w:rFonts w:asciiTheme="minorHAnsi" w:hAnsiTheme="minorHAnsi" w:cstheme="minorHAnsi"/>
          <w:sz w:val="24"/>
          <w:szCs w:val="24"/>
        </w:rPr>
        <w:t>attribution methodology and support dev</w:t>
      </w:r>
      <w:r>
        <w:rPr>
          <w:rFonts w:asciiTheme="minorHAnsi" w:hAnsiTheme="minorHAnsi" w:cstheme="minorHAnsi"/>
          <w:sz w:val="24"/>
          <w:szCs w:val="24"/>
        </w:rPr>
        <w:t>elopment of a proactive</w:t>
      </w:r>
      <w:r w:rsidR="006451D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patient-</w:t>
      </w:r>
      <w:r w:rsidR="009C5368" w:rsidRPr="001E5CD0">
        <w:rPr>
          <w:rFonts w:asciiTheme="minorHAnsi" w:hAnsiTheme="minorHAnsi" w:cstheme="minorHAnsi"/>
          <w:sz w:val="24"/>
          <w:szCs w:val="24"/>
        </w:rPr>
        <w:t xml:space="preserve">driven </w:t>
      </w:r>
      <w:r w:rsidR="006451DD">
        <w:rPr>
          <w:rFonts w:asciiTheme="minorHAnsi" w:hAnsiTheme="minorHAnsi" w:cstheme="minorHAnsi"/>
          <w:sz w:val="24"/>
          <w:szCs w:val="24"/>
        </w:rPr>
        <w:t>primary care provider</w:t>
      </w:r>
      <w:r w:rsidR="009C5368" w:rsidRPr="001E5CD0">
        <w:rPr>
          <w:rFonts w:asciiTheme="minorHAnsi" w:hAnsiTheme="minorHAnsi" w:cstheme="minorHAnsi"/>
          <w:sz w:val="24"/>
          <w:szCs w:val="24"/>
        </w:rPr>
        <w:t xml:space="preserve"> selection process.</w:t>
      </w:r>
    </w:p>
    <w:p w14:paraId="6EA54FC9" w14:textId="77777777" w:rsidR="006E3FDD" w:rsidRDefault="006E3FDD" w:rsidP="004155B2">
      <w:pPr>
        <w:spacing w:line="276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56F2B838" w14:textId="5E95D6DB" w:rsidR="00602D0C" w:rsidRPr="00602D0C" w:rsidRDefault="00E11B14" w:rsidP="004155B2">
      <w:pPr>
        <w:spacing w:line="276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Value-based payment d</w:t>
      </w:r>
      <w:r w:rsidR="00602D0C" w:rsidRPr="00602D0C">
        <w:rPr>
          <w:rFonts w:asciiTheme="minorHAnsi" w:hAnsiTheme="minorHAnsi" w:cstheme="minorHAnsi"/>
          <w:b/>
          <w:sz w:val="24"/>
          <w:szCs w:val="24"/>
        </w:rPr>
        <w:t>efinition</w:t>
      </w:r>
    </w:p>
    <w:p w14:paraId="38923341" w14:textId="77777777" w:rsidR="00602D0C" w:rsidRPr="00602D0C" w:rsidRDefault="00602D0C" w:rsidP="00415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C52891" w14:textId="07CD085D" w:rsidR="00602D0C" w:rsidRPr="005C5466" w:rsidRDefault="00E02B67" w:rsidP="004155B2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the purposes of this document</w:t>
      </w:r>
      <w:r w:rsidR="006451D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51DD" w:rsidRPr="00E11B14">
        <w:rPr>
          <w:rFonts w:asciiTheme="minorHAnsi" w:hAnsiTheme="minorHAnsi" w:cstheme="minorHAnsi"/>
          <w:sz w:val="24"/>
          <w:szCs w:val="24"/>
        </w:rPr>
        <w:t>v</w:t>
      </w:r>
      <w:r w:rsidRPr="00E11B14">
        <w:rPr>
          <w:rFonts w:asciiTheme="minorHAnsi" w:hAnsiTheme="minorHAnsi" w:cstheme="minorHAnsi"/>
          <w:sz w:val="24"/>
          <w:szCs w:val="24"/>
        </w:rPr>
        <w:t>alue-</w:t>
      </w:r>
      <w:r w:rsidR="006451DD" w:rsidRPr="00E11B14">
        <w:rPr>
          <w:rFonts w:asciiTheme="minorHAnsi" w:hAnsiTheme="minorHAnsi" w:cstheme="minorHAnsi"/>
          <w:sz w:val="24"/>
          <w:szCs w:val="24"/>
        </w:rPr>
        <w:t>b</w:t>
      </w:r>
      <w:r w:rsidRPr="00E11B14">
        <w:rPr>
          <w:rFonts w:asciiTheme="minorHAnsi" w:hAnsiTheme="minorHAnsi" w:cstheme="minorHAnsi"/>
          <w:sz w:val="24"/>
          <w:szCs w:val="24"/>
        </w:rPr>
        <w:t xml:space="preserve">ased </w:t>
      </w:r>
      <w:r w:rsidR="006451DD" w:rsidRPr="00E11B14">
        <w:rPr>
          <w:rFonts w:asciiTheme="minorHAnsi" w:hAnsiTheme="minorHAnsi" w:cstheme="minorHAnsi"/>
          <w:sz w:val="24"/>
          <w:szCs w:val="24"/>
        </w:rPr>
        <w:t>p</w:t>
      </w:r>
      <w:r w:rsidRPr="00E11B14">
        <w:rPr>
          <w:rFonts w:asciiTheme="minorHAnsi" w:hAnsiTheme="minorHAnsi" w:cstheme="minorHAnsi"/>
          <w:sz w:val="24"/>
          <w:szCs w:val="24"/>
        </w:rPr>
        <w:t xml:space="preserve">ayments </w:t>
      </w:r>
      <w:r w:rsidR="00F328E7" w:rsidRPr="00E11B14">
        <w:rPr>
          <w:rFonts w:asciiTheme="minorHAnsi" w:hAnsiTheme="minorHAnsi" w:cstheme="minorHAnsi"/>
          <w:sz w:val="24"/>
          <w:szCs w:val="24"/>
        </w:rPr>
        <w:t>(VBPs) are</w:t>
      </w:r>
      <w:r>
        <w:rPr>
          <w:rFonts w:asciiTheme="minorHAnsi" w:hAnsiTheme="minorHAnsi" w:cstheme="minorHAnsi"/>
          <w:sz w:val="24"/>
          <w:szCs w:val="24"/>
        </w:rPr>
        <w:t xml:space="preserve"> defined as</w:t>
      </w:r>
      <w:r w:rsidR="004F65BD">
        <w:rPr>
          <w:rFonts w:asciiTheme="minorHAnsi" w:hAnsiTheme="minorHAnsi" w:cstheme="minorHAnsi"/>
          <w:sz w:val="24"/>
          <w:szCs w:val="24"/>
        </w:rPr>
        <w:t xml:space="preserve"> </w:t>
      </w:r>
      <w:r w:rsidR="00602D0C" w:rsidRPr="005C5466">
        <w:rPr>
          <w:rFonts w:asciiTheme="minorHAnsi" w:hAnsiTheme="minorHAnsi" w:cstheme="minorHAnsi"/>
          <w:sz w:val="24"/>
          <w:szCs w:val="24"/>
        </w:rPr>
        <w:t>strategies used by payers to promote quality and</w:t>
      </w:r>
      <w:r w:rsidR="00602D0C" w:rsidRPr="005C5466">
        <w:t> </w:t>
      </w:r>
      <w:r w:rsidR="00602D0C" w:rsidRPr="005C5466">
        <w:rPr>
          <w:rFonts w:asciiTheme="minorHAnsi" w:hAnsiTheme="minorHAnsi" w:cstheme="minorHAnsi"/>
          <w:sz w:val="24"/>
          <w:szCs w:val="24"/>
        </w:rPr>
        <w:t>value</w:t>
      </w:r>
      <w:r w:rsidR="00602D0C" w:rsidRPr="005C5466">
        <w:t> </w:t>
      </w:r>
      <w:r w:rsidR="00602D0C" w:rsidRPr="005C5466">
        <w:rPr>
          <w:rFonts w:asciiTheme="minorHAnsi" w:hAnsiTheme="minorHAnsi" w:cstheme="minorHAnsi"/>
          <w:sz w:val="24"/>
          <w:szCs w:val="24"/>
        </w:rPr>
        <w:t>of health care services. The goal of any VBP is to shift from pure volume-based payment</w:t>
      </w:r>
      <w:r w:rsidR="006451DD">
        <w:rPr>
          <w:rFonts w:asciiTheme="minorHAnsi" w:hAnsiTheme="minorHAnsi" w:cstheme="minorHAnsi"/>
          <w:sz w:val="24"/>
          <w:szCs w:val="24"/>
        </w:rPr>
        <w:t>—</w:t>
      </w:r>
      <w:r w:rsidR="00602D0C" w:rsidRPr="005C5466">
        <w:rPr>
          <w:rFonts w:asciiTheme="minorHAnsi" w:hAnsiTheme="minorHAnsi" w:cstheme="minorHAnsi"/>
          <w:sz w:val="24"/>
          <w:szCs w:val="24"/>
        </w:rPr>
        <w:t>as exemplified by fee-for-service</w:t>
      </w:r>
      <w:r w:rsidR="00F328E7">
        <w:t xml:space="preserve"> </w:t>
      </w:r>
      <w:r w:rsidR="00602D0C" w:rsidRPr="005C5466">
        <w:rPr>
          <w:rFonts w:asciiTheme="minorHAnsi" w:hAnsiTheme="minorHAnsi" w:cstheme="minorHAnsi"/>
          <w:sz w:val="24"/>
          <w:szCs w:val="24"/>
        </w:rPr>
        <w:t>payments</w:t>
      </w:r>
      <w:r w:rsidR="006451DD">
        <w:t>—</w:t>
      </w:r>
      <w:r w:rsidR="00602D0C" w:rsidRPr="005C5466">
        <w:rPr>
          <w:rFonts w:asciiTheme="minorHAnsi" w:hAnsiTheme="minorHAnsi" w:cstheme="minorHAnsi"/>
          <w:sz w:val="24"/>
          <w:szCs w:val="24"/>
        </w:rPr>
        <w:t>to</w:t>
      </w:r>
      <w:r w:rsidR="00602D0C" w:rsidRPr="005C5466">
        <w:t> </w:t>
      </w:r>
      <w:r w:rsidR="00602D0C" w:rsidRPr="005C5466">
        <w:rPr>
          <w:rFonts w:asciiTheme="minorHAnsi" w:hAnsiTheme="minorHAnsi" w:cstheme="minorHAnsi"/>
          <w:sz w:val="24"/>
          <w:szCs w:val="24"/>
        </w:rPr>
        <w:t xml:space="preserve">payments that reward providers for improvements in quality, utilization, and health outcomes. </w:t>
      </w:r>
    </w:p>
    <w:p w14:paraId="35B2285B" w14:textId="77777777" w:rsidR="00602D0C" w:rsidRPr="005C5466" w:rsidRDefault="00602D0C" w:rsidP="004155B2">
      <w:pPr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0EC2F132" w14:textId="77777777" w:rsidR="00602D0C" w:rsidRPr="005C5466" w:rsidRDefault="00602D0C" w:rsidP="004155B2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C5466">
        <w:rPr>
          <w:rFonts w:asciiTheme="minorHAnsi" w:hAnsiTheme="minorHAnsi" w:cstheme="minorHAnsi"/>
          <w:sz w:val="24"/>
          <w:szCs w:val="24"/>
        </w:rPr>
        <w:t>Moving forward, the Collaborative will ensure that definitions are consistent with national efforts such as those used by the Health Care Payment Learning &amp; Action Network.</w:t>
      </w:r>
    </w:p>
    <w:p w14:paraId="67ABBF3D" w14:textId="77777777" w:rsidR="00602D0C" w:rsidRPr="00602D0C" w:rsidRDefault="00602D0C" w:rsidP="004155B2">
      <w:pPr>
        <w:spacing w:line="276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42D46A37" w14:textId="77777777" w:rsidR="00602D0C" w:rsidRPr="00602D0C" w:rsidRDefault="00602D0C" w:rsidP="004155B2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b/>
          <w:sz w:val="24"/>
          <w:szCs w:val="24"/>
        </w:rPr>
        <w:t xml:space="preserve">Potential payment model </w:t>
      </w:r>
    </w:p>
    <w:p w14:paraId="69FB9EC3" w14:textId="77777777" w:rsidR="00544063" w:rsidRDefault="00544063" w:rsidP="004155B2">
      <w:pPr>
        <w:tabs>
          <w:tab w:val="left" w:pos="379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88B00A" w14:textId="38B4960D" w:rsidR="00E11B14" w:rsidRDefault="00544063" w:rsidP="004155B2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602D0C">
        <w:rPr>
          <w:rFonts w:asciiTheme="minorHAnsi" w:hAnsiTheme="minorHAnsi" w:cstheme="minorHAnsi"/>
          <w:sz w:val="24"/>
          <w:szCs w:val="24"/>
        </w:rPr>
        <w:t>Over five years</w:t>
      </w:r>
      <w:r w:rsidR="006451DD">
        <w:rPr>
          <w:rFonts w:asciiTheme="minorHAnsi" w:hAnsiTheme="minorHAnsi" w:cstheme="minorHAnsi"/>
          <w:sz w:val="24"/>
          <w:szCs w:val="24"/>
        </w:rPr>
        <w:t>,</w:t>
      </w:r>
      <w:r w:rsidR="00E11B14">
        <w:rPr>
          <w:rFonts w:asciiTheme="minorHAnsi" w:hAnsiTheme="minorHAnsi" w:cstheme="minorHAnsi"/>
          <w:sz w:val="24"/>
          <w:szCs w:val="24"/>
        </w:rPr>
        <w:t xml:space="preserve"> </w:t>
      </w:r>
      <w:r w:rsidR="006451DD">
        <w:rPr>
          <w:rFonts w:asciiTheme="minorHAnsi" w:hAnsiTheme="minorHAnsi" w:cstheme="minorHAnsi"/>
          <w:sz w:val="24"/>
          <w:szCs w:val="24"/>
        </w:rPr>
        <w:t>a</w:t>
      </w:r>
      <w:r w:rsidRPr="005C5466">
        <w:rPr>
          <w:rFonts w:asciiTheme="minorHAnsi" w:hAnsiTheme="minorHAnsi" w:cstheme="minorHAnsi"/>
          <w:sz w:val="24"/>
          <w:szCs w:val="24"/>
        </w:rPr>
        <w:t xml:space="preserve">lign the payment </w:t>
      </w:r>
      <w:r w:rsidR="001E5CD0">
        <w:rPr>
          <w:rFonts w:asciiTheme="minorHAnsi" w:hAnsiTheme="minorHAnsi" w:cstheme="minorHAnsi"/>
          <w:sz w:val="24"/>
          <w:szCs w:val="24"/>
        </w:rPr>
        <w:t>models</w:t>
      </w:r>
      <w:r w:rsidR="001E5CD0" w:rsidRPr="005C5466">
        <w:rPr>
          <w:rFonts w:asciiTheme="minorHAnsi" w:hAnsiTheme="minorHAnsi" w:cstheme="minorHAnsi"/>
          <w:sz w:val="24"/>
          <w:szCs w:val="24"/>
        </w:rPr>
        <w:t xml:space="preserve"> </w:t>
      </w:r>
      <w:r w:rsidRPr="005C5466">
        <w:rPr>
          <w:rFonts w:asciiTheme="minorHAnsi" w:hAnsiTheme="minorHAnsi" w:cstheme="minorHAnsi"/>
          <w:sz w:val="24"/>
          <w:szCs w:val="24"/>
        </w:rPr>
        <w:t>for all Oregon payers as defined in SB 231 (</w:t>
      </w:r>
      <w:r w:rsidR="0013771B">
        <w:rPr>
          <w:rFonts w:asciiTheme="minorHAnsi" w:hAnsiTheme="minorHAnsi" w:cstheme="minorHAnsi"/>
          <w:sz w:val="24"/>
          <w:szCs w:val="24"/>
        </w:rPr>
        <w:t xml:space="preserve">prominent </w:t>
      </w:r>
      <w:r w:rsidR="00653F72">
        <w:rPr>
          <w:rFonts w:asciiTheme="minorHAnsi" w:hAnsiTheme="minorHAnsi" w:cstheme="minorHAnsi"/>
          <w:sz w:val="24"/>
          <w:szCs w:val="24"/>
        </w:rPr>
        <w:t xml:space="preserve">commercial carriers, </w:t>
      </w:r>
      <w:r w:rsidR="0013771B">
        <w:rPr>
          <w:rFonts w:asciiTheme="minorHAnsi" w:hAnsiTheme="minorHAnsi" w:cstheme="minorHAnsi"/>
          <w:sz w:val="24"/>
          <w:szCs w:val="24"/>
        </w:rPr>
        <w:t xml:space="preserve">prominent </w:t>
      </w:r>
      <w:r w:rsidR="00653F72">
        <w:rPr>
          <w:rFonts w:asciiTheme="minorHAnsi" w:hAnsiTheme="minorHAnsi" w:cstheme="minorHAnsi"/>
          <w:sz w:val="24"/>
          <w:szCs w:val="24"/>
        </w:rPr>
        <w:t>Medicare Advantage</w:t>
      </w:r>
      <w:r w:rsidRPr="005C5466">
        <w:rPr>
          <w:rFonts w:asciiTheme="minorHAnsi" w:hAnsiTheme="minorHAnsi" w:cstheme="minorHAnsi"/>
          <w:sz w:val="24"/>
          <w:szCs w:val="24"/>
        </w:rPr>
        <w:t xml:space="preserve"> carriers, Medicaid coordinate</w:t>
      </w:r>
      <w:r w:rsidR="006451DD">
        <w:rPr>
          <w:rFonts w:asciiTheme="minorHAnsi" w:hAnsiTheme="minorHAnsi" w:cstheme="minorHAnsi"/>
          <w:sz w:val="24"/>
          <w:szCs w:val="24"/>
        </w:rPr>
        <w:t>d</w:t>
      </w:r>
      <w:r w:rsidRPr="005C5466">
        <w:rPr>
          <w:rFonts w:asciiTheme="minorHAnsi" w:hAnsiTheme="minorHAnsi" w:cstheme="minorHAnsi"/>
          <w:sz w:val="24"/>
          <w:szCs w:val="24"/>
        </w:rPr>
        <w:t xml:space="preserve"> care organizations (CCOs), and health plans contracted with </w:t>
      </w:r>
      <w:r w:rsidR="00E11B14">
        <w:rPr>
          <w:rFonts w:asciiTheme="minorHAnsi" w:hAnsiTheme="minorHAnsi" w:cstheme="minorHAnsi"/>
          <w:sz w:val="24"/>
          <w:szCs w:val="24"/>
        </w:rPr>
        <w:t xml:space="preserve">the </w:t>
      </w:r>
      <w:r w:rsidRPr="005C5466">
        <w:rPr>
          <w:rFonts w:asciiTheme="minorHAnsi" w:hAnsiTheme="minorHAnsi" w:cstheme="minorHAnsi"/>
          <w:sz w:val="24"/>
          <w:szCs w:val="24"/>
        </w:rPr>
        <w:t xml:space="preserve">Public Employees Benefit Board (PEBB) and </w:t>
      </w:r>
      <w:r w:rsidR="00E11B14">
        <w:rPr>
          <w:rFonts w:asciiTheme="minorHAnsi" w:hAnsiTheme="minorHAnsi" w:cstheme="minorHAnsi"/>
          <w:sz w:val="24"/>
          <w:szCs w:val="24"/>
        </w:rPr>
        <w:t xml:space="preserve">the </w:t>
      </w:r>
      <w:r w:rsidRPr="005C5466">
        <w:rPr>
          <w:rFonts w:asciiTheme="minorHAnsi" w:hAnsiTheme="minorHAnsi" w:cstheme="minorHAnsi"/>
          <w:sz w:val="24"/>
          <w:szCs w:val="24"/>
        </w:rPr>
        <w:t>Oregon Educators Benefits Board (OEBB)</w:t>
      </w:r>
      <w:r w:rsidR="009010DC">
        <w:rPr>
          <w:rFonts w:asciiTheme="minorHAnsi" w:hAnsiTheme="minorHAnsi" w:cstheme="minorHAnsi"/>
          <w:sz w:val="24"/>
          <w:szCs w:val="24"/>
        </w:rPr>
        <w:t>)</w:t>
      </w:r>
      <w:r w:rsidRPr="005C5466">
        <w:rPr>
          <w:rFonts w:asciiTheme="minorHAnsi" w:hAnsiTheme="minorHAnsi" w:cstheme="minorHAnsi"/>
          <w:sz w:val="24"/>
          <w:szCs w:val="24"/>
        </w:rPr>
        <w:t>, all produc</w:t>
      </w:r>
      <w:r w:rsidRPr="00360988">
        <w:rPr>
          <w:rFonts w:asciiTheme="minorHAnsi" w:hAnsiTheme="minorHAnsi" w:cstheme="minorHAnsi"/>
          <w:sz w:val="24"/>
          <w:szCs w:val="24"/>
        </w:rPr>
        <w:t xml:space="preserve">ts and insured populations covered by those </w:t>
      </w:r>
      <w:r w:rsidR="006451DD" w:rsidRPr="00360988">
        <w:rPr>
          <w:rFonts w:asciiTheme="minorHAnsi" w:hAnsiTheme="minorHAnsi" w:cstheme="minorHAnsi"/>
          <w:sz w:val="24"/>
          <w:szCs w:val="24"/>
        </w:rPr>
        <w:t>payers</w:t>
      </w:r>
      <w:r w:rsidRPr="00360988">
        <w:rPr>
          <w:rFonts w:asciiTheme="minorHAnsi" w:hAnsiTheme="minorHAnsi" w:cstheme="minorHAnsi"/>
          <w:sz w:val="24"/>
          <w:szCs w:val="24"/>
        </w:rPr>
        <w:t>, and all primary care practices</w:t>
      </w:r>
      <w:r w:rsidR="00360988" w:rsidRPr="00360988">
        <w:rPr>
          <w:rFonts w:asciiTheme="minorHAnsi" w:hAnsiTheme="minorHAnsi" w:cstheme="minorHAnsi"/>
          <w:sz w:val="24"/>
          <w:szCs w:val="24"/>
        </w:rPr>
        <w:t xml:space="preserve"> </w:t>
      </w:r>
      <w:r w:rsidR="00360988" w:rsidRPr="00360988">
        <w:rPr>
          <w:rFonts w:cstheme="minorHAnsi"/>
          <w:sz w:val="24"/>
          <w:szCs w:val="24"/>
        </w:rPr>
        <w:t>recognized as providing advanced primary care: PCPCHs or clinics recognized as NCQA PCMHs</w:t>
      </w:r>
      <w:r w:rsidRPr="005C5466">
        <w:rPr>
          <w:rFonts w:asciiTheme="minorHAnsi" w:hAnsiTheme="minorHAnsi" w:cstheme="minorHAnsi"/>
          <w:sz w:val="24"/>
          <w:szCs w:val="24"/>
        </w:rPr>
        <w:t>. Specifically:</w:t>
      </w:r>
    </w:p>
    <w:p w14:paraId="291F517D" w14:textId="018649B1" w:rsidR="00E11B14" w:rsidRPr="00E11B14" w:rsidRDefault="00544063" w:rsidP="004155B2">
      <w:pPr>
        <w:pStyle w:val="ListParagraph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11B14">
        <w:rPr>
          <w:rFonts w:asciiTheme="minorHAnsi" w:hAnsiTheme="minorHAnsi" w:cstheme="minorHAnsi"/>
          <w:sz w:val="24"/>
          <w:szCs w:val="24"/>
        </w:rPr>
        <w:t xml:space="preserve">All payers </w:t>
      </w:r>
      <w:r w:rsidR="00FF2A37" w:rsidRPr="00E11B14">
        <w:rPr>
          <w:rFonts w:asciiTheme="minorHAnsi" w:hAnsiTheme="minorHAnsi" w:cstheme="minorHAnsi"/>
          <w:sz w:val="24"/>
          <w:szCs w:val="24"/>
        </w:rPr>
        <w:t xml:space="preserve">will </w:t>
      </w:r>
      <w:r w:rsidRPr="00E11B14">
        <w:rPr>
          <w:rFonts w:asciiTheme="minorHAnsi" w:hAnsiTheme="minorHAnsi" w:cstheme="minorHAnsi"/>
          <w:sz w:val="24"/>
          <w:szCs w:val="24"/>
        </w:rPr>
        <w:t>meet primary care spen</w:t>
      </w:r>
      <w:r w:rsidR="00533AF9">
        <w:rPr>
          <w:rFonts w:asciiTheme="minorHAnsi" w:hAnsiTheme="minorHAnsi" w:cstheme="minorHAnsi"/>
          <w:sz w:val="24"/>
          <w:szCs w:val="24"/>
        </w:rPr>
        <w:t>ding percentage milestones to (a</w:t>
      </w:r>
      <w:r w:rsidRPr="00E11B14">
        <w:rPr>
          <w:rFonts w:asciiTheme="minorHAnsi" w:hAnsiTheme="minorHAnsi" w:cstheme="minorHAnsi"/>
          <w:sz w:val="24"/>
          <w:szCs w:val="24"/>
        </w:rPr>
        <w:t>) achieve a percentage that, per the evidence-base</w:t>
      </w:r>
      <w:r w:rsidR="003852F3"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Pr="00E11B14">
        <w:rPr>
          <w:rFonts w:asciiTheme="minorHAnsi" w:hAnsiTheme="minorHAnsi" w:cstheme="minorHAnsi"/>
          <w:sz w:val="24"/>
          <w:szCs w:val="24"/>
        </w:rPr>
        <w:t xml:space="preserve">, is double the 2014 aggregate average </w:t>
      </w:r>
      <w:r w:rsidRPr="00E11B14">
        <w:rPr>
          <w:rFonts w:asciiTheme="minorHAnsi" w:hAnsiTheme="minorHAnsi" w:cstheme="minorHAnsi"/>
          <w:sz w:val="24"/>
          <w:szCs w:val="24"/>
        </w:rPr>
        <w:lastRenderedPageBreak/>
        <w:t xml:space="preserve">commercial percentage spend for primary care reported in the 2016 </w:t>
      </w:r>
      <w:r w:rsidR="00E11B14" w:rsidRPr="00E11B14">
        <w:rPr>
          <w:rFonts w:asciiTheme="minorHAnsi" w:hAnsiTheme="minorHAnsi" w:cstheme="minorHAnsi"/>
          <w:sz w:val="24"/>
          <w:szCs w:val="24"/>
        </w:rPr>
        <w:t xml:space="preserve">report, </w:t>
      </w:r>
      <w:r w:rsidR="00E11B14" w:rsidRPr="00E11B14">
        <w:rPr>
          <w:rFonts w:asciiTheme="minorHAnsi" w:hAnsiTheme="minorHAnsi" w:cstheme="minorHAnsi"/>
          <w:bCs/>
          <w:i/>
          <w:sz w:val="24"/>
          <w:szCs w:val="24"/>
        </w:rPr>
        <w:t>Primary Care Spending in Oregon: A Report to the Oregon State Legislature</w:t>
      </w:r>
      <w:r w:rsidR="00533AF9">
        <w:rPr>
          <w:rFonts w:asciiTheme="minorHAnsi" w:hAnsiTheme="minorHAnsi" w:cstheme="minorHAnsi"/>
          <w:sz w:val="24"/>
          <w:szCs w:val="24"/>
        </w:rPr>
        <w:t>; and (b</w:t>
      </w:r>
      <w:r w:rsidRPr="00E11B14">
        <w:rPr>
          <w:rFonts w:asciiTheme="minorHAnsi" w:hAnsiTheme="minorHAnsi" w:cstheme="minorHAnsi"/>
          <w:sz w:val="24"/>
          <w:szCs w:val="24"/>
        </w:rPr>
        <w:t>) ensure that all prominent payers in Oregon are adequately investing in the primary care infrastructure.</w:t>
      </w:r>
    </w:p>
    <w:p w14:paraId="4795A882" w14:textId="77777777" w:rsidR="00E11B14" w:rsidRPr="00E11B14" w:rsidRDefault="002151D9" w:rsidP="004155B2">
      <w:pPr>
        <w:pStyle w:val="ListParagraph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11B14">
        <w:rPr>
          <w:rFonts w:asciiTheme="minorHAnsi" w:hAnsiTheme="minorHAnsi" w:cstheme="minorHAnsi"/>
          <w:sz w:val="24"/>
          <w:szCs w:val="24"/>
        </w:rPr>
        <w:t>One key milestone is</w:t>
      </w:r>
      <w:r w:rsidR="00E11B14" w:rsidRPr="00E11B14">
        <w:rPr>
          <w:rFonts w:asciiTheme="minorHAnsi" w:hAnsiTheme="minorHAnsi" w:cstheme="minorHAnsi"/>
          <w:sz w:val="24"/>
          <w:szCs w:val="24"/>
        </w:rPr>
        <w:t xml:space="preserve"> that</w:t>
      </w:r>
      <w:r w:rsidRPr="00E11B14">
        <w:rPr>
          <w:rFonts w:asciiTheme="minorHAnsi" w:hAnsiTheme="minorHAnsi" w:cstheme="minorHAnsi"/>
          <w:sz w:val="24"/>
          <w:szCs w:val="24"/>
        </w:rPr>
        <w:t>, b</w:t>
      </w:r>
      <w:r w:rsidR="0013771B" w:rsidRPr="00E11B14">
        <w:rPr>
          <w:rFonts w:asciiTheme="minorHAnsi" w:hAnsiTheme="minorHAnsi" w:cstheme="minorHAnsi"/>
          <w:sz w:val="24"/>
          <w:szCs w:val="24"/>
        </w:rPr>
        <w:t>y the end of 2018</w:t>
      </w:r>
      <w:r w:rsidRPr="00E11B14">
        <w:rPr>
          <w:rFonts w:asciiTheme="minorHAnsi" w:hAnsiTheme="minorHAnsi" w:cstheme="minorHAnsi"/>
          <w:sz w:val="24"/>
          <w:szCs w:val="24"/>
        </w:rPr>
        <w:t>,</w:t>
      </w:r>
      <w:r w:rsidR="00E11B14" w:rsidRPr="00E11B14">
        <w:rPr>
          <w:rFonts w:asciiTheme="minorHAnsi" w:hAnsiTheme="minorHAnsi" w:cstheme="minorHAnsi"/>
          <w:sz w:val="24"/>
          <w:szCs w:val="24"/>
        </w:rPr>
        <w:t xml:space="preserve"> </w:t>
      </w:r>
      <w:r w:rsidR="00753637" w:rsidRPr="00E11B14">
        <w:rPr>
          <w:rFonts w:asciiTheme="minorHAnsi" w:hAnsiTheme="minorHAnsi" w:cstheme="minorHAnsi"/>
          <w:sz w:val="24"/>
          <w:szCs w:val="24"/>
        </w:rPr>
        <w:t xml:space="preserve">payers will </w:t>
      </w:r>
      <w:r w:rsidRPr="00E11B14">
        <w:rPr>
          <w:rFonts w:asciiTheme="minorHAnsi" w:hAnsiTheme="minorHAnsi" w:cstheme="minorHAnsi"/>
          <w:iCs/>
          <w:color w:val="212121"/>
          <w:sz w:val="24"/>
          <w:szCs w:val="24"/>
        </w:rPr>
        <w:t>a</w:t>
      </w:r>
      <w:r w:rsidR="00014E90" w:rsidRPr="00E11B14">
        <w:rPr>
          <w:rFonts w:asciiTheme="minorHAnsi" w:hAnsiTheme="minorHAnsi" w:cstheme="minorHAnsi"/>
          <w:iCs/>
          <w:color w:val="212121"/>
          <w:sz w:val="24"/>
          <w:szCs w:val="24"/>
        </w:rPr>
        <w:t>lign with CMS’s goal of 50% of Medicare’s total payments attributed to payment models that employ non-fee-for-service payments</w:t>
      </w:r>
      <w:r w:rsidR="003428E0">
        <w:rPr>
          <w:rStyle w:val="FootnoteReference"/>
          <w:rFonts w:asciiTheme="minorHAnsi" w:hAnsiTheme="minorHAnsi" w:cstheme="minorHAnsi"/>
          <w:iCs/>
          <w:color w:val="212121"/>
          <w:sz w:val="24"/>
          <w:szCs w:val="24"/>
        </w:rPr>
        <w:footnoteReference w:id="3"/>
      </w:r>
      <w:r w:rsidR="00014E90" w:rsidRPr="00E11B14">
        <w:rPr>
          <w:rFonts w:asciiTheme="minorHAnsi" w:hAnsiTheme="minorHAnsi" w:cstheme="minorHAnsi"/>
          <w:iCs/>
          <w:color w:val="212121"/>
          <w:sz w:val="24"/>
          <w:szCs w:val="24"/>
        </w:rPr>
        <w:t xml:space="preserve"> by encouraging 50% of all payers’ primary care payments be attributed to VBPs</w:t>
      </w:r>
      <w:r w:rsidRPr="00E11B14">
        <w:rPr>
          <w:rFonts w:asciiTheme="minorHAnsi" w:hAnsiTheme="minorHAnsi" w:cstheme="minorHAnsi"/>
          <w:iCs/>
          <w:color w:val="212121"/>
          <w:sz w:val="24"/>
          <w:szCs w:val="24"/>
        </w:rPr>
        <w:t>. In addition, strongly encourage an increased investment in primary care in the form of VBPs.</w:t>
      </w:r>
    </w:p>
    <w:p w14:paraId="3E4AD3B9" w14:textId="1C915110" w:rsidR="00E11B14" w:rsidRPr="00E11B14" w:rsidRDefault="0013771B" w:rsidP="004155B2">
      <w:pPr>
        <w:pStyle w:val="ListParagraph"/>
        <w:numPr>
          <w:ilvl w:val="1"/>
          <w:numId w:val="3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11B14">
        <w:rPr>
          <w:rFonts w:asciiTheme="minorHAnsi" w:hAnsiTheme="minorHAnsi" w:cstheme="minorHAnsi"/>
          <w:sz w:val="24"/>
          <w:szCs w:val="24"/>
        </w:rPr>
        <w:t xml:space="preserve">Mechanisms to meet this </w:t>
      </w:r>
      <w:r w:rsidR="00E11B14" w:rsidRPr="00E11B14">
        <w:rPr>
          <w:rFonts w:asciiTheme="minorHAnsi" w:hAnsiTheme="minorHAnsi" w:cstheme="minorHAnsi"/>
          <w:sz w:val="24"/>
          <w:szCs w:val="24"/>
        </w:rPr>
        <w:t>milestone</w:t>
      </w:r>
      <w:r w:rsidRPr="00E11B14">
        <w:rPr>
          <w:rFonts w:asciiTheme="minorHAnsi" w:hAnsiTheme="minorHAnsi" w:cstheme="minorHAnsi"/>
          <w:sz w:val="24"/>
          <w:szCs w:val="24"/>
        </w:rPr>
        <w:t xml:space="preserve"> would encourage that all new investment in primary care be in the form of </w:t>
      </w:r>
      <w:r w:rsidRPr="00E11B14">
        <w:rPr>
          <w:rFonts w:asciiTheme="minorHAnsi" w:hAnsiTheme="minorHAnsi" w:cstheme="minorHAnsi"/>
          <w:iCs/>
          <w:color w:val="212121"/>
          <w:sz w:val="24"/>
          <w:szCs w:val="24"/>
        </w:rPr>
        <w:t>VBPs</w:t>
      </w:r>
      <w:r w:rsidRPr="00E11B14">
        <w:rPr>
          <w:rFonts w:asciiTheme="minorHAnsi" w:hAnsiTheme="minorHAnsi" w:cstheme="minorHAnsi"/>
          <w:sz w:val="24"/>
          <w:szCs w:val="24"/>
        </w:rPr>
        <w:t>.  Primary care investments will result in an overall increase in the amount of total medical spending allocated to primary care—and would not include “withhold</w:t>
      </w:r>
      <w:r w:rsidR="00792283">
        <w:rPr>
          <w:rFonts w:asciiTheme="minorHAnsi" w:hAnsiTheme="minorHAnsi" w:cstheme="minorHAnsi"/>
          <w:sz w:val="24"/>
          <w:szCs w:val="24"/>
        </w:rPr>
        <w:t>s” or strategies that simply re</w:t>
      </w:r>
      <w:r w:rsidRPr="00E11B14">
        <w:rPr>
          <w:rFonts w:asciiTheme="minorHAnsi" w:hAnsiTheme="minorHAnsi" w:cstheme="minorHAnsi"/>
          <w:sz w:val="24"/>
          <w:szCs w:val="24"/>
        </w:rPr>
        <w:t xml:space="preserve">allocate existing spending between fee-for-service payments and </w:t>
      </w:r>
      <w:r w:rsidRPr="00E11B14">
        <w:rPr>
          <w:rFonts w:asciiTheme="minorHAnsi" w:hAnsiTheme="minorHAnsi" w:cstheme="minorHAnsi"/>
          <w:iCs/>
          <w:color w:val="212121"/>
          <w:sz w:val="24"/>
          <w:szCs w:val="24"/>
        </w:rPr>
        <w:t>VBPs</w:t>
      </w:r>
      <w:r w:rsidRPr="00E11B1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AC6DDC" w14:textId="77777777" w:rsidR="00E11B14" w:rsidRDefault="00A07297" w:rsidP="004155B2">
      <w:pPr>
        <w:pStyle w:val="ListParagraph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11B14">
        <w:rPr>
          <w:rFonts w:asciiTheme="minorHAnsi" w:hAnsiTheme="minorHAnsi" w:cstheme="minorHAnsi"/>
          <w:sz w:val="24"/>
          <w:szCs w:val="24"/>
        </w:rPr>
        <w:t>Payment models must ensure applicability to all populations</w:t>
      </w:r>
      <w:r w:rsidRPr="00E11B14" w:rsidDel="00E02B67">
        <w:rPr>
          <w:rFonts w:asciiTheme="minorHAnsi" w:hAnsiTheme="minorHAnsi" w:cstheme="minorHAnsi"/>
          <w:sz w:val="24"/>
          <w:szCs w:val="24"/>
        </w:rPr>
        <w:t xml:space="preserve"> </w:t>
      </w:r>
      <w:r w:rsidRPr="00E11B14">
        <w:rPr>
          <w:rFonts w:asciiTheme="minorHAnsi" w:hAnsiTheme="minorHAnsi" w:cstheme="minorHAnsi"/>
          <w:sz w:val="24"/>
          <w:szCs w:val="24"/>
        </w:rPr>
        <w:t>and, using CPC+ as the guiding framework, include the following components:</w:t>
      </w:r>
    </w:p>
    <w:p w14:paraId="4EDD3B42" w14:textId="77777777" w:rsidR="00E11B14" w:rsidRDefault="00FF2A37" w:rsidP="004155B2">
      <w:pPr>
        <w:pStyle w:val="ListParagraph"/>
        <w:numPr>
          <w:ilvl w:val="1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11B14">
        <w:rPr>
          <w:rFonts w:asciiTheme="minorHAnsi" w:hAnsiTheme="minorHAnsi" w:cstheme="minorHAnsi"/>
          <w:sz w:val="24"/>
          <w:szCs w:val="24"/>
        </w:rPr>
        <w:t>Up to</w:t>
      </w:r>
      <w:r w:rsidR="002151D9" w:rsidRPr="00E11B14">
        <w:rPr>
          <w:rFonts w:asciiTheme="minorHAnsi" w:hAnsiTheme="minorHAnsi" w:cstheme="minorHAnsi"/>
          <w:sz w:val="24"/>
          <w:szCs w:val="24"/>
        </w:rPr>
        <w:t xml:space="preserve"> </w:t>
      </w:r>
      <w:r w:rsidR="00521BE5" w:rsidRPr="00E11B14">
        <w:rPr>
          <w:rFonts w:asciiTheme="minorHAnsi" w:hAnsiTheme="minorHAnsi" w:cstheme="minorHAnsi"/>
          <w:sz w:val="24"/>
          <w:szCs w:val="24"/>
        </w:rPr>
        <w:t>50% fee-for-service (face-to-face visits and other easily billable services).</w:t>
      </w:r>
    </w:p>
    <w:p w14:paraId="6485B1E5" w14:textId="77777777" w:rsidR="00E11B14" w:rsidRDefault="00FF2A37" w:rsidP="004155B2">
      <w:pPr>
        <w:pStyle w:val="ListParagraph"/>
        <w:numPr>
          <w:ilvl w:val="1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11B14">
        <w:rPr>
          <w:rFonts w:asciiTheme="minorHAnsi" w:hAnsiTheme="minorHAnsi" w:cstheme="minorHAnsi"/>
          <w:sz w:val="24"/>
          <w:szCs w:val="24"/>
        </w:rPr>
        <w:t>R</w:t>
      </w:r>
      <w:r w:rsidR="00521BE5" w:rsidRPr="00E11B14">
        <w:rPr>
          <w:rFonts w:asciiTheme="minorHAnsi" w:hAnsiTheme="minorHAnsi" w:cstheme="minorHAnsi"/>
          <w:sz w:val="24"/>
          <w:szCs w:val="24"/>
        </w:rPr>
        <w:t>isk-adjusted, population-based per-member, per-month (PMPM) payments that sustainably support a high-functioning primary care system including key elements such as risk-stratified care management, care coordination, behavioral health integration, integrated pharmacist, and non-visit-based care.</w:t>
      </w:r>
      <w:r w:rsidR="00F53382">
        <w:rPr>
          <w:rStyle w:val="FootnoteReference"/>
          <w:rFonts w:asciiTheme="minorHAnsi" w:hAnsiTheme="minorHAnsi" w:cstheme="minorHAnsi"/>
          <w:sz w:val="24"/>
          <w:szCs w:val="24"/>
        </w:rPr>
        <w:footnoteReference w:id="4"/>
      </w:r>
      <w:r w:rsidR="00521BE5" w:rsidRPr="00E11B14">
        <w:rPr>
          <w:rFonts w:asciiTheme="minorHAnsi" w:hAnsiTheme="minorHAnsi" w:cstheme="minorHAnsi"/>
          <w:sz w:val="24"/>
          <w:szCs w:val="24"/>
        </w:rPr>
        <w:t xml:space="preserve">  PMPM payments may also include a component that is based on clinics’ demonstrated level of advanced primary care function, which could be measured using Oregon PCPCH or NCQA PCMH standards. </w:t>
      </w:r>
    </w:p>
    <w:p w14:paraId="3AC0B999" w14:textId="77777777" w:rsidR="00E11B14" w:rsidRDefault="00FF2A37" w:rsidP="004155B2">
      <w:pPr>
        <w:pStyle w:val="ListParagraph"/>
        <w:numPr>
          <w:ilvl w:val="1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11B14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E02B67" w:rsidRPr="00E11B14">
        <w:rPr>
          <w:rFonts w:asciiTheme="minorHAnsi" w:hAnsiTheme="minorHAnsi" w:cstheme="minorHAnsi"/>
          <w:sz w:val="24"/>
          <w:szCs w:val="24"/>
        </w:rPr>
        <w:t xml:space="preserve">erformance-based incentive payments (not </w:t>
      </w:r>
      <w:proofErr w:type="gramStart"/>
      <w:r w:rsidR="00E02B67" w:rsidRPr="00E11B14">
        <w:rPr>
          <w:rFonts w:asciiTheme="minorHAnsi" w:hAnsiTheme="minorHAnsi" w:cstheme="minorHAnsi"/>
          <w:sz w:val="24"/>
          <w:szCs w:val="24"/>
        </w:rPr>
        <w:t>a withhold</w:t>
      </w:r>
      <w:proofErr w:type="gramEnd"/>
      <w:r w:rsidR="00E02B67" w:rsidRPr="00E11B14">
        <w:rPr>
          <w:rFonts w:asciiTheme="minorHAnsi" w:hAnsiTheme="minorHAnsi" w:cstheme="minorHAnsi"/>
          <w:sz w:val="24"/>
          <w:szCs w:val="24"/>
        </w:rPr>
        <w:t>) that align with agreed-upon metrics. It is recommended that incentives be worth ≥10% of total compensation</w:t>
      </w:r>
      <w:r w:rsidR="00A33078" w:rsidRPr="00E11B14">
        <w:rPr>
          <w:rFonts w:asciiTheme="minorHAnsi" w:hAnsiTheme="minorHAnsi" w:cstheme="minorHAnsi"/>
          <w:sz w:val="24"/>
          <w:szCs w:val="24"/>
        </w:rPr>
        <w:t xml:space="preserve"> – </w:t>
      </w:r>
      <w:r w:rsidR="00E02B67" w:rsidRPr="00E11B14">
        <w:rPr>
          <w:rFonts w:asciiTheme="minorHAnsi" w:hAnsiTheme="minorHAnsi" w:cstheme="minorHAnsi"/>
          <w:sz w:val="24"/>
          <w:szCs w:val="24"/>
        </w:rPr>
        <w:t>which is generally accepted best practic</w:t>
      </w:r>
      <w:r w:rsidR="009B3C1E" w:rsidRPr="00E11B14">
        <w:rPr>
          <w:rFonts w:asciiTheme="minorHAnsi" w:hAnsiTheme="minorHAnsi" w:cstheme="minorHAnsi"/>
          <w:sz w:val="24"/>
          <w:szCs w:val="24"/>
        </w:rPr>
        <w:t>e</w:t>
      </w:r>
      <w:r w:rsidR="000A6E33">
        <w:rPr>
          <w:rStyle w:val="FootnoteReference"/>
          <w:rFonts w:asciiTheme="minorHAnsi" w:hAnsiTheme="minorHAnsi" w:cstheme="minorHAnsi"/>
          <w:sz w:val="24"/>
          <w:szCs w:val="24"/>
        </w:rPr>
        <w:footnoteReference w:id="5"/>
      </w:r>
      <w:r w:rsidR="00A33078" w:rsidRPr="00E11B14">
        <w:rPr>
          <w:rFonts w:asciiTheme="minorHAnsi" w:hAnsiTheme="minorHAnsi" w:cstheme="minorHAnsi"/>
          <w:sz w:val="24"/>
          <w:szCs w:val="24"/>
        </w:rPr>
        <w:t xml:space="preserve"> – to </w:t>
      </w:r>
      <w:r w:rsidR="00E02B67" w:rsidRPr="00E11B14">
        <w:rPr>
          <w:rFonts w:asciiTheme="minorHAnsi" w:hAnsiTheme="minorHAnsi" w:cstheme="minorHAnsi"/>
          <w:sz w:val="24"/>
          <w:szCs w:val="24"/>
        </w:rPr>
        <w:t>provide sufficient incentive to improve or achieve benchmarks.</w:t>
      </w:r>
    </w:p>
    <w:p w14:paraId="396CB89F" w14:textId="54C31E4B" w:rsidR="00740FDC" w:rsidRPr="00E64B01" w:rsidRDefault="00E02B67" w:rsidP="00E64B01">
      <w:pPr>
        <w:pStyle w:val="ListParagraph"/>
        <w:numPr>
          <w:ilvl w:val="1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11B14">
        <w:rPr>
          <w:rFonts w:asciiTheme="minorHAnsi" w:hAnsiTheme="minorHAnsi" w:cstheme="minorHAnsi"/>
          <w:sz w:val="24"/>
          <w:szCs w:val="24"/>
        </w:rPr>
        <w:t>Payment models consistent and aligned with the CMS Track 2 CPC+ model, where current rates of fee-for-service</w:t>
      </w:r>
      <w:r w:rsidR="00D24600" w:rsidRPr="00E11B14">
        <w:rPr>
          <w:rFonts w:asciiTheme="minorHAnsi" w:hAnsiTheme="minorHAnsi" w:cstheme="minorHAnsi"/>
          <w:sz w:val="24"/>
          <w:szCs w:val="24"/>
        </w:rPr>
        <w:t xml:space="preserve"> are gradually converted to non-fee-for-service payments</w:t>
      </w:r>
      <w:r w:rsidRPr="00E11B14">
        <w:rPr>
          <w:rFonts w:asciiTheme="minorHAnsi" w:hAnsiTheme="minorHAnsi" w:cstheme="minorHAnsi"/>
          <w:sz w:val="24"/>
          <w:szCs w:val="24"/>
        </w:rPr>
        <w:t xml:space="preserve">. </w:t>
      </w:r>
    </w:p>
    <w:sectPr w:rsidR="00740FDC" w:rsidRPr="00E64B01" w:rsidSect="00257062">
      <w:footerReference w:type="even" r:id="rId8"/>
      <w:footerReference w:type="default" r:id="rId9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73EB3" w14:textId="77777777" w:rsidR="000B4047" w:rsidRDefault="000B4047" w:rsidP="00E97814">
      <w:r>
        <w:separator/>
      </w:r>
    </w:p>
  </w:endnote>
  <w:endnote w:type="continuationSeparator" w:id="0">
    <w:p w14:paraId="7C77EA46" w14:textId="77777777" w:rsidR="000B4047" w:rsidRDefault="000B4047" w:rsidP="00E9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E297" w14:textId="77777777" w:rsidR="00023293" w:rsidRDefault="00023293" w:rsidP="00E2465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AC7560" w14:textId="77777777" w:rsidR="00023293" w:rsidRDefault="00023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1D055" w14:textId="77777777" w:rsidR="00023293" w:rsidRDefault="00023293" w:rsidP="00E2465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D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D23E51" w14:textId="77777777" w:rsidR="00023293" w:rsidRDefault="0002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8823E" w14:textId="77777777" w:rsidR="000B4047" w:rsidRDefault="000B4047" w:rsidP="00E97814">
      <w:r>
        <w:separator/>
      </w:r>
    </w:p>
  </w:footnote>
  <w:footnote w:type="continuationSeparator" w:id="0">
    <w:p w14:paraId="723DB9D2" w14:textId="77777777" w:rsidR="000B4047" w:rsidRDefault="000B4047" w:rsidP="00E97814">
      <w:r>
        <w:continuationSeparator/>
      </w:r>
    </w:p>
  </w:footnote>
  <w:footnote w:id="1">
    <w:p w14:paraId="7F108536" w14:textId="13C4A223" w:rsidR="005658A5" w:rsidRPr="005658A5" w:rsidRDefault="005658A5" w:rsidP="005658A5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658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Advanced primary care is based on principles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of programs such as OHA’s </w:t>
      </w:r>
      <w:r w:rsidRPr="005658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PCPCH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program </w:t>
      </w:r>
      <w:r w:rsidRPr="005658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and builds on the care delivery models employed in CMS model tests such as the</w:t>
      </w:r>
      <w:r w:rsidR="00742E3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Comprehensive Primary Care Initiative</w:t>
      </w:r>
      <w:r w:rsidRPr="005658A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742E3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Next generation models</w:t>
      </w:r>
      <w:r w:rsidRPr="005658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for advanced primary care (such as CPC+) will seek to improve further the delivery of patient-centered care and population health.</w:t>
      </w:r>
    </w:p>
    <w:p w14:paraId="664DF447" w14:textId="5D7CBF89" w:rsidR="005658A5" w:rsidRDefault="005658A5">
      <w:pPr>
        <w:pStyle w:val="FootnoteText"/>
      </w:pPr>
    </w:p>
  </w:footnote>
  <w:footnote w:id="2">
    <w:p w14:paraId="45A95E0A" w14:textId="3E8115FC" w:rsidR="00023293" w:rsidRPr="0078682A" w:rsidRDefault="00023293" w:rsidP="0078682A">
      <w:pPr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78682A">
        <w:rPr>
          <w:sz w:val="20"/>
        </w:rPr>
        <w:t xml:space="preserve">Expert consensus is that primary care spending has to double from current levels. The average national primary care spend is 5-7% across all payers (including Medicare). Rhode Island’s model doubled the primary care spend over five years. Academic literature indicates the primary care spend goal should be 10-12%, which is double the current national average (See </w:t>
      </w:r>
      <w:r w:rsidRPr="0078682A">
        <w:rPr>
          <w:i/>
          <w:sz w:val="20"/>
        </w:rPr>
        <w:t>Effective Payment for Primary Care</w:t>
      </w:r>
      <w:r w:rsidRPr="0078682A">
        <w:rPr>
          <w:sz w:val="20"/>
        </w:rPr>
        <w:t xml:space="preserve">, </w:t>
      </w:r>
      <w:proofErr w:type="spellStart"/>
      <w:r w:rsidRPr="0078682A">
        <w:rPr>
          <w:sz w:val="20"/>
        </w:rPr>
        <w:t>Starfield</w:t>
      </w:r>
      <w:proofErr w:type="spellEnd"/>
      <w:r w:rsidRPr="0078682A">
        <w:rPr>
          <w:sz w:val="20"/>
        </w:rPr>
        <w:t xml:space="preserve"> et. al., pg. 8). Note that because Oregon chose to include specialty psychiatric and OB in our primary care spend calculation, we have an artificially high (7.2%) commercial primary care spend (not including Payer #3), for the vast majority (&gt;90%) </w:t>
      </w:r>
      <w:r w:rsidR="009B02CF">
        <w:rPr>
          <w:sz w:val="20"/>
        </w:rPr>
        <w:t>of the insured population. D</w:t>
      </w:r>
      <w:r w:rsidRPr="0078682A">
        <w:rPr>
          <w:sz w:val="20"/>
        </w:rPr>
        <w:t>oubling that equals 14.4%. However, if Oregon chose to leave out specialty psychiatric and OB spending, our true primary care spend would likely be between 5-7%, similar to the rest of the country, and doubling that would be 10-12%, which is consistent with the primary care spend goal identified in the academic literature. Oregon’s SB 231 Primary Care Spend report data analysis methodology is conducive to this approach.</w:t>
      </w:r>
    </w:p>
  </w:footnote>
  <w:footnote w:id="3">
    <w:p w14:paraId="0D899115" w14:textId="77777777" w:rsidR="00023293" w:rsidRDefault="00023293" w:rsidP="003428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8682A">
        <w:t>Shatto</w:t>
      </w:r>
      <w:proofErr w:type="spellEnd"/>
      <w:r w:rsidRPr="0078682A">
        <w:t xml:space="preserve">, J. Center for Medicare and Medicaid Innovation’s Methodology and Calculations for the 2016 Estimate of Fee-for-Service Payments to Alternative Payment Models [Memorandum]. Washington, DC: Department of Health and Human Services, Centers for Medicare &amp; Medicaid Services, Office of the Actuary. Retrieved from </w:t>
      </w:r>
      <w:hyperlink r:id="rId1" w:history="1">
        <w:r w:rsidRPr="003A3961">
          <w:rPr>
            <w:rStyle w:val="Hyperlink"/>
          </w:rPr>
          <w:t>https://innovation.cms.gov/Files/x/ffs-apm-goalmemo.pdf</w:t>
        </w:r>
      </w:hyperlink>
      <w:r>
        <w:t xml:space="preserve"> </w:t>
      </w:r>
    </w:p>
  </w:footnote>
  <w:footnote w:id="4">
    <w:p w14:paraId="718F983C" w14:textId="798CC90A" w:rsidR="00023293" w:rsidRDefault="000232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1010">
        <w:t>Oregon Health Authority Patient-Centered Primary Care Home Program</w:t>
      </w:r>
      <w:r w:rsidR="00742E30">
        <w:t>:</w:t>
      </w:r>
      <w:r w:rsidRPr="00911010">
        <w:t xml:space="preserve"> 2017 Recognition Criteria Technical Specifications and Reporting Guide</w:t>
      </w:r>
      <w:r>
        <w:t xml:space="preserve">. Retrieved from </w:t>
      </w:r>
      <w:hyperlink r:id="rId2" w:history="1">
        <w:r w:rsidRPr="003A3961">
          <w:rPr>
            <w:rStyle w:val="Hyperlink"/>
          </w:rPr>
          <w:t>http://www.oregon.gov/oha/pcpch/Documents/TA-Guide.pdf</w:t>
        </w:r>
      </w:hyperlink>
    </w:p>
  </w:footnote>
  <w:footnote w:id="5">
    <w:p w14:paraId="2CD02C2F" w14:textId="48F73278" w:rsidR="00023293" w:rsidRDefault="00023293">
      <w:pPr>
        <w:pStyle w:val="FootnoteText"/>
      </w:pPr>
      <w:r>
        <w:rPr>
          <w:rStyle w:val="FootnoteReference"/>
        </w:rPr>
        <w:footnoteRef/>
      </w:r>
      <w:r>
        <w:t xml:space="preserve"> Health Care Payment Learning and Action Network, </w:t>
      </w:r>
      <w:r w:rsidRPr="00FF2A37">
        <w:rPr>
          <w:i/>
        </w:rPr>
        <w:t>Alternative Payment Methodology Framework</w:t>
      </w:r>
      <w:r>
        <w:t xml:space="preserve">, page 10.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968"/>
    <w:multiLevelType w:val="hybridMultilevel"/>
    <w:tmpl w:val="1358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1EE4"/>
    <w:multiLevelType w:val="hybridMultilevel"/>
    <w:tmpl w:val="6FC2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47E4"/>
    <w:multiLevelType w:val="hybridMultilevel"/>
    <w:tmpl w:val="8220678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257BC"/>
    <w:multiLevelType w:val="hybridMultilevel"/>
    <w:tmpl w:val="30DCEE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C5245D"/>
    <w:multiLevelType w:val="hybridMultilevel"/>
    <w:tmpl w:val="9E48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2284"/>
    <w:multiLevelType w:val="hybridMultilevel"/>
    <w:tmpl w:val="D43E0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CB737F"/>
    <w:multiLevelType w:val="hybridMultilevel"/>
    <w:tmpl w:val="3BE427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54415A"/>
    <w:multiLevelType w:val="hybridMultilevel"/>
    <w:tmpl w:val="9C48ECA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65160F9"/>
    <w:multiLevelType w:val="hybridMultilevel"/>
    <w:tmpl w:val="D92861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B74DB5"/>
    <w:multiLevelType w:val="hybridMultilevel"/>
    <w:tmpl w:val="E2C678B2"/>
    <w:lvl w:ilvl="0" w:tplc="B036B748">
      <w:start w:val="414"/>
      <w:numFmt w:val="bullet"/>
      <w:lvlText w:val="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6828A4"/>
    <w:multiLevelType w:val="hybridMultilevel"/>
    <w:tmpl w:val="46E407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BCA4437"/>
    <w:multiLevelType w:val="hybridMultilevel"/>
    <w:tmpl w:val="4BC070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232178F"/>
    <w:multiLevelType w:val="hybridMultilevel"/>
    <w:tmpl w:val="0BAE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800ED"/>
    <w:multiLevelType w:val="hybridMultilevel"/>
    <w:tmpl w:val="0832DD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43BDD"/>
    <w:multiLevelType w:val="hybridMultilevel"/>
    <w:tmpl w:val="A5D4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6697B"/>
    <w:multiLevelType w:val="hybridMultilevel"/>
    <w:tmpl w:val="B3A6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F533F"/>
    <w:multiLevelType w:val="hybridMultilevel"/>
    <w:tmpl w:val="B326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97529"/>
    <w:multiLevelType w:val="hybridMultilevel"/>
    <w:tmpl w:val="0FC67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40E6"/>
    <w:multiLevelType w:val="hybridMultilevel"/>
    <w:tmpl w:val="FBD4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2E3"/>
    <w:multiLevelType w:val="hybridMultilevel"/>
    <w:tmpl w:val="8CE0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D05AF"/>
    <w:multiLevelType w:val="hybridMultilevel"/>
    <w:tmpl w:val="6454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F0DCD"/>
    <w:multiLevelType w:val="hybridMultilevel"/>
    <w:tmpl w:val="3D5A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26E0"/>
    <w:multiLevelType w:val="hybridMultilevel"/>
    <w:tmpl w:val="22A43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7E06F9"/>
    <w:multiLevelType w:val="hybridMultilevel"/>
    <w:tmpl w:val="CF00B2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257063"/>
    <w:multiLevelType w:val="hybridMultilevel"/>
    <w:tmpl w:val="8DCC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C5069"/>
    <w:multiLevelType w:val="hybridMultilevel"/>
    <w:tmpl w:val="7BEE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1492"/>
    <w:multiLevelType w:val="hybridMultilevel"/>
    <w:tmpl w:val="C466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81F44"/>
    <w:multiLevelType w:val="hybridMultilevel"/>
    <w:tmpl w:val="BBF8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D10F2"/>
    <w:multiLevelType w:val="hybridMultilevel"/>
    <w:tmpl w:val="7E42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16D2A"/>
    <w:multiLevelType w:val="hybridMultilevel"/>
    <w:tmpl w:val="64E88E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D285B"/>
    <w:multiLevelType w:val="hybridMultilevel"/>
    <w:tmpl w:val="EB3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71D62"/>
    <w:multiLevelType w:val="hybridMultilevel"/>
    <w:tmpl w:val="D2B4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F2630"/>
    <w:multiLevelType w:val="hybridMultilevel"/>
    <w:tmpl w:val="87E2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5A7"/>
    <w:multiLevelType w:val="hybridMultilevel"/>
    <w:tmpl w:val="7D42D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D7646"/>
    <w:multiLevelType w:val="hybridMultilevel"/>
    <w:tmpl w:val="6A4E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12DF4"/>
    <w:multiLevelType w:val="hybridMultilevel"/>
    <w:tmpl w:val="6BAE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5549"/>
    <w:multiLevelType w:val="hybridMultilevel"/>
    <w:tmpl w:val="1D2C7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1"/>
  </w:num>
  <w:num w:numId="4">
    <w:abstractNumId w:val="1"/>
  </w:num>
  <w:num w:numId="5">
    <w:abstractNumId w:val="8"/>
  </w:num>
  <w:num w:numId="6">
    <w:abstractNumId w:val="28"/>
  </w:num>
  <w:num w:numId="7">
    <w:abstractNumId w:val="26"/>
  </w:num>
  <w:num w:numId="8">
    <w:abstractNumId w:val="35"/>
  </w:num>
  <w:num w:numId="9">
    <w:abstractNumId w:val="25"/>
  </w:num>
  <w:num w:numId="10">
    <w:abstractNumId w:val="36"/>
  </w:num>
  <w:num w:numId="11">
    <w:abstractNumId w:val="31"/>
  </w:num>
  <w:num w:numId="12">
    <w:abstractNumId w:val="16"/>
  </w:num>
  <w:num w:numId="13">
    <w:abstractNumId w:val="14"/>
  </w:num>
  <w:num w:numId="14">
    <w:abstractNumId w:val="30"/>
  </w:num>
  <w:num w:numId="15">
    <w:abstractNumId w:val="11"/>
  </w:num>
  <w:num w:numId="16">
    <w:abstractNumId w:val="13"/>
  </w:num>
  <w:num w:numId="17">
    <w:abstractNumId w:val="20"/>
  </w:num>
  <w:num w:numId="18">
    <w:abstractNumId w:val="18"/>
  </w:num>
  <w:num w:numId="19">
    <w:abstractNumId w:val="27"/>
  </w:num>
  <w:num w:numId="20">
    <w:abstractNumId w:val="2"/>
  </w:num>
  <w:num w:numId="21">
    <w:abstractNumId w:val="12"/>
  </w:num>
  <w:num w:numId="22">
    <w:abstractNumId w:val="9"/>
  </w:num>
  <w:num w:numId="23">
    <w:abstractNumId w:val="22"/>
  </w:num>
  <w:num w:numId="24">
    <w:abstractNumId w:val="29"/>
  </w:num>
  <w:num w:numId="25">
    <w:abstractNumId w:val="34"/>
  </w:num>
  <w:num w:numId="26">
    <w:abstractNumId w:val="0"/>
  </w:num>
  <w:num w:numId="27">
    <w:abstractNumId w:val="3"/>
  </w:num>
  <w:num w:numId="28">
    <w:abstractNumId w:val="7"/>
  </w:num>
  <w:num w:numId="29">
    <w:abstractNumId w:val="10"/>
  </w:num>
  <w:num w:numId="30">
    <w:abstractNumId w:val="4"/>
  </w:num>
  <w:num w:numId="31">
    <w:abstractNumId w:val="15"/>
  </w:num>
  <w:num w:numId="32">
    <w:abstractNumId w:val="24"/>
  </w:num>
  <w:num w:numId="33">
    <w:abstractNumId w:val="33"/>
  </w:num>
  <w:num w:numId="34">
    <w:abstractNumId w:val="19"/>
  </w:num>
  <w:num w:numId="35">
    <w:abstractNumId w:val="17"/>
  </w:num>
  <w:num w:numId="36">
    <w:abstractNumId w:val="6"/>
  </w:num>
  <w:num w:numId="37">
    <w:abstractNumId w:val="5"/>
  </w:num>
  <w:num w:numId="38">
    <w:abstractNumId w:val="2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BF"/>
    <w:rsid w:val="00000187"/>
    <w:rsid w:val="00014E90"/>
    <w:rsid w:val="0001722E"/>
    <w:rsid w:val="00020F58"/>
    <w:rsid w:val="000220D8"/>
    <w:rsid w:val="00023293"/>
    <w:rsid w:val="0004033C"/>
    <w:rsid w:val="00040D9D"/>
    <w:rsid w:val="000428EE"/>
    <w:rsid w:val="00066270"/>
    <w:rsid w:val="00093342"/>
    <w:rsid w:val="000960DF"/>
    <w:rsid w:val="000A6E33"/>
    <w:rsid w:val="000B4047"/>
    <w:rsid w:val="000D60B3"/>
    <w:rsid w:val="000F07AA"/>
    <w:rsid w:val="0010148B"/>
    <w:rsid w:val="00112997"/>
    <w:rsid w:val="00112CD8"/>
    <w:rsid w:val="00122E6A"/>
    <w:rsid w:val="00123218"/>
    <w:rsid w:val="00134061"/>
    <w:rsid w:val="0013771B"/>
    <w:rsid w:val="00152A29"/>
    <w:rsid w:val="001530B8"/>
    <w:rsid w:val="00157E26"/>
    <w:rsid w:val="00164543"/>
    <w:rsid w:val="00193565"/>
    <w:rsid w:val="0019621E"/>
    <w:rsid w:val="001A1894"/>
    <w:rsid w:val="001A6178"/>
    <w:rsid w:val="001A67C8"/>
    <w:rsid w:val="001B38D5"/>
    <w:rsid w:val="001C2C88"/>
    <w:rsid w:val="001C2F71"/>
    <w:rsid w:val="001C475C"/>
    <w:rsid w:val="001D0C1A"/>
    <w:rsid w:val="001D1999"/>
    <w:rsid w:val="001E0B7F"/>
    <w:rsid w:val="001E5CD0"/>
    <w:rsid w:val="001F420A"/>
    <w:rsid w:val="00214F45"/>
    <w:rsid w:val="002151D9"/>
    <w:rsid w:val="0021614C"/>
    <w:rsid w:val="002233D6"/>
    <w:rsid w:val="00257062"/>
    <w:rsid w:val="0027274E"/>
    <w:rsid w:val="002735D7"/>
    <w:rsid w:val="002B6C2B"/>
    <w:rsid w:val="002C3C99"/>
    <w:rsid w:val="002E2B50"/>
    <w:rsid w:val="002E7D8E"/>
    <w:rsid w:val="003000F1"/>
    <w:rsid w:val="0030092F"/>
    <w:rsid w:val="00312E9D"/>
    <w:rsid w:val="00317712"/>
    <w:rsid w:val="00337341"/>
    <w:rsid w:val="003428E0"/>
    <w:rsid w:val="00353A47"/>
    <w:rsid w:val="00360988"/>
    <w:rsid w:val="0037097C"/>
    <w:rsid w:val="00375EE5"/>
    <w:rsid w:val="00382972"/>
    <w:rsid w:val="003852F3"/>
    <w:rsid w:val="0038562F"/>
    <w:rsid w:val="003936BC"/>
    <w:rsid w:val="003C3162"/>
    <w:rsid w:val="003C3505"/>
    <w:rsid w:val="003C7EFC"/>
    <w:rsid w:val="003C7F20"/>
    <w:rsid w:val="003D015E"/>
    <w:rsid w:val="003D11C6"/>
    <w:rsid w:val="003D1DF4"/>
    <w:rsid w:val="003D30B0"/>
    <w:rsid w:val="003D43F4"/>
    <w:rsid w:val="003E0285"/>
    <w:rsid w:val="00407A0F"/>
    <w:rsid w:val="00413DEB"/>
    <w:rsid w:val="004155B2"/>
    <w:rsid w:val="00420620"/>
    <w:rsid w:val="00436AD1"/>
    <w:rsid w:val="004461AE"/>
    <w:rsid w:val="004530AD"/>
    <w:rsid w:val="00456121"/>
    <w:rsid w:val="00464E93"/>
    <w:rsid w:val="00464E9A"/>
    <w:rsid w:val="004675C2"/>
    <w:rsid w:val="00467CE2"/>
    <w:rsid w:val="00475246"/>
    <w:rsid w:val="00485474"/>
    <w:rsid w:val="00486A29"/>
    <w:rsid w:val="004B0260"/>
    <w:rsid w:val="004B304B"/>
    <w:rsid w:val="004B4DBF"/>
    <w:rsid w:val="004B79F4"/>
    <w:rsid w:val="004C0EC9"/>
    <w:rsid w:val="004C4CE3"/>
    <w:rsid w:val="004D492B"/>
    <w:rsid w:val="004D4C50"/>
    <w:rsid w:val="004E59DA"/>
    <w:rsid w:val="004E63DA"/>
    <w:rsid w:val="004F0474"/>
    <w:rsid w:val="004F1659"/>
    <w:rsid w:val="004F237A"/>
    <w:rsid w:val="004F3E77"/>
    <w:rsid w:val="004F65BD"/>
    <w:rsid w:val="00503A1B"/>
    <w:rsid w:val="00504342"/>
    <w:rsid w:val="00512B54"/>
    <w:rsid w:val="005171C0"/>
    <w:rsid w:val="00521BE5"/>
    <w:rsid w:val="00523337"/>
    <w:rsid w:val="00533AF9"/>
    <w:rsid w:val="005375AB"/>
    <w:rsid w:val="00537E5C"/>
    <w:rsid w:val="00544063"/>
    <w:rsid w:val="0054492C"/>
    <w:rsid w:val="00554962"/>
    <w:rsid w:val="00563F64"/>
    <w:rsid w:val="00564725"/>
    <w:rsid w:val="005647B9"/>
    <w:rsid w:val="005658A5"/>
    <w:rsid w:val="005736DE"/>
    <w:rsid w:val="005B3459"/>
    <w:rsid w:val="005B3E97"/>
    <w:rsid w:val="005B5D0F"/>
    <w:rsid w:val="005B5F6E"/>
    <w:rsid w:val="005B6DA6"/>
    <w:rsid w:val="005C5466"/>
    <w:rsid w:val="005D0C3B"/>
    <w:rsid w:val="005D1EC7"/>
    <w:rsid w:val="005E0CAA"/>
    <w:rsid w:val="005E0D61"/>
    <w:rsid w:val="00600A59"/>
    <w:rsid w:val="00602D0C"/>
    <w:rsid w:val="00614B78"/>
    <w:rsid w:val="00631657"/>
    <w:rsid w:val="00631F66"/>
    <w:rsid w:val="006337EE"/>
    <w:rsid w:val="006341CE"/>
    <w:rsid w:val="00641870"/>
    <w:rsid w:val="006451DD"/>
    <w:rsid w:val="006452DE"/>
    <w:rsid w:val="00645675"/>
    <w:rsid w:val="00653007"/>
    <w:rsid w:val="00653F72"/>
    <w:rsid w:val="00654865"/>
    <w:rsid w:val="00661E0D"/>
    <w:rsid w:val="00662B1E"/>
    <w:rsid w:val="00683572"/>
    <w:rsid w:val="0068747B"/>
    <w:rsid w:val="00687866"/>
    <w:rsid w:val="00690D0F"/>
    <w:rsid w:val="00693F69"/>
    <w:rsid w:val="006A3042"/>
    <w:rsid w:val="006B1D86"/>
    <w:rsid w:val="006D09BD"/>
    <w:rsid w:val="006D1028"/>
    <w:rsid w:val="006E3FDD"/>
    <w:rsid w:val="00702BE4"/>
    <w:rsid w:val="0070578D"/>
    <w:rsid w:val="00727F71"/>
    <w:rsid w:val="0073295A"/>
    <w:rsid w:val="00740FDC"/>
    <w:rsid w:val="00741DF5"/>
    <w:rsid w:val="00742184"/>
    <w:rsid w:val="00742E30"/>
    <w:rsid w:val="007471C9"/>
    <w:rsid w:val="007505A7"/>
    <w:rsid w:val="00753637"/>
    <w:rsid w:val="00781121"/>
    <w:rsid w:val="00781FB1"/>
    <w:rsid w:val="0078682A"/>
    <w:rsid w:val="00792283"/>
    <w:rsid w:val="007A50AE"/>
    <w:rsid w:val="007B46EB"/>
    <w:rsid w:val="007B5F74"/>
    <w:rsid w:val="007D13CE"/>
    <w:rsid w:val="007D3290"/>
    <w:rsid w:val="007F1CE0"/>
    <w:rsid w:val="007F3C84"/>
    <w:rsid w:val="007F6D6C"/>
    <w:rsid w:val="00805FA7"/>
    <w:rsid w:val="00807AC5"/>
    <w:rsid w:val="00813665"/>
    <w:rsid w:val="00826393"/>
    <w:rsid w:val="00843E5D"/>
    <w:rsid w:val="008531A7"/>
    <w:rsid w:val="00854872"/>
    <w:rsid w:val="00860A2F"/>
    <w:rsid w:val="0086220F"/>
    <w:rsid w:val="00862883"/>
    <w:rsid w:val="00870645"/>
    <w:rsid w:val="00872132"/>
    <w:rsid w:val="008808D8"/>
    <w:rsid w:val="00880967"/>
    <w:rsid w:val="00884484"/>
    <w:rsid w:val="00895FE6"/>
    <w:rsid w:val="008A25C9"/>
    <w:rsid w:val="008A578D"/>
    <w:rsid w:val="008A5AC1"/>
    <w:rsid w:val="008B2F85"/>
    <w:rsid w:val="008B43C9"/>
    <w:rsid w:val="008C0DAB"/>
    <w:rsid w:val="008C2504"/>
    <w:rsid w:val="008C62B4"/>
    <w:rsid w:val="008D61BE"/>
    <w:rsid w:val="008E3BB5"/>
    <w:rsid w:val="008E64FD"/>
    <w:rsid w:val="008F158E"/>
    <w:rsid w:val="008F3C25"/>
    <w:rsid w:val="009010DC"/>
    <w:rsid w:val="009028CC"/>
    <w:rsid w:val="009048D1"/>
    <w:rsid w:val="0093544A"/>
    <w:rsid w:val="0094309A"/>
    <w:rsid w:val="009514F8"/>
    <w:rsid w:val="0095177D"/>
    <w:rsid w:val="0095791A"/>
    <w:rsid w:val="009615BF"/>
    <w:rsid w:val="0097506C"/>
    <w:rsid w:val="00975503"/>
    <w:rsid w:val="0097772B"/>
    <w:rsid w:val="009B02CF"/>
    <w:rsid w:val="009B1ED9"/>
    <w:rsid w:val="009B3C1E"/>
    <w:rsid w:val="009B6470"/>
    <w:rsid w:val="009B7CD5"/>
    <w:rsid w:val="009C0894"/>
    <w:rsid w:val="009C5368"/>
    <w:rsid w:val="009D13B8"/>
    <w:rsid w:val="009D2CDE"/>
    <w:rsid w:val="009E70BD"/>
    <w:rsid w:val="009F040E"/>
    <w:rsid w:val="00A07297"/>
    <w:rsid w:val="00A11ED6"/>
    <w:rsid w:val="00A32163"/>
    <w:rsid w:val="00A32406"/>
    <w:rsid w:val="00A33078"/>
    <w:rsid w:val="00A72A0E"/>
    <w:rsid w:val="00A90F88"/>
    <w:rsid w:val="00A9205F"/>
    <w:rsid w:val="00AA0E0C"/>
    <w:rsid w:val="00AA1A3E"/>
    <w:rsid w:val="00AB6961"/>
    <w:rsid w:val="00AC6AEE"/>
    <w:rsid w:val="00AD2654"/>
    <w:rsid w:val="00AD705B"/>
    <w:rsid w:val="00AF5193"/>
    <w:rsid w:val="00B0063A"/>
    <w:rsid w:val="00B00A2B"/>
    <w:rsid w:val="00B11780"/>
    <w:rsid w:val="00B20A8E"/>
    <w:rsid w:val="00B4339E"/>
    <w:rsid w:val="00B54859"/>
    <w:rsid w:val="00B56D93"/>
    <w:rsid w:val="00B65785"/>
    <w:rsid w:val="00B72015"/>
    <w:rsid w:val="00B91F64"/>
    <w:rsid w:val="00B97673"/>
    <w:rsid w:val="00B97C84"/>
    <w:rsid w:val="00BA42E2"/>
    <w:rsid w:val="00BC01CD"/>
    <w:rsid w:val="00BC7A36"/>
    <w:rsid w:val="00BE0A64"/>
    <w:rsid w:val="00BF4743"/>
    <w:rsid w:val="00C46667"/>
    <w:rsid w:val="00C835E9"/>
    <w:rsid w:val="00C85CFE"/>
    <w:rsid w:val="00C9024F"/>
    <w:rsid w:val="00C9343E"/>
    <w:rsid w:val="00CA52E2"/>
    <w:rsid w:val="00CB059D"/>
    <w:rsid w:val="00CE3190"/>
    <w:rsid w:val="00CE7DAB"/>
    <w:rsid w:val="00D031BD"/>
    <w:rsid w:val="00D14201"/>
    <w:rsid w:val="00D15472"/>
    <w:rsid w:val="00D21511"/>
    <w:rsid w:val="00D21782"/>
    <w:rsid w:val="00D22875"/>
    <w:rsid w:val="00D24600"/>
    <w:rsid w:val="00D25ABD"/>
    <w:rsid w:val="00D47392"/>
    <w:rsid w:val="00D4754D"/>
    <w:rsid w:val="00D767A7"/>
    <w:rsid w:val="00D768E8"/>
    <w:rsid w:val="00D77670"/>
    <w:rsid w:val="00D82D4D"/>
    <w:rsid w:val="00DA4A51"/>
    <w:rsid w:val="00DC1B05"/>
    <w:rsid w:val="00DC7436"/>
    <w:rsid w:val="00DF06E7"/>
    <w:rsid w:val="00DF7B28"/>
    <w:rsid w:val="00E02B67"/>
    <w:rsid w:val="00E057E9"/>
    <w:rsid w:val="00E07DD6"/>
    <w:rsid w:val="00E11B14"/>
    <w:rsid w:val="00E15413"/>
    <w:rsid w:val="00E15DB7"/>
    <w:rsid w:val="00E1764C"/>
    <w:rsid w:val="00E22E0A"/>
    <w:rsid w:val="00E24654"/>
    <w:rsid w:val="00E31FB7"/>
    <w:rsid w:val="00E3224A"/>
    <w:rsid w:val="00E325A0"/>
    <w:rsid w:val="00E34B6E"/>
    <w:rsid w:val="00E3725C"/>
    <w:rsid w:val="00E40B48"/>
    <w:rsid w:val="00E53896"/>
    <w:rsid w:val="00E55143"/>
    <w:rsid w:val="00E64B01"/>
    <w:rsid w:val="00E76C55"/>
    <w:rsid w:val="00E76E42"/>
    <w:rsid w:val="00E76FEE"/>
    <w:rsid w:val="00E9151A"/>
    <w:rsid w:val="00E96FFD"/>
    <w:rsid w:val="00E97814"/>
    <w:rsid w:val="00EA11DB"/>
    <w:rsid w:val="00EB2F5C"/>
    <w:rsid w:val="00EC6B5B"/>
    <w:rsid w:val="00EC79C2"/>
    <w:rsid w:val="00ED3331"/>
    <w:rsid w:val="00ED7BE4"/>
    <w:rsid w:val="00EE00AE"/>
    <w:rsid w:val="00EE2910"/>
    <w:rsid w:val="00EF2392"/>
    <w:rsid w:val="00F1238D"/>
    <w:rsid w:val="00F239C3"/>
    <w:rsid w:val="00F25F64"/>
    <w:rsid w:val="00F328E7"/>
    <w:rsid w:val="00F35D24"/>
    <w:rsid w:val="00F377A2"/>
    <w:rsid w:val="00F4299A"/>
    <w:rsid w:val="00F4345F"/>
    <w:rsid w:val="00F5115E"/>
    <w:rsid w:val="00F53382"/>
    <w:rsid w:val="00F53D30"/>
    <w:rsid w:val="00F5435C"/>
    <w:rsid w:val="00F5528E"/>
    <w:rsid w:val="00F71540"/>
    <w:rsid w:val="00F8133C"/>
    <w:rsid w:val="00F82AAF"/>
    <w:rsid w:val="00F82DD5"/>
    <w:rsid w:val="00F839D9"/>
    <w:rsid w:val="00F9090D"/>
    <w:rsid w:val="00F95936"/>
    <w:rsid w:val="00F97DD0"/>
    <w:rsid w:val="00FB0F4A"/>
    <w:rsid w:val="00FB2D9F"/>
    <w:rsid w:val="00FC38BA"/>
    <w:rsid w:val="00FC4EF8"/>
    <w:rsid w:val="00FD2320"/>
    <w:rsid w:val="00FD42CE"/>
    <w:rsid w:val="00FD4F5C"/>
    <w:rsid w:val="00FE02A8"/>
    <w:rsid w:val="00FF2A37"/>
    <w:rsid w:val="00FF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613F0A"/>
  <w15:docId w15:val="{D6F31D8D-AE9B-49D1-BD44-1847F157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5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5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9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81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814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92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2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2F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F5193"/>
  </w:style>
  <w:style w:type="paragraph" w:styleId="DocumentMap">
    <w:name w:val="Document Map"/>
    <w:basedOn w:val="Normal"/>
    <w:link w:val="DocumentMapChar"/>
    <w:uiPriority w:val="99"/>
    <w:semiHidden/>
    <w:unhideWhenUsed/>
    <w:rsid w:val="00ED7BE4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BE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D7BE4"/>
    <w:pPr>
      <w:spacing w:after="0" w:line="240" w:lineRule="auto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0C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2D0C"/>
    <w:rPr>
      <w:vertAlign w:val="superscript"/>
    </w:rPr>
  </w:style>
  <w:style w:type="character" w:customStyle="1" w:styleId="apple-converted-space">
    <w:name w:val="apple-converted-space"/>
    <w:basedOn w:val="DefaultParagraphFont"/>
    <w:rsid w:val="00602D0C"/>
  </w:style>
  <w:style w:type="paragraph" w:styleId="BodyTextIndent2">
    <w:name w:val="Body Text Indent 2"/>
    <w:basedOn w:val="Normal"/>
    <w:link w:val="BodyTextIndent2Char"/>
    <w:semiHidden/>
    <w:rsid w:val="00D031BD"/>
    <w:pPr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31BD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37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37EE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37EE"/>
    <w:rPr>
      <w:vertAlign w:val="superscript"/>
    </w:rPr>
  </w:style>
  <w:style w:type="paragraph" w:customStyle="1" w:styleId="Default">
    <w:name w:val="Default"/>
    <w:rsid w:val="006337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3C8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regon.gov/oha/pcpch/Documents/TA-Guide.pdf" TargetMode="External"/><Relationship Id="rId1" Type="http://schemas.openxmlformats.org/officeDocument/2006/relationships/hyperlink" Target="https://innovation.cms.gov/Files/x/ffs-apm-goalmem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https://www.oregon.gov/oha/HPA/dsi-tc/SB231%20Meeting%20Docs/SB231%20PCPRC%20OHPB%20Recommendations-Payment%20Model.docx</Url>
      <Description>SB231 PCPRC OHPB Recommendations-Payment Model</Description>
    </URL>
    <IACategory xmlns="59da1016-2a1b-4f8a-9768-d7a4932f6f16" xsi:nil="true"/>
    <IASubtopic xmlns="59da1016-2a1b-4f8a-9768-d7a4932f6f16" xsi:nil="true"/>
    <DocumentExpirationDate xmlns="59da1016-2a1b-4f8a-9768-d7a4932f6f16" xsi:nil="true"/>
    <Meeting xmlns="ecb06a9e-6fc1-4070-8311-744ac6523b45">20</Meeting>
    <IATopic xmlns="59da1016-2a1b-4f8a-9768-d7a4932f6f16" xsi:nil="true"/>
    <Meta_x0020_Description xmlns="ecb06a9e-6fc1-4070-8311-744ac6523b45" xsi:nil="true"/>
    <Meta_x0020_Keywords xmlns="ecb06a9e-6fc1-4070-8311-744ac6523b45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18DA48180734E95FC2AC3E39AC7EB" ma:contentTypeVersion="19" ma:contentTypeDescription="Create a new document." ma:contentTypeScope="" ma:versionID="b630d63aad3bea006f3fbb839425306f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ecb06a9e-6fc1-4070-8311-744ac6523b45" xmlns:ns4="http://schemas.microsoft.com/sharepoint/v4" targetNamespace="http://schemas.microsoft.com/office/2006/metadata/properties" ma:root="true" ma:fieldsID="545a9ef7e2d92970a515e086c282855a" ns1:_="" ns2:_="" ns3:_="" ns4:_="">
    <xsd:import namespace="http://schemas.microsoft.com/sharepoint/v3"/>
    <xsd:import namespace="59da1016-2a1b-4f8a-9768-d7a4932f6f16"/>
    <xsd:import namespace="ecb06a9e-6fc1-4070-8311-744ac6523b4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3:Meeting" minOccurs="0"/>
                <xsd:element ref="ns1:URL" minOccurs="0"/>
                <xsd:element ref="ns2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9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06a9e-6fc1-4070-8311-744ac6523b4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Meeting" ma:index="8" nillable="true" ma:displayName="Meeting" ma:list="{b5c0091c-de91-422a-b016-43fdb1a4df94}" ma:internalName="Meeting" ma:readOnly="false" ma:showField="Meeting_x0020_Lookup_x0020_Ref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52926-FBEE-4707-9457-3CEFA54ACA42}"/>
</file>

<file path=customXml/itemProps2.xml><?xml version="1.0" encoding="utf-8"?>
<ds:datastoreItem xmlns:ds="http://schemas.openxmlformats.org/officeDocument/2006/customXml" ds:itemID="{DE581280-56B7-42FF-A840-AE4BDDF71D36}"/>
</file>

<file path=customXml/itemProps3.xml><?xml version="1.0" encoding="utf-8"?>
<ds:datastoreItem xmlns:ds="http://schemas.openxmlformats.org/officeDocument/2006/customXml" ds:itemID="{009CC4B6-134D-416E-942D-EDBF112832FA}"/>
</file>

<file path=customXml/itemProps4.xml><?xml version="1.0" encoding="utf-8"?>
<ds:datastoreItem xmlns:ds="http://schemas.openxmlformats.org/officeDocument/2006/customXml" ds:itemID="{EA95D11C-CBB9-4A77-99BE-7543F001A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SB231 PCPRC OHPB Recommendations-Payment Model</dc:title>
  <dc:creator>Boslaugh Summer H</dc:creator>
  <cp:lastModifiedBy>Cogswell Thomas</cp:lastModifiedBy>
  <cp:revision>2</cp:revision>
  <cp:lastPrinted>2016-11-02T16:55:00Z</cp:lastPrinted>
  <dcterms:created xsi:type="dcterms:W3CDTF">2018-01-17T17:02:00Z</dcterms:created>
  <dcterms:modified xsi:type="dcterms:W3CDTF">2018-01-17T17:02:00Z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0x01010064F18DA48180734E95FC2AC3E39AC7EB</vt:lpwstr>
  </property>
  <property fmtid="{D5CDD505-2E9C-101B-9397-08002B2CF9AE}" pid="3" name="WorkflowChangePath">
    <vt:lpwstr>91ee87d4-02d9-4b9c-86ac-9168d9d116a4,3;</vt:lpwstr>
  </property>
</Properties>
</file>