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16AA" w:rsidRPr="00477299" w:rsidRDefault="00EE108C" w:rsidP="00477299">
      <w:pPr>
        <w:ind w:left="3060" w:hanging="3060"/>
        <w:rPr>
          <w:rFonts w:ascii="KievitPro-Book" w:eastAsia="KievitPro-Book" w:hAnsi="KievitPro-Book" w:cs="KievitPro-Book"/>
        </w:rPr>
      </w:pPr>
      <w:r w:rsidRPr="00A6445F">
        <w:rPr>
          <w:rFonts w:ascii="Arial" w:hAnsi="Arial" w:cs="Arial"/>
          <w:noProof/>
        </w:rPr>
        <w:drawing>
          <wp:inline distT="0" distB="0" distL="0" distR="0" wp14:anchorId="3726F0C8" wp14:editId="6BEFFB4D">
            <wp:extent cx="2257425" cy="647700"/>
            <wp:effectExtent l="0" t="0" r="9525" b="0"/>
            <wp:docPr id="1" name="Picture 1" descr="P:\Communications\Brand\Logo Files\5@10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ommunications\Brand\Logo Files\5@10x-1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7425" cy="647700"/>
                    </a:xfrm>
                    <a:prstGeom prst="rect">
                      <a:avLst/>
                    </a:prstGeom>
                    <a:noFill/>
                    <a:ln>
                      <a:noFill/>
                    </a:ln>
                  </pic:spPr>
                </pic:pic>
              </a:graphicData>
            </a:graphic>
          </wp:inline>
        </w:drawing>
      </w:r>
    </w:p>
    <w:p w:rsidR="00477299" w:rsidRPr="00477299" w:rsidRDefault="00477299" w:rsidP="00477299">
      <w:pPr>
        <w:ind w:left="3060" w:hanging="3060"/>
        <w:rPr>
          <w:rFonts w:ascii="KievitPro-Book" w:eastAsia="KievitPro-Book" w:hAnsi="KievitPro-Book" w:cs="KievitPro-Book"/>
        </w:rPr>
      </w:pPr>
    </w:p>
    <w:p w:rsidR="00477299" w:rsidRDefault="00477299" w:rsidP="00477299">
      <w:pPr>
        <w:ind w:left="3060" w:hanging="3060"/>
        <w:rPr>
          <w:rFonts w:ascii="KievitPro-Book" w:eastAsia="KievitPro-Book" w:hAnsi="KievitPro-Book" w:cs="KievitPro-Book"/>
        </w:rPr>
      </w:pPr>
      <w:r>
        <w:rPr>
          <w:rFonts w:ascii="KievitPro-Book" w:eastAsia="KievitPro-Book" w:hAnsi="KievitPro-Book" w:cs="KievitPro-Book"/>
        </w:rPr>
        <w:t>January 7, 2020</w:t>
      </w:r>
    </w:p>
    <w:p w:rsidR="00477299" w:rsidRDefault="00477299" w:rsidP="00477299">
      <w:pPr>
        <w:ind w:left="3060" w:hanging="3060"/>
        <w:rPr>
          <w:rFonts w:ascii="KievitPro-Book" w:eastAsia="KievitPro-Book" w:hAnsi="KievitPro-Book" w:cs="KievitPro-Book"/>
        </w:rPr>
      </w:pPr>
    </w:p>
    <w:p w:rsidR="00477299" w:rsidRDefault="00477299" w:rsidP="00477299">
      <w:pPr>
        <w:ind w:left="3060" w:hanging="3060"/>
        <w:rPr>
          <w:rFonts w:ascii="KievitPro-Book" w:eastAsia="KievitPro-Book" w:hAnsi="KievitPro-Book" w:cs="KievitPro-Book"/>
        </w:rPr>
      </w:pPr>
      <w:r>
        <w:rPr>
          <w:rFonts w:ascii="KievitPro-Book" w:eastAsia="KievitPro-Book" w:hAnsi="KievitPro-Book" w:cs="KievitPro-Book"/>
        </w:rPr>
        <w:t>Health Policy and Analytics Medicaid Waiver Renewal Team</w:t>
      </w:r>
    </w:p>
    <w:p w:rsidR="00477299" w:rsidRDefault="00477299" w:rsidP="00477299">
      <w:pPr>
        <w:ind w:left="3060" w:hanging="3060"/>
        <w:rPr>
          <w:rFonts w:ascii="KievitPro-Book" w:eastAsia="KievitPro-Book" w:hAnsi="KievitPro-Book" w:cs="KievitPro-Book"/>
        </w:rPr>
      </w:pPr>
      <w:r>
        <w:rPr>
          <w:rFonts w:ascii="KievitPro-Book" w:eastAsia="KievitPro-Book" w:hAnsi="KievitPro-Book" w:cs="KievitPro-Book"/>
        </w:rPr>
        <w:t>Attn: Michelle Hatfield</w:t>
      </w:r>
    </w:p>
    <w:p w:rsidR="00477299" w:rsidRDefault="00477299" w:rsidP="00477299">
      <w:pPr>
        <w:ind w:left="3060" w:hanging="3060"/>
        <w:rPr>
          <w:rFonts w:ascii="KievitPro-Book" w:eastAsia="KievitPro-Book" w:hAnsi="KievitPro-Book" w:cs="KievitPro-Book"/>
        </w:rPr>
      </w:pPr>
      <w:r>
        <w:rPr>
          <w:rFonts w:ascii="KievitPro-Book" w:eastAsia="KievitPro-Book" w:hAnsi="KievitPro-Book" w:cs="KievitPro-Book"/>
        </w:rPr>
        <w:t>500 Summer Street NE, E65</w:t>
      </w:r>
    </w:p>
    <w:p w:rsidR="00477299" w:rsidRDefault="00477299" w:rsidP="00477299">
      <w:pPr>
        <w:ind w:left="3060" w:hanging="3060"/>
        <w:rPr>
          <w:rFonts w:ascii="KievitPro-Book" w:eastAsia="KievitPro-Book" w:hAnsi="KievitPro-Book" w:cs="KievitPro-Book"/>
        </w:rPr>
      </w:pPr>
      <w:r>
        <w:rPr>
          <w:rFonts w:ascii="KievitPro-Book" w:eastAsia="KievitPro-Book" w:hAnsi="KievitPro-Book" w:cs="KievitPro-Book"/>
        </w:rPr>
        <w:t>Salem, OR 97301</w:t>
      </w:r>
    </w:p>
    <w:p w:rsidR="00477299" w:rsidRPr="00477299" w:rsidRDefault="00477299" w:rsidP="00477299">
      <w:pPr>
        <w:ind w:left="3060" w:hanging="3060"/>
        <w:rPr>
          <w:rFonts w:ascii="KievitPro-Book" w:eastAsia="KievitPro-Book" w:hAnsi="KievitPro-Book" w:cs="KievitPro-Book"/>
          <w:sz w:val="16"/>
          <w:szCs w:val="16"/>
        </w:rPr>
      </w:pPr>
    </w:p>
    <w:p w:rsidR="00477299" w:rsidRPr="00477299" w:rsidRDefault="00477299" w:rsidP="00477299">
      <w:pPr>
        <w:ind w:left="720" w:hanging="720"/>
        <w:rPr>
          <w:rFonts w:ascii="KievitPro-Book" w:eastAsia="KievitPro-Book" w:hAnsi="KievitPro-Book" w:cs="KievitPro-Book"/>
          <w:b/>
        </w:rPr>
      </w:pPr>
      <w:r>
        <w:rPr>
          <w:rFonts w:ascii="KievitPro-Book" w:eastAsia="KievitPro-Book" w:hAnsi="KievitPro-Book" w:cs="KievitPro-Book"/>
          <w:b/>
        </w:rPr>
        <w:t xml:space="preserve">RE:   </w:t>
      </w:r>
      <w:r>
        <w:rPr>
          <w:rFonts w:ascii="KievitPro-Book" w:eastAsia="KievitPro-Book" w:hAnsi="KievitPro-Book" w:cs="KievitPro-Book"/>
          <w:b/>
        </w:rPr>
        <w:tab/>
        <w:t xml:space="preserve">DRO’s Public Comment Urging OHA to End a Failed Medicaid Demonstration Waiver &amp; Halt All Use of QALYS or Discriminatory Health Assessment Tools </w:t>
      </w:r>
    </w:p>
    <w:p w:rsidR="006116AA" w:rsidRPr="00477299" w:rsidRDefault="006116AA">
      <w:pPr>
        <w:rPr>
          <w:rFonts w:ascii="KievitPro-Book" w:eastAsia="KievitPro-Book" w:hAnsi="KievitPro-Book" w:cs="KievitPro-Book"/>
          <w:sz w:val="16"/>
          <w:szCs w:val="16"/>
        </w:rPr>
      </w:pPr>
    </w:p>
    <w:p w:rsidR="00477299" w:rsidRDefault="00477299" w:rsidP="00477299">
      <w:pPr>
        <w:ind w:left="3060" w:hanging="3060"/>
        <w:rPr>
          <w:rFonts w:ascii="KievitPro-Book" w:eastAsia="KievitPro-Book" w:hAnsi="KievitPro-Book" w:cs="KievitPro-Book"/>
        </w:rPr>
      </w:pPr>
      <w:r>
        <w:rPr>
          <w:rFonts w:ascii="KievitPro-Book" w:eastAsia="KievitPro-Book" w:hAnsi="KievitPro-Book" w:cs="KievitPro-Book"/>
        </w:rPr>
        <w:t>Dear Health Policy and Analytics Medicaid Waiver Renewal Team:</w:t>
      </w:r>
    </w:p>
    <w:p w:rsidR="00477299" w:rsidRPr="00477299" w:rsidRDefault="00477299">
      <w:pPr>
        <w:rPr>
          <w:rFonts w:ascii="KievitPro-Book" w:eastAsia="KievitPro-Book" w:hAnsi="KievitPro-Book" w:cs="KievitPro-Book"/>
        </w:rPr>
      </w:pPr>
    </w:p>
    <w:p w:rsidR="009A4B0A" w:rsidRPr="00477299" w:rsidRDefault="00571A1D" w:rsidP="0054104D">
      <w:pPr>
        <w:rPr>
          <w:rFonts w:ascii="KievitPro-Book" w:eastAsia="KievitPro-Book" w:hAnsi="KievitPro-Book" w:cs="KievitPro-Book"/>
        </w:rPr>
      </w:pPr>
      <w:r w:rsidRPr="00477299">
        <w:rPr>
          <w:rFonts w:ascii="KievitPro-Book" w:eastAsia="KievitPro-Book" w:hAnsi="KievitPro-Book" w:cs="KievitPro-Book"/>
        </w:rPr>
        <w:t>Disability Rights Orego</w:t>
      </w:r>
      <w:r w:rsidR="009A4B0A" w:rsidRPr="00477299">
        <w:rPr>
          <w:rFonts w:ascii="KievitPro-Book" w:eastAsia="KievitPro-Book" w:hAnsi="KievitPro-Book" w:cs="KievitPro-Book"/>
        </w:rPr>
        <w:t xml:space="preserve">n (DRO) submits this testimony to </w:t>
      </w:r>
      <w:r w:rsidR="0054104D" w:rsidRPr="00477299">
        <w:rPr>
          <w:rFonts w:ascii="KievitPro-Book" w:eastAsia="KievitPro-Book" w:hAnsi="KievitPro-Book" w:cs="KievitPro-Book"/>
        </w:rPr>
        <w:t xml:space="preserve">both request an end to </w:t>
      </w:r>
      <w:r w:rsidR="009A4B0A" w:rsidRPr="00477299">
        <w:rPr>
          <w:rFonts w:ascii="KievitPro-Book" w:eastAsia="KievitPro-Book" w:hAnsi="KievitPro-Book" w:cs="KievitPro-Book"/>
        </w:rPr>
        <w:t xml:space="preserve">the </w:t>
      </w:r>
      <w:r w:rsidR="00FD4114" w:rsidRPr="00477299">
        <w:rPr>
          <w:rFonts w:ascii="KievitPro-Book" w:eastAsia="KievitPro-Book" w:hAnsi="KievitPro-Book" w:cs="KievitPro-Book"/>
        </w:rPr>
        <w:t xml:space="preserve">twenty-year-old </w:t>
      </w:r>
      <w:r w:rsidR="009A4B0A" w:rsidRPr="00477299">
        <w:rPr>
          <w:rFonts w:ascii="KievitPro-Book" w:eastAsia="KievitPro-Book" w:hAnsi="KievitPro-Book" w:cs="KievitPro-Book"/>
        </w:rPr>
        <w:t xml:space="preserve">failed </w:t>
      </w:r>
      <w:r w:rsidR="00FD4114" w:rsidRPr="00477299">
        <w:rPr>
          <w:rFonts w:ascii="KievitPro-Book" w:eastAsia="KievitPro-Book" w:hAnsi="KievitPro-Book" w:cs="KievitPro-Book"/>
        </w:rPr>
        <w:t xml:space="preserve">Medicaid </w:t>
      </w:r>
      <w:r w:rsidR="009A4B0A" w:rsidRPr="00477299">
        <w:rPr>
          <w:rFonts w:ascii="KievitPro-Book" w:eastAsia="KievitPro-Book" w:hAnsi="KievitPro-Book" w:cs="KievitPro-Book"/>
        </w:rPr>
        <w:t xml:space="preserve">demonstration waiver </w:t>
      </w:r>
      <w:r w:rsidR="0054104D" w:rsidRPr="00477299">
        <w:rPr>
          <w:rFonts w:ascii="KievitPro-Book" w:eastAsia="KievitPro-Book" w:hAnsi="KievitPro-Book" w:cs="KievitPro-Book"/>
        </w:rPr>
        <w:t xml:space="preserve">and a rejection </w:t>
      </w:r>
      <w:r w:rsidR="0054104D" w:rsidRPr="00477299">
        <w:rPr>
          <w:rFonts w:ascii="KievitPro-Book" w:eastAsia="Times New Roman" w:hAnsi="KievitPro-Book"/>
          <w:color w:val="000000"/>
        </w:rPr>
        <w:t>quality-adjusted-life-years (QALYs) to determine care.</w:t>
      </w:r>
      <w:r w:rsidR="00E235F6" w:rsidRPr="00477299">
        <w:rPr>
          <w:rFonts w:ascii="KievitPro-Book" w:eastAsia="Times New Roman" w:hAnsi="KievitPro-Book"/>
          <w:color w:val="000000"/>
        </w:rPr>
        <w:t xml:space="preserve">  </w:t>
      </w:r>
      <w:r w:rsidR="00E235F6" w:rsidRPr="00477299">
        <w:rPr>
          <w:rFonts w:ascii="KievitPro-Book" w:eastAsia="KievitPro-Book" w:hAnsi="KievitPro-Book" w:cs="KievitPro-Book"/>
        </w:rPr>
        <w:t xml:space="preserve">For more than 40 years, DRO has served as Oregon’s federally authorized and funded Protection &amp; Advocacy System. DRO is committed to ensuring the civil rights of all people are protected and enforced, including in healthcare settings.  </w:t>
      </w:r>
    </w:p>
    <w:p w:rsidR="0054104D" w:rsidRPr="00477299" w:rsidRDefault="0054104D" w:rsidP="0054104D">
      <w:pPr>
        <w:rPr>
          <w:rFonts w:ascii="KievitPro-Book" w:eastAsia="Times New Roman" w:hAnsi="KievitPro-Book"/>
          <w:color w:val="000000"/>
        </w:rPr>
      </w:pPr>
    </w:p>
    <w:p w:rsidR="0054104D" w:rsidRPr="00477299" w:rsidRDefault="0054104D" w:rsidP="0054104D">
      <w:pPr>
        <w:rPr>
          <w:rFonts w:ascii="KievitPro-Book" w:eastAsia="Times New Roman" w:hAnsi="KievitPro-Book"/>
          <w:color w:val="000000"/>
          <w:u w:val="single"/>
        </w:rPr>
      </w:pPr>
      <w:r w:rsidRPr="00477299">
        <w:rPr>
          <w:rFonts w:ascii="KievitPro-Book" w:eastAsia="Times New Roman" w:hAnsi="KievitPro-Book"/>
          <w:color w:val="000000"/>
          <w:u w:val="single"/>
        </w:rPr>
        <w:t>Ending a Failed Demonstration Waiver</w:t>
      </w:r>
    </w:p>
    <w:p w:rsidR="0054104D" w:rsidRPr="00477299" w:rsidRDefault="0054104D" w:rsidP="0054104D">
      <w:pPr>
        <w:rPr>
          <w:rFonts w:ascii="KievitPro-Book" w:eastAsia="Times New Roman" w:hAnsi="KievitPro-Book"/>
          <w:color w:val="000000"/>
        </w:rPr>
      </w:pPr>
    </w:p>
    <w:p w:rsidR="0054104D" w:rsidRPr="00477299" w:rsidRDefault="00477299" w:rsidP="0054104D">
      <w:pPr>
        <w:rPr>
          <w:rFonts w:ascii="KievitPro-Book" w:eastAsia="KievitPro-Book" w:hAnsi="KievitPro-Book" w:cs="KievitPro-Book"/>
        </w:rPr>
      </w:pPr>
      <w:r>
        <w:rPr>
          <w:rFonts w:ascii="KievitPro-Book" w:hAnsi="KievitPro-Book" w:cs="Arial"/>
          <w:color w:val="202124"/>
          <w:shd w:val="clear" w:color="auto" w:fill="FFFFFF"/>
        </w:rPr>
        <w:t xml:space="preserve">As you know, </w:t>
      </w:r>
      <w:r w:rsidR="00621652">
        <w:rPr>
          <w:rFonts w:ascii="KievitPro-Book" w:hAnsi="KievitPro-Book" w:cs="Arial"/>
          <w:color w:val="202124"/>
          <w:shd w:val="clear" w:color="auto" w:fill="FFFFFF"/>
        </w:rPr>
        <w:t xml:space="preserve">1115 </w:t>
      </w:r>
      <w:r w:rsidR="0054104D" w:rsidRPr="00477299">
        <w:rPr>
          <w:rFonts w:ascii="KievitPro-Book" w:hAnsi="KievitPro-Book" w:cs="Arial"/>
          <w:color w:val="202124"/>
          <w:shd w:val="clear" w:color="auto" w:fill="FFFFFF"/>
        </w:rPr>
        <w:t>Medicaid demonstration waivers offer </w:t>
      </w:r>
      <w:r w:rsidR="0054104D" w:rsidRPr="00477299">
        <w:rPr>
          <w:rFonts w:ascii="KievitPro-Book" w:hAnsi="KievitPro-Book" w:cs="Arial"/>
          <w:bCs/>
          <w:color w:val="202124"/>
          <w:shd w:val="clear" w:color="auto" w:fill="FFFFFF"/>
        </w:rPr>
        <w:t>states an avenue to test new approaches in Medicaid</w:t>
      </w:r>
      <w:r w:rsidR="0054104D" w:rsidRPr="00477299">
        <w:rPr>
          <w:rFonts w:ascii="KievitPro-Book" w:hAnsi="KievitPro-Book" w:cs="Arial"/>
          <w:color w:val="202124"/>
          <w:shd w:val="clear" w:color="auto" w:fill="FFFFFF"/>
        </w:rPr>
        <w:t xml:space="preserve"> that differ from what is required by federal statute. These waivers can provide states additional flexibility in how they operate their programs, beyond the considerable flexibility </w:t>
      </w:r>
      <w:r w:rsidR="00FD4114" w:rsidRPr="00477299">
        <w:rPr>
          <w:rFonts w:ascii="KievitPro-Book" w:hAnsi="KievitPro-Book" w:cs="Arial"/>
          <w:color w:val="202124"/>
          <w:shd w:val="clear" w:color="auto" w:fill="FFFFFF"/>
        </w:rPr>
        <w:t xml:space="preserve">but foundational requirements </w:t>
      </w:r>
      <w:r w:rsidR="0054104D" w:rsidRPr="00477299">
        <w:rPr>
          <w:rFonts w:ascii="KievitPro-Book" w:hAnsi="KievitPro-Book" w:cs="Arial"/>
          <w:color w:val="202124"/>
          <w:shd w:val="clear" w:color="auto" w:fill="FFFFFF"/>
        </w:rPr>
        <w:t>available under federal law.</w:t>
      </w:r>
      <w:r w:rsidR="00FD4114" w:rsidRPr="00477299">
        <w:rPr>
          <w:rFonts w:ascii="KievitPro-Book" w:hAnsi="KievitPro-Book" w:cs="Arial"/>
          <w:color w:val="202124"/>
          <w:shd w:val="clear" w:color="auto" w:fill="FFFFFF"/>
        </w:rPr>
        <w:t xml:space="preserve">  </w:t>
      </w:r>
      <w:r w:rsidR="0054104D" w:rsidRPr="00477299">
        <w:rPr>
          <w:rFonts w:ascii="KievitPro-Book" w:hAnsi="KievitPro-Book" w:cs="Arial"/>
          <w:color w:val="202124"/>
          <w:shd w:val="clear" w:color="auto" w:fill="FFFFFF"/>
        </w:rPr>
        <w:t xml:space="preserve">Oregon’s twenty-year old </w:t>
      </w:r>
      <w:r w:rsidR="00FD4114" w:rsidRPr="00477299">
        <w:rPr>
          <w:rFonts w:ascii="KievitPro-Book" w:hAnsi="KievitPro-Book" w:cs="Arial"/>
          <w:color w:val="202124"/>
          <w:shd w:val="clear" w:color="auto" w:fill="FFFFFF"/>
        </w:rPr>
        <w:t xml:space="preserve">waiver has demonstrated that </w:t>
      </w:r>
      <w:r w:rsidR="0054104D" w:rsidRPr="00477299">
        <w:rPr>
          <w:rFonts w:ascii="KievitPro-Book" w:hAnsi="KievitPro-Book" w:cs="Arial"/>
          <w:color w:val="202124"/>
          <w:shd w:val="clear" w:color="auto" w:fill="FFFFFF"/>
        </w:rPr>
        <w:t>it does not work and should end.</w:t>
      </w:r>
    </w:p>
    <w:p w:rsidR="0054104D" w:rsidRPr="00477299" w:rsidRDefault="0054104D" w:rsidP="0054104D">
      <w:pPr>
        <w:rPr>
          <w:rFonts w:ascii="KievitPro-Book" w:hAnsi="KievitPro-Book" w:cs="Arial"/>
          <w:color w:val="202124"/>
          <w:shd w:val="clear" w:color="auto" w:fill="FFFFFF"/>
        </w:rPr>
      </w:pPr>
    </w:p>
    <w:p w:rsidR="0054104D" w:rsidRPr="00477299" w:rsidRDefault="0054104D" w:rsidP="0054104D">
      <w:pPr>
        <w:rPr>
          <w:rFonts w:ascii="KievitPro-Book" w:hAnsi="KievitPro-Book"/>
        </w:rPr>
      </w:pPr>
      <w:r w:rsidRPr="00477299">
        <w:rPr>
          <w:rFonts w:ascii="KievitPro-Book" w:hAnsi="KievitPro-Book" w:cs="Arial"/>
          <w:color w:val="202124"/>
          <w:shd w:val="clear" w:color="auto" w:fill="FFFFFF"/>
        </w:rPr>
        <w:t xml:space="preserve">In 1992, Oregon’s initial waiver application was rejected by </w:t>
      </w:r>
      <w:r w:rsidRPr="00477299">
        <w:rPr>
          <w:rFonts w:ascii="KievitPro-Book" w:eastAsia="KievitPro-Book" w:hAnsi="KievitPro-Book" w:cs="KievitPro-Book"/>
        </w:rPr>
        <w:t xml:space="preserve">the </w:t>
      </w:r>
      <w:r w:rsidRPr="00477299">
        <w:rPr>
          <w:rFonts w:ascii="KievitPro-Book" w:hAnsi="KievitPro-Book" w:cs="Times New Roman"/>
        </w:rPr>
        <w:t>U.S. Department of Health and Human Services</w:t>
      </w:r>
      <w:r w:rsidR="00E235F6" w:rsidRPr="00477299">
        <w:rPr>
          <w:rFonts w:ascii="KievitPro-Book" w:hAnsi="KievitPro-Book" w:cs="Times New Roman"/>
        </w:rPr>
        <w:t xml:space="preserve">.  The next year, 1993, Oregon’s </w:t>
      </w:r>
      <w:r w:rsidRPr="00477299">
        <w:rPr>
          <w:rFonts w:ascii="KievitPro-Book" w:hAnsi="KievitPro-Book" w:cs="Times New Roman"/>
        </w:rPr>
        <w:t xml:space="preserve">waiver request was approved based on the state’s promise that it </w:t>
      </w:r>
      <w:r w:rsidR="00FD4114" w:rsidRPr="00477299">
        <w:rPr>
          <w:rFonts w:ascii="KievitPro-Book" w:hAnsi="KievitPro-Book" w:cs="Times New Roman"/>
        </w:rPr>
        <w:t>would not discriminate</w:t>
      </w:r>
      <w:r w:rsidRPr="00477299">
        <w:rPr>
          <w:rFonts w:ascii="KievitPro-Book" w:hAnsi="KievitPro-Book" w:cs="Times New Roman"/>
        </w:rPr>
        <w:t xml:space="preserve"> aga</w:t>
      </w:r>
      <w:r w:rsidR="00FD4114" w:rsidRPr="00477299">
        <w:rPr>
          <w:rFonts w:ascii="KievitPro-Book" w:hAnsi="KievitPro-Book" w:cs="Times New Roman"/>
        </w:rPr>
        <w:t xml:space="preserve">inst people with disabilities or violate </w:t>
      </w:r>
      <w:r w:rsidRPr="00477299">
        <w:rPr>
          <w:rFonts w:ascii="KievitPro-Book" w:hAnsi="KievitPro-Book" w:cs="Times New Roman"/>
        </w:rPr>
        <w:t xml:space="preserve">the Americans with Disabilities Act (ADA).  </w:t>
      </w:r>
      <w:r w:rsidRPr="00477299">
        <w:rPr>
          <w:rFonts w:ascii="KievitPro-Book" w:hAnsi="KievitPro-Book"/>
        </w:rPr>
        <w:t>Oregon is the only state to be granted a waiver from the requirements to cover “</w:t>
      </w:r>
      <w:r w:rsidR="00E235F6" w:rsidRPr="00477299">
        <w:rPr>
          <w:rFonts w:ascii="KievitPro-Book" w:hAnsi="KievitPro-Book"/>
        </w:rPr>
        <w:t>all medically n</w:t>
      </w:r>
      <w:r w:rsidRPr="00477299">
        <w:rPr>
          <w:rFonts w:ascii="KievitPro-Book" w:hAnsi="KievitPro-Book"/>
        </w:rPr>
        <w:t xml:space="preserve">ecessary treatments” for children </w:t>
      </w:r>
      <w:r w:rsidR="00E235F6" w:rsidRPr="00477299">
        <w:rPr>
          <w:rFonts w:ascii="KievitPro-Book" w:hAnsi="KievitPro-Book"/>
        </w:rPr>
        <w:t xml:space="preserve">aged </w:t>
      </w:r>
      <w:r w:rsidRPr="00477299">
        <w:rPr>
          <w:rFonts w:ascii="KievitPro-Book" w:hAnsi="KievitPro-Book"/>
        </w:rPr>
        <w:t xml:space="preserve">1-21. DRO believes granting this waiver was mistake and is not in compliance with Medicaid law. </w:t>
      </w:r>
    </w:p>
    <w:p w:rsidR="0054104D" w:rsidRPr="00477299" w:rsidRDefault="0054104D" w:rsidP="0054104D">
      <w:pPr>
        <w:rPr>
          <w:rFonts w:ascii="KievitPro-Book" w:hAnsi="KievitPro-Book" w:cs="Arial"/>
          <w:color w:val="202124"/>
          <w:shd w:val="clear" w:color="auto" w:fill="FFFFFF"/>
        </w:rPr>
      </w:pPr>
    </w:p>
    <w:p w:rsidR="0054104D" w:rsidRPr="00477299" w:rsidRDefault="00FD4114" w:rsidP="0054104D">
      <w:pPr>
        <w:spacing w:after="160" w:line="259" w:lineRule="auto"/>
        <w:rPr>
          <w:rFonts w:ascii="KievitPro-Book" w:hAnsi="KievitPro-Book"/>
        </w:rPr>
      </w:pPr>
      <w:r w:rsidRPr="00477299">
        <w:rPr>
          <w:rFonts w:ascii="KievitPro-Book" w:hAnsi="KievitPro-Book"/>
        </w:rPr>
        <w:t xml:space="preserve">The </w:t>
      </w:r>
      <w:r w:rsidR="00E235F6" w:rsidRPr="00477299">
        <w:rPr>
          <w:rFonts w:ascii="KievitPro-Book" w:hAnsi="KievitPro-Book"/>
        </w:rPr>
        <w:t xml:space="preserve">Medicaid </w:t>
      </w:r>
      <w:r w:rsidRPr="00477299">
        <w:rPr>
          <w:rFonts w:ascii="KievitPro-Book" w:hAnsi="KievitPro-Book"/>
        </w:rPr>
        <w:t>leg</w:t>
      </w:r>
      <w:r w:rsidR="00E235F6" w:rsidRPr="00477299">
        <w:rPr>
          <w:rFonts w:ascii="KievitPro-Book" w:hAnsi="KievitPro-Book"/>
        </w:rPr>
        <w:t>islative intent is clear:</w:t>
      </w:r>
      <w:r w:rsidR="0054104D" w:rsidRPr="00477299">
        <w:rPr>
          <w:rFonts w:ascii="KievitPro-Book" w:hAnsi="KievitPro-Book"/>
        </w:rPr>
        <w:t xml:space="preserve"> Congres</w:t>
      </w:r>
      <w:r w:rsidRPr="00477299">
        <w:rPr>
          <w:rFonts w:ascii="KievitPro-Book" w:hAnsi="KievitPro-Book"/>
        </w:rPr>
        <w:t>s directed states to cover</w:t>
      </w:r>
      <w:r w:rsidR="0054104D" w:rsidRPr="00477299">
        <w:rPr>
          <w:rFonts w:ascii="KievitPro-Book" w:hAnsi="KievitPro-Book"/>
        </w:rPr>
        <w:t xml:space="preserve"> medically necessary </w:t>
      </w:r>
      <w:r w:rsidRPr="00477299">
        <w:rPr>
          <w:rFonts w:ascii="KievitPro-Book" w:hAnsi="KievitPro-Book"/>
        </w:rPr>
        <w:t xml:space="preserve">screening, testing and services </w:t>
      </w:r>
      <w:r w:rsidR="00E235F6" w:rsidRPr="00477299">
        <w:rPr>
          <w:rFonts w:ascii="KievitPro-Book" w:hAnsi="KievitPro-Book"/>
        </w:rPr>
        <w:t xml:space="preserve">to children </w:t>
      </w:r>
      <w:r w:rsidR="0054104D" w:rsidRPr="00477299">
        <w:rPr>
          <w:rFonts w:ascii="KievitPro-Book" w:hAnsi="KievitPro-Book"/>
        </w:rPr>
        <w:t>even if that state did not cover them for adult</w:t>
      </w:r>
      <w:r w:rsidR="00E235F6" w:rsidRPr="00477299">
        <w:rPr>
          <w:rFonts w:ascii="KievitPro-Book" w:hAnsi="KievitPro-Book"/>
        </w:rPr>
        <w:t>s</w:t>
      </w:r>
      <w:r w:rsidR="0054104D" w:rsidRPr="00477299">
        <w:rPr>
          <w:rFonts w:ascii="KievitPro-Book" w:hAnsi="KievitPro-Book"/>
        </w:rPr>
        <w:t xml:space="preserve">. </w:t>
      </w:r>
      <w:r w:rsidR="00E235F6" w:rsidRPr="00477299">
        <w:rPr>
          <w:rFonts w:ascii="KievitPro-Book" w:hAnsi="KievitPro-Book"/>
        </w:rPr>
        <w:t xml:space="preserve"> Federal Medicaid law makes clear that </w:t>
      </w:r>
      <w:r w:rsidR="0054104D" w:rsidRPr="00477299">
        <w:rPr>
          <w:rFonts w:ascii="KievitPro-Book" w:hAnsi="KievitPro-Book"/>
        </w:rPr>
        <w:t xml:space="preserve">early intervention and treatment </w:t>
      </w:r>
      <w:r w:rsidR="00E235F6" w:rsidRPr="00477299">
        <w:rPr>
          <w:rFonts w:ascii="KievitPro-Book" w:hAnsi="KievitPro-Book"/>
        </w:rPr>
        <w:t xml:space="preserve">maximizes a child’s success as </w:t>
      </w:r>
      <w:r w:rsidR="0054104D" w:rsidRPr="00477299">
        <w:rPr>
          <w:rFonts w:ascii="KievitPro-Book" w:hAnsi="KievitPro-Book"/>
        </w:rPr>
        <w:t xml:space="preserve">an adult. </w:t>
      </w:r>
      <w:r w:rsidR="00E235F6" w:rsidRPr="00477299">
        <w:rPr>
          <w:rFonts w:ascii="KievitPro-Book" w:hAnsi="KievitPro-Book"/>
        </w:rPr>
        <w:t xml:space="preserve"> It’s time that Oregon prioritizes its children and complies with this law.</w:t>
      </w:r>
      <w:r w:rsidR="00477299">
        <w:rPr>
          <w:rFonts w:ascii="KievitPro-Book" w:hAnsi="KievitPro-Book"/>
        </w:rPr>
        <w:t xml:space="preserve">  </w:t>
      </w:r>
      <w:r w:rsidR="0054104D" w:rsidRPr="00477299">
        <w:rPr>
          <w:rFonts w:ascii="KievitPro-Book" w:hAnsi="KievitPro-Book"/>
        </w:rPr>
        <w:t xml:space="preserve">Twenty years is long enough to try to prove whether the state’s approach works.  There is no </w:t>
      </w:r>
      <w:r w:rsidR="00E235F6" w:rsidRPr="00477299">
        <w:rPr>
          <w:rFonts w:ascii="KievitPro-Book" w:hAnsi="KievitPro-Book"/>
        </w:rPr>
        <w:t xml:space="preserve">longer a </w:t>
      </w:r>
      <w:r w:rsidR="0054104D" w:rsidRPr="00477299">
        <w:rPr>
          <w:rFonts w:ascii="KievitPro-Book" w:hAnsi="KievitPro-Book"/>
        </w:rPr>
        <w:t xml:space="preserve">compelling argument for why Oregon needs a waiver from EPSDT. The children of Oregon deserve access to medically necessary treatment like the rest of the nation. </w:t>
      </w:r>
    </w:p>
    <w:p w:rsidR="00EE108C" w:rsidRDefault="00EE108C">
      <w:pPr>
        <w:rPr>
          <w:rFonts w:ascii="KievitPro-Book" w:eastAsia="KievitPro-Book" w:hAnsi="KievitPro-Book" w:cs="KievitPro-Book"/>
          <w:u w:val="single"/>
        </w:rPr>
      </w:pPr>
    </w:p>
    <w:p w:rsidR="009A4B0A" w:rsidRPr="00477299" w:rsidRDefault="0054104D">
      <w:pPr>
        <w:rPr>
          <w:rFonts w:ascii="KievitPro-Book" w:eastAsia="KievitPro-Book" w:hAnsi="KievitPro-Book" w:cs="KievitPro-Book"/>
          <w:u w:val="single"/>
        </w:rPr>
      </w:pPr>
      <w:r w:rsidRPr="00477299">
        <w:rPr>
          <w:rFonts w:ascii="KievitPro-Book" w:eastAsia="KievitPro-Book" w:hAnsi="KievitPro-Book" w:cs="KievitPro-Book"/>
          <w:u w:val="single"/>
        </w:rPr>
        <w:t>Rejecting QALYs</w:t>
      </w:r>
    </w:p>
    <w:p w:rsidR="0054104D" w:rsidRPr="00477299" w:rsidRDefault="0054104D" w:rsidP="009A4B0A">
      <w:pPr>
        <w:rPr>
          <w:rFonts w:ascii="KievitPro-Book" w:eastAsia="KievitPro-Book" w:hAnsi="KievitPro-Book" w:cs="KievitPro-Book"/>
        </w:rPr>
      </w:pPr>
    </w:p>
    <w:p w:rsidR="00FD4114" w:rsidRPr="00477299" w:rsidRDefault="0054104D" w:rsidP="009A4B0A">
      <w:pPr>
        <w:rPr>
          <w:rFonts w:ascii="KievitPro-Book" w:eastAsia="Times New Roman" w:hAnsi="KievitPro-Book"/>
          <w:color w:val="000000"/>
        </w:rPr>
      </w:pPr>
      <w:r w:rsidRPr="00477299">
        <w:rPr>
          <w:rFonts w:ascii="KievitPro-Book" w:eastAsia="Times New Roman" w:hAnsi="KievitPro-Book"/>
          <w:color w:val="000000"/>
        </w:rPr>
        <w:t>DRO also</w:t>
      </w:r>
      <w:r w:rsidR="009A4B0A" w:rsidRPr="00477299">
        <w:rPr>
          <w:rFonts w:ascii="KievitPro-Book" w:eastAsia="Times New Roman" w:hAnsi="KievitPro-Book"/>
          <w:color w:val="000000"/>
        </w:rPr>
        <w:t xml:space="preserve"> represent</w:t>
      </w:r>
      <w:r w:rsidRPr="00477299">
        <w:rPr>
          <w:rFonts w:ascii="KievitPro-Book" w:eastAsia="Times New Roman" w:hAnsi="KievitPro-Book"/>
          <w:color w:val="000000"/>
        </w:rPr>
        <w:t>s</w:t>
      </w:r>
      <w:r w:rsidR="009A4B0A" w:rsidRPr="00477299">
        <w:rPr>
          <w:rFonts w:ascii="KievitPro-Book" w:eastAsia="Times New Roman" w:hAnsi="KievitPro-Book"/>
          <w:color w:val="000000"/>
        </w:rPr>
        <w:t xml:space="preserve"> a diverse community of people with disabilities who strenuously oppose the use of quality-adjusted-life-years (QALYs) to determine care. </w:t>
      </w:r>
      <w:r w:rsidR="00E235F6" w:rsidRPr="00477299">
        <w:rPr>
          <w:rFonts w:ascii="KievitPro-Book" w:eastAsia="Times New Roman" w:hAnsi="KievitPro-Book"/>
          <w:color w:val="000000"/>
          <w:shd w:val="clear" w:color="auto" w:fill="FFFFFF"/>
        </w:rPr>
        <w:t xml:space="preserve">QALYs attempt to measure </w:t>
      </w:r>
      <w:r w:rsidR="009A4B0A" w:rsidRPr="00477299">
        <w:rPr>
          <w:rFonts w:ascii="KievitPro-Book" w:eastAsia="Times New Roman" w:hAnsi="KievitPro-Book"/>
          <w:color w:val="000000"/>
          <w:shd w:val="clear" w:color="auto" w:fill="FFFFFF"/>
        </w:rPr>
        <w:t xml:space="preserve">the value of health outcome to help a health care provider determine the cost-effectiveness of any treatment. </w:t>
      </w:r>
      <w:r w:rsidR="009A4B0A" w:rsidRPr="00477299">
        <w:rPr>
          <w:rFonts w:ascii="KievitPro-Book" w:eastAsia="Times New Roman" w:hAnsi="KievitPro-Book"/>
          <w:color w:val="000000"/>
        </w:rPr>
        <w:t>In the guise of</w:t>
      </w:r>
      <w:r w:rsidR="00FD4114" w:rsidRPr="00477299">
        <w:rPr>
          <w:rFonts w:ascii="KievitPro-Book" w:eastAsia="Times New Roman" w:hAnsi="KievitPro-Book"/>
          <w:color w:val="000000"/>
        </w:rPr>
        <w:t xml:space="preserve"> cutting healthcare costs, QALY scores</w:t>
      </w:r>
      <w:r w:rsidR="009A4B0A" w:rsidRPr="00477299">
        <w:rPr>
          <w:rFonts w:ascii="KievitPro-Book" w:eastAsia="Times New Roman" w:hAnsi="KievitPro-Book"/>
          <w:color w:val="000000"/>
        </w:rPr>
        <w:t xml:space="preserve"> are</w:t>
      </w:r>
      <w:r w:rsidR="00FD4114" w:rsidRPr="00477299">
        <w:rPr>
          <w:rFonts w:ascii="KievitPro-Book" w:eastAsia="Times New Roman" w:hAnsi="KievitPro-Book"/>
          <w:color w:val="000000"/>
        </w:rPr>
        <w:t xml:space="preserve"> inherently</w:t>
      </w:r>
      <w:r w:rsidR="009A4B0A" w:rsidRPr="00477299">
        <w:rPr>
          <w:rFonts w:ascii="KievitPro-Book" w:eastAsia="Times New Roman" w:hAnsi="KievitPro-Book"/>
          <w:color w:val="000000"/>
        </w:rPr>
        <w:t xml:space="preserve"> discriminatory, placing an arbitrary value on the lives of people with disabilities, patients, older adults and people of color because of existing disparities in healthcare.</w:t>
      </w:r>
      <w:r w:rsidR="00FD4114" w:rsidRPr="00477299">
        <w:rPr>
          <w:rFonts w:ascii="KievitPro-Book" w:eastAsia="Times New Roman" w:hAnsi="KievitPro-Book"/>
          <w:color w:val="000000"/>
        </w:rPr>
        <w:t xml:space="preserve">  </w:t>
      </w:r>
      <w:r w:rsidR="00FD4114" w:rsidRPr="00477299">
        <w:rPr>
          <w:rFonts w:ascii="KievitPro-Book" w:hAnsi="KievitPro-Book"/>
        </w:rPr>
        <w:t xml:space="preserve">The measure of “quality of life” used as a multiplier in the QALY is not based in science but rather complete based on the bias perceptions of medical professionals. QALY scores have no place in deciding what conditions will be covered or not covered </w:t>
      </w:r>
      <w:r w:rsidR="00E235F6" w:rsidRPr="00477299">
        <w:rPr>
          <w:rFonts w:ascii="KievitPro-Book" w:hAnsi="KievitPro-Book"/>
        </w:rPr>
        <w:t>in Oregon’s Medicaid Program</w:t>
      </w:r>
      <w:r w:rsidR="00FD4114" w:rsidRPr="00477299">
        <w:rPr>
          <w:rFonts w:ascii="KievitPro-Book" w:hAnsi="KievitPro-Book"/>
        </w:rPr>
        <w:t xml:space="preserve">. </w:t>
      </w:r>
    </w:p>
    <w:p w:rsidR="009A4B0A" w:rsidRPr="00477299" w:rsidRDefault="009A4B0A" w:rsidP="009A4B0A">
      <w:pPr>
        <w:rPr>
          <w:rFonts w:ascii="KievitPro-Book" w:eastAsia="Times New Roman" w:hAnsi="KievitPro-Book" w:cs="Times New Roman"/>
        </w:rPr>
      </w:pPr>
    </w:p>
    <w:p w:rsidR="009A4B0A" w:rsidRPr="00477299" w:rsidRDefault="009A4B0A" w:rsidP="009A4B0A">
      <w:pPr>
        <w:rPr>
          <w:rFonts w:ascii="KievitPro-Book" w:eastAsia="Times New Roman" w:hAnsi="KievitPro-Book"/>
          <w:color w:val="000000"/>
        </w:rPr>
      </w:pPr>
      <w:r w:rsidRPr="00477299">
        <w:rPr>
          <w:rFonts w:ascii="KievitPro-Book" w:eastAsia="Times New Roman" w:hAnsi="KievitPro-Book"/>
          <w:color w:val="000000"/>
        </w:rPr>
        <w:t xml:space="preserve">The National Council on Disability, an independent federal agency charged with making recommendations to the President and U.S. Congress, </w:t>
      </w:r>
      <w:hyperlink r:id="rId9" w:history="1">
        <w:r w:rsidRPr="00477299">
          <w:rPr>
            <w:rStyle w:val="Hyperlink"/>
            <w:rFonts w:ascii="KievitPro-Book" w:eastAsia="Times New Roman" w:hAnsi="KievitPro-Book"/>
          </w:rPr>
          <w:t>found QALYs</w:t>
        </w:r>
      </w:hyperlink>
      <w:r w:rsidRPr="00477299">
        <w:rPr>
          <w:rFonts w:ascii="KievitPro-Book" w:eastAsia="Times New Roman" w:hAnsi="KievitPro-Book"/>
          <w:color w:val="000000"/>
        </w:rPr>
        <w:t xml:space="preserve"> place a lower value on the lives of people with chronic illnesses and disabilities. This approach leads to a devaluation of the lives of Americans and perpetuates unequal access to healthcare.</w:t>
      </w:r>
    </w:p>
    <w:p w:rsidR="00FD4114" w:rsidRPr="00477299" w:rsidRDefault="00FD4114" w:rsidP="009A4B0A">
      <w:pPr>
        <w:rPr>
          <w:rFonts w:ascii="KievitPro-Book" w:eastAsia="Times New Roman" w:hAnsi="KievitPro-Book"/>
          <w:color w:val="000000"/>
        </w:rPr>
      </w:pPr>
    </w:p>
    <w:p w:rsidR="00FD4114" w:rsidRPr="00477299" w:rsidRDefault="00FD4114" w:rsidP="00FD4114">
      <w:pPr>
        <w:spacing w:after="160" w:line="259" w:lineRule="auto"/>
        <w:rPr>
          <w:rFonts w:ascii="KievitPro-Book" w:hAnsi="KievitPro-Book"/>
        </w:rPr>
      </w:pPr>
      <w:r w:rsidRPr="00477299">
        <w:rPr>
          <w:rFonts w:ascii="KievitPro-Book" w:hAnsi="KievitPro-Book"/>
        </w:rPr>
        <w:t>The Oregon Health Authority (OHA) now says they stopped rely on QALY scores in 2017 and only uses QALY scores for background information.  Yet, OHA woul</w:t>
      </w:r>
      <w:r w:rsidR="00E235F6" w:rsidRPr="00477299">
        <w:rPr>
          <w:rFonts w:ascii="KievitPro-Book" w:hAnsi="KievitPro-Book"/>
        </w:rPr>
        <w:t xml:space="preserve">d not provide DRO </w:t>
      </w:r>
      <w:r w:rsidRPr="00477299">
        <w:rPr>
          <w:rFonts w:ascii="KievitPro-Book" w:hAnsi="KievitPro-Book"/>
        </w:rPr>
        <w:t xml:space="preserve">with the scoring formula they are now using.  OHA would </w:t>
      </w:r>
      <w:r w:rsidR="00E235F6" w:rsidRPr="00477299">
        <w:rPr>
          <w:rFonts w:ascii="KievitPro-Book" w:hAnsi="KievitPro-Book"/>
        </w:rPr>
        <w:t xml:space="preserve">also </w:t>
      </w:r>
      <w:r w:rsidRPr="00477299">
        <w:rPr>
          <w:rFonts w:ascii="KievitPro-Book" w:hAnsi="KievitPro-Book"/>
        </w:rPr>
        <w:t xml:space="preserve">not commit to </w:t>
      </w:r>
      <w:r w:rsidR="00E235F6" w:rsidRPr="00477299">
        <w:rPr>
          <w:rFonts w:ascii="KievitPro-Book" w:hAnsi="KievitPro-Book"/>
        </w:rPr>
        <w:t xml:space="preserve">prohibiting the use of </w:t>
      </w:r>
      <w:r w:rsidRPr="00477299">
        <w:rPr>
          <w:rFonts w:ascii="KievitPro-Book" w:hAnsi="KievitPro-Book"/>
        </w:rPr>
        <w:t>QALY in Health Evidence Review Committee (HERC) scoring conversations.  Due to the lack of transparency regarding such a critical topic, we are left to as</w:t>
      </w:r>
      <w:r w:rsidR="00E235F6" w:rsidRPr="00477299">
        <w:rPr>
          <w:rFonts w:ascii="KievitPro-Book" w:hAnsi="KievitPro-Book"/>
        </w:rPr>
        <w:t>sume that Oregon still relies</w:t>
      </w:r>
      <w:r w:rsidRPr="00477299">
        <w:rPr>
          <w:rFonts w:ascii="KievitPro-Book" w:hAnsi="KievitPro-Book"/>
        </w:rPr>
        <w:t xml:space="preserve"> on a discriminatory scoring process to determine who gets </w:t>
      </w:r>
      <w:r w:rsidR="00E235F6" w:rsidRPr="00477299">
        <w:rPr>
          <w:rFonts w:ascii="KievitPro-Book" w:hAnsi="KievitPro-Book"/>
        </w:rPr>
        <w:t>health</w:t>
      </w:r>
      <w:r w:rsidRPr="00477299">
        <w:rPr>
          <w:rFonts w:ascii="KievitPro-Book" w:hAnsi="KievitPro-Book"/>
        </w:rPr>
        <w:t xml:space="preserve">care.  </w:t>
      </w:r>
    </w:p>
    <w:p w:rsidR="009A4B0A" w:rsidRPr="00477299" w:rsidRDefault="00FD4114" w:rsidP="00FD4114">
      <w:pPr>
        <w:spacing w:after="160" w:line="259" w:lineRule="auto"/>
        <w:rPr>
          <w:rFonts w:ascii="KievitPro-Book" w:hAnsi="KievitPro-Book"/>
        </w:rPr>
      </w:pPr>
      <w:r w:rsidRPr="00477299">
        <w:rPr>
          <w:rFonts w:ascii="KievitPro-Book" w:hAnsi="KievitPro-Book"/>
        </w:rPr>
        <w:t>DRO</w:t>
      </w:r>
      <w:r w:rsidR="009A4B0A" w:rsidRPr="00477299">
        <w:rPr>
          <w:rFonts w:ascii="KievitPro-Book" w:eastAsia="Times New Roman" w:hAnsi="KievitPro-Book"/>
          <w:color w:val="000000"/>
        </w:rPr>
        <w:t xml:space="preserve"> oppose</w:t>
      </w:r>
      <w:r w:rsidRPr="00477299">
        <w:rPr>
          <w:rFonts w:ascii="KievitPro-Book" w:eastAsia="Times New Roman" w:hAnsi="KievitPro-Book"/>
          <w:color w:val="000000"/>
        </w:rPr>
        <w:t>s</w:t>
      </w:r>
      <w:r w:rsidR="009A4B0A" w:rsidRPr="00477299">
        <w:rPr>
          <w:rFonts w:ascii="KievitPro-Book" w:eastAsia="Times New Roman" w:hAnsi="KievitPro-Book"/>
          <w:color w:val="000000"/>
        </w:rPr>
        <w:t xml:space="preserve"> any policies that use QALYs or other discriminatory health asse</w:t>
      </w:r>
      <w:r w:rsidR="00E235F6" w:rsidRPr="00477299">
        <w:rPr>
          <w:rFonts w:ascii="KievitPro-Book" w:eastAsia="Times New Roman" w:hAnsi="KievitPro-Book"/>
          <w:color w:val="000000"/>
        </w:rPr>
        <w:t>ssment tools</w:t>
      </w:r>
      <w:r w:rsidR="009A4B0A" w:rsidRPr="00477299">
        <w:rPr>
          <w:rFonts w:ascii="KievitPro-Book" w:eastAsia="Times New Roman" w:hAnsi="KievitPro-Book"/>
          <w:color w:val="000000"/>
        </w:rPr>
        <w:t>. People with disabilities, older adults and people of color already face discrimination in their lives, we don’t need healthcare policies implemented in a global pandemic to systemically deprioritize resources from protected classes.  Such policies would move our state backwards rather than forward and exacerbate existing disparities.</w:t>
      </w:r>
    </w:p>
    <w:p w:rsidR="006116AA" w:rsidRDefault="009A4B0A">
      <w:pPr>
        <w:rPr>
          <w:rFonts w:ascii="KievitPro-Book" w:eastAsia="Times New Roman" w:hAnsi="KievitPro-Book"/>
          <w:color w:val="000000"/>
        </w:rPr>
      </w:pPr>
      <w:r w:rsidRPr="00477299">
        <w:rPr>
          <w:rFonts w:ascii="KievitPro-Book" w:eastAsia="Times New Roman" w:hAnsi="KievitPro-Book"/>
          <w:color w:val="000000"/>
        </w:rPr>
        <w:t>While the disability community has been told our lives don't have as much value as other Oregonians, we refuse to accept this discrimination. What we need from policymakers is to make clear the lives of all Oregonians are equally valued and that discrimination against any protected class will not be tolerated. We need affordable, equitable, and safe medical treatments and technology.  For this reason, we urge you to reject any discriminatory framework that values the lives of some people over others.</w:t>
      </w:r>
    </w:p>
    <w:p w:rsidR="00477299" w:rsidRDefault="00477299">
      <w:pPr>
        <w:rPr>
          <w:rFonts w:ascii="KievitPro-Book" w:eastAsia="Times New Roman" w:hAnsi="KievitPro-Book"/>
          <w:color w:val="000000"/>
        </w:rPr>
      </w:pPr>
    </w:p>
    <w:p w:rsidR="00477299" w:rsidRDefault="00477299">
      <w:pPr>
        <w:rPr>
          <w:rFonts w:ascii="KievitPro-Book" w:eastAsia="Times New Roman" w:hAnsi="KievitPro-Book"/>
          <w:color w:val="000000"/>
        </w:rPr>
      </w:pPr>
      <w:r>
        <w:rPr>
          <w:rFonts w:ascii="KievitPro-Book" w:eastAsia="Times New Roman" w:hAnsi="KievitPro-Book"/>
          <w:color w:val="000000"/>
        </w:rPr>
        <w:t xml:space="preserve">Sincerely, </w:t>
      </w:r>
    </w:p>
    <w:p w:rsidR="00477299" w:rsidRDefault="00477299">
      <w:pPr>
        <w:rPr>
          <w:rFonts w:ascii="KievitPro-Book" w:eastAsia="Times New Roman" w:hAnsi="KievitPro-Book"/>
          <w:color w:val="000000"/>
        </w:rPr>
      </w:pPr>
    </w:p>
    <w:p w:rsidR="00477299" w:rsidRDefault="00477299">
      <w:pPr>
        <w:rPr>
          <w:rFonts w:ascii="KievitPro-Book" w:eastAsia="Times New Roman" w:hAnsi="KievitPro-Book"/>
          <w:color w:val="000000"/>
        </w:rPr>
      </w:pPr>
    </w:p>
    <w:p w:rsidR="00477299" w:rsidRDefault="00477299">
      <w:pPr>
        <w:rPr>
          <w:rFonts w:ascii="KievitPro-Book" w:eastAsia="Times New Roman" w:hAnsi="KievitPro-Book"/>
          <w:color w:val="000000"/>
        </w:rPr>
      </w:pPr>
    </w:p>
    <w:p w:rsidR="00477299" w:rsidRDefault="00477299">
      <w:pPr>
        <w:rPr>
          <w:rFonts w:ascii="KievitPro-Book" w:eastAsia="Times New Roman" w:hAnsi="KievitPro-Book"/>
          <w:color w:val="000000"/>
        </w:rPr>
      </w:pPr>
      <w:r>
        <w:rPr>
          <w:rFonts w:ascii="KievitPro-Book" w:eastAsia="Times New Roman" w:hAnsi="KievitPro-Book"/>
          <w:color w:val="000000"/>
        </w:rPr>
        <w:t>Megan Moyer</w:t>
      </w:r>
    </w:p>
    <w:p w:rsidR="00B97020" w:rsidRDefault="00477299">
      <w:pPr>
        <w:rPr>
          <w:rFonts w:ascii="KievitPro-Book" w:eastAsia="Times New Roman" w:hAnsi="KievitPro-Book"/>
          <w:color w:val="000000"/>
        </w:rPr>
      </w:pPr>
      <w:r>
        <w:rPr>
          <w:rFonts w:ascii="KievitPro-Book" w:eastAsia="Times New Roman" w:hAnsi="KievitPro-Book"/>
          <w:color w:val="000000"/>
        </w:rPr>
        <w:t xml:space="preserve">Public Policy Director </w:t>
      </w:r>
      <w:bookmarkStart w:id="0" w:name="_heading=h.gjdgxs" w:colFirst="0" w:colLast="0"/>
      <w:bookmarkEnd w:id="0"/>
    </w:p>
    <w:p w:rsidR="00B97020" w:rsidRDefault="00B97020" w:rsidP="00B97020">
      <w:pPr>
        <w:jc w:val="center"/>
      </w:pPr>
      <w:r>
        <w:rPr>
          <w:noProof/>
        </w:rPr>
        <w:lastRenderedPageBreak/>
        <w:drawing>
          <wp:inline distT="0" distB="0" distL="0" distR="0" wp14:anchorId="3F5DECDD" wp14:editId="1154BF97">
            <wp:extent cx="4505901" cy="1290151"/>
            <wp:effectExtent l="0" t="0" r="3175" b="5715"/>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Ic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59908" cy="1305615"/>
                    </a:xfrm>
                    <a:prstGeom prst="rect">
                      <a:avLst/>
                    </a:prstGeom>
                  </pic:spPr>
                </pic:pic>
              </a:graphicData>
            </a:graphic>
          </wp:inline>
        </w:drawing>
      </w:r>
    </w:p>
    <w:p w:rsidR="00B97020" w:rsidRDefault="00B97020" w:rsidP="00B97020">
      <w:pPr>
        <w:jc w:val="center"/>
      </w:pPr>
    </w:p>
    <w:p w:rsidR="00B97020" w:rsidRDefault="00B97020" w:rsidP="00B97020">
      <w:pPr>
        <w:jc w:val="center"/>
      </w:pPr>
      <w:r>
        <w:rPr>
          <w:noProof/>
        </w:rPr>
        <w:drawing>
          <wp:inline distT="0" distB="0" distL="0" distR="0" wp14:anchorId="7B46CD82" wp14:editId="6646E345">
            <wp:extent cx="693533" cy="744279"/>
            <wp:effectExtent l="0" t="0" r="5080" b="508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706711" cy="758421"/>
                    </a:xfrm>
                    <a:prstGeom prst="rect">
                      <a:avLst/>
                    </a:prstGeom>
                  </pic:spPr>
                </pic:pic>
              </a:graphicData>
            </a:graphic>
          </wp:inline>
        </w:drawing>
      </w:r>
      <w:r>
        <w:t xml:space="preserve">  </w:t>
      </w:r>
      <w:r>
        <w:rPr>
          <w:noProof/>
        </w:rPr>
        <w:drawing>
          <wp:inline distT="0" distB="0" distL="0" distR="0" wp14:anchorId="4889AF66" wp14:editId="651AB405">
            <wp:extent cx="1709121" cy="765544"/>
            <wp:effectExtent l="0" t="0" r="5715"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52567" cy="785004"/>
                    </a:xfrm>
                    <a:prstGeom prst="rect">
                      <a:avLst/>
                    </a:prstGeom>
                  </pic:spPr>
                </pic:pic>
              </a:graphicData>
            </a:graphic>
          </wp:inline>
        </w:drawing>
      </w:r>
      <w:r>
        <w:t xml:space="preserve">  </w:t>
      </w:r>
      <w:r>
        <w:rPr>
          <w:noProof/>
        </w:rPr>
        <w:drawing>
          <wp:inline distT="0" distB="0" distL="0" distR="0" wp14:anchorId="4C790719" wp14:editId="5A121768">
            <wp:extent cx="1895169" cy="723013"/>
            <wp:effectExtent l="0" t="0" r="0" b="127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990868" cy="759522"/>
                    </a:xfrm>
                    <a:prstGeom prst="rect">
                      <a:avLst/>
                    </a:prstGeom>
                  </pic:spPr>
                </pic:pic>
              </a:graphicData>
            </a:graphic>
          </wp:inline>
        </w:drawing>
      </w:r>
    </w:p>
    <w:p w:rsidR="00B97020" w:rsidRDefault="00B97020" w:rsidP="00B97020">
      <w:pPr>
        <w:jc w:val="center"/>
      </w:pPr>
      <w:r>
        <w:rPr>
          <w:noProof/>
        </w:rPr>
        <w:drawing>
          <wp:inline distT="0" distB="0" distL="0" distR="0" wp14:anchorId="0318DC02" wp14:editId="6BBCE96D">
            <wp:extent cx="1828800" cy="482600"/>
            <wp:effectExtent l="0" t="0" r="0" b="0"/>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828800" cy="482600"/>
                    </a:xfrm>
                    <a:prstGeom prst="rect">
                      <a:avLst/>
                    </a:prstGeom>
                  </pic:spPr>
                </pic:pic>
              </a:graphicData>
            </a:graphic>
          </wp:inline>
        </w:drawing>
      </w:r>
      <w:r>
        <w:t xml:space="preserve">  </w:t>
      </w:r>
      <w:r>
        <w:rPr>
          <w:noProof/>
        </w:rPr>
        <w:drawing>
          <wp:inline distT="0" distB="0" distL="0" distR="0" wp14:anchorId="4953FD5A" wp14:editId="362B2EC0">
            <wp:extent cx="1046579" cy="630407"/>
            <wp:effectExtent l="0" t="0" r="0" b="5080"/>
            <wp:docPr id="6" name="Picture 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graphical user interfac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00925" cy="663142"/>
                    </a:xfrm>
                    <a:prstGeom prst="rect">
                      <a:avLst/>
                    </a:prstGeom>
                  </pic:spPr>
                </pic:pic>
              </a:graphicData>
            </a:graphic>
          </wp:inline>
        </w:drawing>
      </w:r>
      <w:r>
        <w:t xml:space="preserve"> </w:t>
      </w:r>
      <w:r>
        <w:rPr>
          <w:noProof/>
        </w:rPr>
        <w:drawing>
          <wp:inline distT="0" distB="0" distL="0" distR="0" wp14:anchorId="31AD5969" wp14:editId="624BECEE">
            <wp:extent cx="1193800" cy="292100"/>
            <wp:effectExtent l="0" t="0" r="0" b="0"/>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93800" cy="292100"/>
                    </a:xfrm>
                    <a:prstGeom prst="rect">
                      <a:avLst/>
                    </a:prstGeom>
                  </pic:spPr>
                </pic:pic>
              </a:graphicData>
            </a:graphic>
          </wp:inline>
        </w:drawing>
      </w:r>
      <w:r>
        <w:t xml:space="preserve">  </w:t>
      </w:r>
      <w:r>
        <w:rPr>
          <w:noProof/>
        </w:rPr>
        <w:drawing>
          <wp:inline distT="0" distB="0" distL="0" distR="0" wp14:anchorId="15CD53DC" wp14:editId="0116D9E5">
            <wp:extent cx="664420" cy="711909"/>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79937" cy="728535"/>
                    </a:xfrm>
                    <a:prstGeom prst="rect">
                      <a:avLst/>
                    </a:prstGeom>
                  </pic:spPr>
                </pic:pic>
              </a:graphicData>
            </a:graphic>
          </wp:inline>
        </w:drawing>
      </w:r>
    </w:p>
    <w:p w:rsidR="00B97020" w:rsidRDefault="00B97020" w:rsidP="00B97020"/>
    <w:p w:rsidR="00B97020" w:rsidRDefault="00B97020" w:rsidP="00B97020">
      <w:r>
        <w:t>Dear Policymaker,</w:t>
      </w:r>
    </w:p>
    <w:p w:rsidR="00B97020" w:rsidRDefault="00B97020" w:rsidP="00B97020"/>
    <w:p w:rsidR="00B97020" w:rsidRDefault="00B97020" w:rsidP="00B97020">
      <w:r>
        <w:t xml:space="preserve">We represent a diverse community of people with disabilities who strenuously oppose the use of quality-adjusted-life-years (QALYs) to determine care. </w:t>
      </w:r>
      <w:r>
        <w:rPr>
          <w:color w:val="000000"/>
          <w:highlight w:val="white"/>
        </w:rPr>
        <w:t xml:space="preserve">QALYs attempt to measure the value of health outcomes to help a health care provider determine the cost-effectiveness of any treatment. </w:t>
      </w:r>
      <w:r>
        <w:t>In the guise of cutting healthcare costs, QALYs are discriminatory, placing an arbitrary value on the lives of people with disabilities, patients, older adults and people of color because of existing disparities in healthcare.</w:t>
      </w:r>
    </w:p>
    <w:p w:rsidR="00B97020" w:rsidRDefault="00B97020" w:rsidP="00B97020"/>
    <w:p w:rsidR="00B97020" w:rsidRDefault="00B97020" w:rsidP="00B97020">
      <w:r>
        <w:t>We can all agree that healthcare costs are too high and require an equitable, efficient review.  However, QALYs will disproportionately harm Oregonians who need help most. Oregon went down this ill-advised road in the 1990s when the Oregon Health Services Commission ranked the value of healthcare treatments for various conditions in its Medicaid program, prompting the U.S. Department of Health and Human Services to reject the state’s Medicaid waiver because the practice violated the Americans with Disabilities Act.</w:t>
      </w:r>
    </w:p>
    <w:p w:rsidR="00B97020" w:rsidRDefault="00B97020" w:rsidP="00B97020"/>
    <w:p w:rsidR="00B97020" w:rsidRDefault="00B97020" w:rsidP="00B97020">
      <w:r>
        <w:rPr>
          <w:color w:val="000000"/>
          <w:highlight w:val="white"/>
        </w:rPr>
        <w:t>The phrase “quality of life” is often a euphemism for stereotypes and prejudice about the lives of people with disabilities and chronic health conditions. </w:t>
      </w:r>
      <w:r>
        <w:t>These biased equations often oversimplify the value a treatment would have on a person's life and have no place in the United States where, for over thirty years, we have outlawed discrimination against people with disabilities, patients, older adults and people of color that often result in healthcare disparities.</w:t>
      </w:r>
    </w:p>
    <w:p w:rsidR="00B97020" w:rsidRDefault="00B97020" w:rsidP="00B97020"/>
    <w:p w:rsidR="00B97020" w:rsidRDefault="00B97020" w:rsidP="00B97020">
      <w:r>
        <w:t>The National Council on Disability, an independent federal agency charged with making recommendations to the President and U.S. Congress, found QALYs place a lower value on the lives of people with chronic illnesses and disabilities. This approach leads to a devaluation of the lives of Americans and perpetuates unequal access to healthcare.</w:t>
      </w:r>
    </w:p>
    <w:p w:rsidR="00B97020" w:rsidRDefault="00B97020" w:rsidP="00B97020"/>
    <w:p w:rsidR="00B97020" w:rsidRDefault="00B97020" w:rsidP="00B97020">
      <w:r>
        <w:lastRenderedPageBreak/>
        <w:t>We oppose any policies that use QALYs or other discriminatory health assessment tools and will oppose them. People with disabilities, older adults and people of color already face discrimination in their lives, we don’t need healthcare policies implemented in a global pandemic to systemically deprioritize resources from protected classes.  Such policies would move our state backwards rather than forward and exacerbate existing disparities.</w:t>
      </w:r>
    </w:p>
    <w:p w:rsidR="00B97020" w:rsidRDefault="00B97020" w:rsidP="00B97020"/>
    <w:p w:rsidR="00B97020" w:rsidRDefault="00B97020" w:rsidP="00B97020">
      <w:bookmarkStart w:id="1" w:name="_gjdgxs" w:colFirst="0" w:colLast="0"/>
      <w:bookmarkEnd w:id="1"/>
      <w:r>
        <w:t>While the disability and chronic disease community has been told our lives don't have as much value as other Oregonians, we refuse to accept this discrimination. What we need from policymakers is to make clear the lives of all Oregonians are equally valued and that discrimination against any protected class will not be tolerated. We need affordable, equitable, and safe medical treatments and technology. For this reason, we urge you to reject any discriminatory framework that includes QALYs and values the lives of some people over others.</w:t>
      </w:r>
    </w:p>
    <w:p w:rsidR="00B97020" w:rsidRDefault="00B97020" w:rsidP="00B97020"/>
    <w:p w:rsidR="00B97020" w:rsidRDefault="00B97020" w:rsidP="00B97020">
      <w:r>
        <w:t>Sincerely,</w:t>
      </w:r>
    </w:p>
    <w:p w:rsidR="00B97020" w:rsidRDefault="00B97020" w:rsidP="00B97020">
      <w:r>
        <w:t>Disability Rights Oregon</w:t>
      </w:r>
    </w:p>
    <w:p w:rsidR="00B97020" w:rsidRDefault="00B97020" w:rsidP="00B97020">
      <w:r>
        <w:t xml:space="preserve">Caring Ambassadors </w:t>
      </w:r>
    </w:p>
    <w:p w:rsidR="00B97020" w:rsidRDefault="00B97020" w:rsidP="00B97020">
      <w:r>
        <w:t>Epilepsy Foundation</w:t>
      </w:r>
    </w:p>
    <w:p w:rsidR="00B97020" w:rsidRDefault="00B97020" w:rsidP="00B97020">
      <w:r>
        <w:t>ICAN, International Cancer Advocacy Network</w:t>
      </w:r>
    </w:p>
    <w:p w:rsidR="00B97020" w:rsidRDefault="00B97020" w:rsidP="00B97020">
      <w:r w:rsidRPr="002E50F8">
        <w:t>Kaleidoscope Fighting Lupus</w:t>
      </w:r>
    </w:p>
    <w:p w:rsidR="00B97020" w:rsidRDefault="00B97020" w:rsidP="00B97020">
      <w:r>
        <w:t>Lupus Foundation of America</w:t>
      </w:r>
    </w:p>
    <w:p w:rsidR="00B97020" w:rsidRDefault="00B97020" w:rsidP="00B97020">
      <w:r>
        <w:t>NAMI Oregon</w:t>
      </w:r>
    </w:p>
    <w:p w:rsidR="00B97020" w:rsidRDefault="00B97020" w:rsidP="00B97020">
      <w:r w:rsidRPr="004A2948">
        <w:t>The ALS Association Oregon &amp; SW Washington Chapter</w:t>
      </w:r>
    </w:p>
    <w:p w:rsidR="00B97020" w:rsidRPr="00B97020" w:rsidRDefault="00B97020">
      <w:pPr>
        <w:rPr>
          <w:rFonts w:ascii="KievitPro-Book" w:eastAsia="Times New Roman" w:hAnsi="KievitPro-Book"/>
          <w:color w:val="000000"/>
        </w:rPr>
      </w:pPr>
      <w:bookmarkStart w:id="2" w:name="_GoBack"/>
      <w:bookmarkEnd w:id="2"/>
    </w:p>
    <w:sectPr w:rsidR="00B97020" w:rsidRPr="00B97020">
      <w:footerReference w:type="default" r:id="rId18"/>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5B0" w:rsidRDefault="00B115B0">
      <w:r>
        <w:separator/>
      </w:r>
    </w:p>
  </w:endnote>
  <w:endnote w:type="continuationSeparator" w:id="0">
    <w:p w:rsidR="00B115B0" w:rsidRDefault="00B1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ievitPro-Book">
    <w:panose1 w:val="020B0604030101020102"/>
    <w:charset w:val="00"/>
    <w:family w:val="swiss"/>
    <w:notTrueType/>
    <w:pitch w:val="variable"/>
    <w:sig w:usb0="A00002FF" w:usb1="4000205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Calibri" w:hAnsi="Calibri" w:cs="Calibri"/>
      </w:rPr>
      <w:id w:val="1342593670"/>
      <w:docPartObj>
        <w:docPartGallery w:val="Page Numbers (Bottom of Page)"/>
        <w:docPartUnique/>
      </w:docPartObj>
    </w:sdtPr>
    <w:sdtEndPr>
      <w:rPr>
        <w:noProof/>
      </w:rPr>
    </w:sdtEndPr>
    <w:sdtContent>
      <w:p w:rsidR="00477299" w:rsidRPr="00477299" w:rsidRDefault="00477299" w:rsidP="00477299">
        <w:pPr>
          <w:pStyle w:val="NormalWeb"/>
          <w:spacing w:before="30" w:beforeAutospacing="0" w:after="0" w:afterAutospacing="0"/>
          <w:ind w:left="90" w:right="-20"/>
          <w:jc w:val="right"/>
          <w:rPr>
            <w:rFonts w:ascii="KievitPro-Book" w:hAnsi="KievitPro-Book"/>
            <w:sz w:val="22"/>
            <w:szCs w:val="22"/>
          </w:rPr>
        </w:pPr>
        <w:r w:rsidRPr="00477299">
          <w:rPr>
            <w:rFonts w:ascii="KievitPro-Book" w:hAnsi="KievitPro-Book" w:cs="Arial"/>
            <w:color w:val="00446A"/>
            <w:sz w:val="22"/>
            <w:szCs w:val="22"/>
          </w:rPr>
          <w:t>511 SW 10th Avenue, Suite 200 / Portland, OR 97205</w:t>
        </w:r>
      </w:p>
      <w:p w:rsidR="00477299" w:rsidRPr="00477299" w:rsidRDefault="00477299" w:rsidP="00477299">
        <w:pPr>
          <w:pStyle w:val="NormalWeb"/>
          <w:spacing w:before="33" w:beforeAutospacing="0" w:after="0" w:afterAutospacing="0"/>
          <w:ind w:left="90" w:right="-20"/>
          <w:jc w:val="right"/>
          <w:rPr>
            <w:rFonts w:ascii="KievitPro-Book" w:hAnsi="KievitPro-Book"/>
            <w:sz w:val="22"/>
            <w:szCs w:val="22"/>
          </w:rPr>
        </w:pPr>
        <w:r w:rsidRPr="00477299">
          <w:rPr>
            <w:rFonts w:ascii="KievitPro-Book" w:hAnsi="KievitPro-Book" w:cs="Arial"/>
            <w:color w:val="00446A"/>
            <w:sz w:val="22"/>
            <w:szCs w:val="22"/>
          </w:rPr>
          <w:t xml:space="preserve">Voice: 503-243-2081 or 1-800-452-1694 / Fax: 503-243-1732 / </w:t>
        </w:r>
        <w:hyperlink r:id="rId1" w:history="1">
          <w:r w:rsidRPr="00477299">
            <w:rPr>
              <w:rStyle w:val="Hyperlink"/>
              <w:rFonts w:ascii="KievitPro-Book" w:eastAsia="Calibri" w:hAnsi="KievitPro-Book" w:cs="Arial"/>
              <w:color w:val="00446A"/>
              <w:sz w:val="22"/>
              <w:szCs w:val="22"/>
              <w:u w:val="none"/>
            </w:rPr>
            <w:t>www.droregon.org</w:t>
          </w:r>
        </w:hyperlink>
      </w:p>
      <w:p w:rsidR="00477299" w:rsidRPr="00477299" w:rsidRDefault="00477299" w:rsidP="00477299">
        <w:pPr>
          <w:pStyle w:val="NormalWeb"/>
          <w:spacing w:before="33" w:beforeAutospacing="0" w:after="0" w:afterAutospacing="0"/>
          <w:ind w:left="90" w:right="-20"/>
          <w:jc w:val="right"/>
          <w:rPr>
            <w:rFonts w:ascii="KievitPro-Book" w:hAnsi="KievitPro-Book"/>
            <w:sz w:val="22"/>
            <w:szCs w:val="22"/>
          </w:rPr>
        </w:pPr>
        <w:r w:rsidRPr="00477299">
          <w:rPr>
            <w:rFonts w:ascii="KievitPro-Book" w:hAnsi="KievitPro-Book" w:cs="Arial"/>
            <w:color w:val="00446A"/>
            <w:sz w:val="22"/>
            <w:szCs w:val="22"/>
          </w:rPr>
          <w:t>Disability Rights Oregon is the Protection and Advocacy System for Oregon</w:t>
        </w:r>
      </w:p>
      <w:p w:rsidR="00E235F6" w:rsidRDefault="00B115B0">
        <w:pPr>
          <w:pStyle w:val="Footer"/>
          <w:jc w:val="center"/>
        </w:pPr>
      </w:p>
    </w:sdtContent>
  </w:sdt>
  <w:p w:rsidR="006116AA" w:rsidRDefault="006116AA">
    <w:pPr>
      <w:tabs>
        <w:tab w:val="right" w:pos="9360"/>
      </w:tabs>
      <w:rPr>
        <w:rFonts w:ascii="KievitPro-Book" w:eastAsia="KievitPro-Book" w:hAnsi="KievitPro-Book" w:cs="KievitPro-Book"/>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5B0" w:rsidRDefault="00B115B0">
      <w:r>
        <w:separator/>
      </w:r>
    </w:p>
  </w:footnote>
  <w:footnote w:type="continuationSeparator" w:id="0">
    <w:p w:rsidR="00B115B0" w:rsidRDefault="00B11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050FF"/>
    <w:multiLevelType w:val="hybridMultilevel"/>
    <w:tmpl w:val="19E48880"/>
    <w:lvl w:ilvl="0" w:tplc="78828C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CD1A8B"/>
    <w:multiLevelType w:val="hybridMultilevel"/>
    <w:tmpl w:val="A94C61B2"/>
    <w:lvl w:ilvl="0" w:tplc="19FC60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AA"/>
    <w:rsid w:val="00477299"/>
    <w:rsid w:val="0054104D"/>
    <w:rsid w:val="00571A1D"/>
    <w:rsid w:val="006116AA"/>
    <w:rsid w:val="00621652"/>
    <w:rsid w:val="009A4B0A"/>
    <w:rsid w:val="00AF657D"/>
    <w:rsid w:val="00B115B0"/>
    <w:rsid w:val="00B4073D"/>
    <w:rsid w:val="00B97020"/>
    <w:rsid w:val="00D31609"/>
    <w:rsid w:val="00E235F6"/>
    <w:rsid w:val="00EE108C"/>
    <w:rsid w:val="00FD4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119DB"/>
  <w15:docId w15:val="{6A35D840-3366-4A61-B9FC-70CA79FE5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32205"/>
  </w:style>
  <w:style w:type="paragraph" w:styleId="Heading1">
    <w:name w:val="heading 1"/>
    <w:basedOn w:val="Normal"/>
    <w:next w:val="Normal"/>
    <w:link w:val="Heading1Char"/>
    <w:uiPriority w:val="9"/>
    <w:qFormat/>
    <w:rsid w:val="00E958F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43512"/>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F133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632205"/>
    <w:pPr>
      <w:ind w:left="720"/>
      <w:contextualSpacing/>
    </w:pPr>
  </w:style>
  <w:style w:type="character" w:customStyle="1" w:styleId="il">
    <w:name w:val="il"/>
    <w:basedOn w:val="DefaultParagraphFont"/>
    <w:rsid w:val="00632205"/>
  </w:style>
  <w:style w:type="paragraph" w:styleId="CommentText">
    <w:name w:val="annotation text"/>
    <w:basedOn w:val="Normal"/>
    <w:link w:val="CommentTextChar"/>
    <w:uiPriority w:val="99"/>
    <w:unhideWhenUsed/>
    <w:rsid w:val="00632205"/>
    <w:rPr>
      <w:sz w:val="20"/>
      <w:szCs w:val="20"/>
    </w:rPr>
  </w:style>
  <w:style w:type="character" w:customStyle="1" w:styleId="CommentTextChar">
    <w:name w:val="Comment Text Char"/>
    <w:basedOn w:val="DefaultParagraphFont"/>
    <w:link w:val="CommentText"/>
    <w:uiPriority w:val="99"/>
    <w:rsid w:val="00632205"/>
    <w:rPr>
      <w:rFonts w:ascii="Calibri" w:eastAsia="Calibri" w:hAnsi="Calibri" w:cs="Calibri"/>
      <w:sz w:val="20"/>
      <w:szCs w:val="20"/>
    </w:rPr>
  </w:style>
  <w:style w:type="paragraph" w:styleId="Header">
    <w:name w:val="header"/>
    <w:basedOn w:val="Normal"/>
    <w:link w:val="HeaderChar"/>
    <w:uiPriority w:val="99"/>
    <w:unhideWhenUsed/>
    <w:rsid w:val="005022FF"/>
    <w:pPr>
      <w:tabs>
        <w:tab w:val="center" w:pos="4680"/>
        <w:tab w:val="right" w:pos="9360"/>
      </w:tabs>
    </w:pPr>
  </w:style>
  <w:style w:type="character" w:customStyle="1" w:styleId="HeaderChar">
    <w:name w:val="Header Char"/>
    <w:basedOn w:val="DefaultParagraphFont"/>
    <w:link w:val="Header"/>
    <w:uiPriority w:val="99"/>
    <w:rsid w:val="005022FF"/>
    <w:rPr>
      <w:rFonts w:ascii="Calibri" w:eastAsia="Calibri" w:hAnsi="Calibri" w:cs="Calibri"/>
      <w:sz w:val="24"/>
      <w:szCs w:val="24"/>
    </w:rPr>
  </w:style>
  <w:style w:type="paragraph" w:styleId="Footer">
    <w:name w:val="footer"/>
    <w:basedOn w:val="Normal"/>
    <w:link w:val="FooterChar"/>
    <w:uiPriority w:val="99"/>
    <w:unhideWhenUsed/>
    <w:rsid w:val="005022FF"/>
    <w:pPr>
      <w:tabs>
        <w:tab w:val="center" w:pos="4680"/>
        <w:tab w:val="right" w:pos="9360"/>
      </w:tabs>
    </w:pPr>
  </w:style>
  <w:style w:type="character" w:customStyle="1" w:styleId="FooterChar">
    <w:name w:val="Footer Char"/>
    <w:basedOn w:val="DefaultParagraphFont"/>
    <w:link w:val="Footer"/>
    <w:uiPriority w:val="99"/>
    <w:rsid w:val="005022FF"/>
    <w:rPr>
      <w:rFonts w:ascii="Calibri" w:eastAsia="Calibri" w:hAnsi="Calibri" w:cs="Calibri"/>
      <w:sz w:val="24"/>
      <w:szCs w:val="24"/>
    </w:rPr>
  </w:style>
  <w:style w:type="character" w:styleId="CommentReference">
    <w:name w:val="annotation reference"/>
    <w:basedOn w:val="DefaultParagraphFont"/>
    <w:uiPriority w:val="99"/>
    <w:semiHidden/>
    <w:unhideWhenUsed/>
    <w:rsid w:val="00417FB5"/>
    <w:rPr>
      <w:sz w:val="16"/>
      <w:szCs w:val="16"/>
    </w:rPr>
  </w:style>
  <w:style w:type="paragraph" w:styleId="CommentSubject">
    <w:name w:val="annotation subject"/>
    <w:basedOn w:val="CommentText"/>
    <w:next w:val="CommentText"/>
    <w:link w:val="CommentSubjectChar"/>
    <w:uiPriority w:val="99"/>
    <w:semiHidden/>
    <w:unhideWhenUsed/>
    <w:rsid w:val="00417FB5"/>
    <w:rPr>
      <w:b/>
      <w:bCs/>
    </w:rPr>
  </w:style>
  <w:style w:type="character" w:customStyle="1" w:styleId="CommentSubjectChar">
    <w:name w:val="Comment Subject Char"/>
    <w:basedOn w:val="CommentTextChar"/>
    <w:link w:val="CommentSubject"/>
    <w:uiPriority w:val="99"/>
    <w:semiHidden/>
    <w:rsid w:val="00417FB5"/>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417F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7FB5"/>
    <w:rPr>
      <w:rFonts w:ascii="Segoe UI" w:eastAsia="Calibri" w:hAnsi="Segoe UI" w:cs="Segoe UI"/>
      <w:sz w:val="18"/>
      <w:szCs w:val="18"/>
    </w:rPr>
  </w:style>
  <w:style w:type="character" w:styleId="Hyperlink">
    <w:name w:val="Hyperlink"/>
    <w:basedOn w:val="DefaultParagraphFont"/>
    <w:uiPriority w:val="99"/>
    <w:unhideWhenUsed/>
    <w:rsid w:val="001A5AA3"/>
    <w:rPr>
      <w:color w:val="0563C1" w:themeColor="hyperlink"/>
      <w:u w:val="single"/>
    </w:rPr>
  </w:style>
  <w:style w:type="character" w:styleId="FootnoteReference">
    <w:name w:val="footnote reference"/>
    <w:basedOn w:val="DefaultParagraphFont"/>
    <w:unhideWhenUsed/>
    <w:rsid w:val="006859B8"/>
    <w:rPr>
      <w:vertAlign w:val="superscript"/>
    </w:rPr>
  </w:style>
  <w:style w:type="paragraph" w:styleId="FootnoteText">
    <w:name w:val="footnote text"/>
    <w:basedOn w:val="Normal"/>
    <w:link w:val="FootnoteTextChar"/>
    <w:uiPriority w:val="99"/>
    <w:unhideWhenUsed/>
    <w:rsid w:val="005E3C8B"/>
    <w:pPr>
      <w:widowControl w:val="0"/>
    </w:pPr>
    <w:rPr>
      <w:rFonts w:ascii="KievitPro-Book" w:eastAsiaTheme="minorHAnsi" w:hAnsi="KievitPro-Book" w:cstheme="minorBidi"/>
      <w:sz w:val="20"/>
      <w:szCs w:val="20"/>
    </w:rPr>
  </w:style>
  <w:style w:type="character" w:customStyle="1" w:styleId="FootnoteTextChar">
    <w:name w:val="Footnote Text Char"/>
    <w:basedOn w:val="DefaultParagraphFont"/>
    <w:link w:val="FootnoteText"/>
    <w:uiPriority w:val="99"/>
    <w:rsid w:val="005E3C8B"/>
    <w:rPr>
      <w:sz w:val="20"/>
      <w:szCs w:val="20"/>
    </w:rPr>
  </w:style>
  <w:style w:type="character" w:customStyle="1" w:styleId="Heading2Char">
    <w:name w:val="Heading 2 Char"/>
    <w:basedOn w:val="DefaultParagraphFont"/>
    <w:link w:val="Heading2"/>
    <w:uiPriority w:val="9"/>
    <w:rsid w:val="00743512"/>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743512"/>
    <w:rPr>
      <w:rFonts w:asciiTheme="minorHAnsi" w:hAnsiTheme="minorHAnsi"/>
    </w:rPr>
  </w:style>
  <w:style w:type="table" w:styleId="TableGrid">
    <w:name w:val="Table Grid"/>
    <w:basedOn w:val="TableNormal"/>
    <w:uiPriority w:val="39"/>
    <w:rsid w:val="00743512"/>
    <w:rPr>
      <w:rFonts w:asciiTheme="minorHAnsi" w:hAnsiTheme="minorHAnsi"/>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58F6"/>
    <w:rPr>
      <w:color w:val="605E5C"/>
      <w:shd w:val="clear" w:color="auto" w:fill="E1DFDD"/>
    </w:rPr>
  </w:style>
  <w:style w:type="character" w:customStyle="1" w:styleId="Heading1Char">
    <w:name w:val="Heading 1 Char"/>
    <w:basedOn w:val="DefaultParagraphFont"/>
    <w:link w:val="Heading1"/>
    <w:uiPriority w:val="9"/>
    <w:rsid w:val="00E958F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F1330"/>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365227"/>
    <w:rPr>
      <w:b/>
      <w:bCs/>
    </w:rPr>
  </w:style>
  <w:style w:type="character" w:customStyle="1" w:styleId="UnresolvedMention2">
    <w:name w:val="Unresolved Mention2"/>
    <w:basedOn w:val="DefaultParagraphFont"/>
    <w:uiPriority w:val="99"/>
    <w:semiHidden/>
    <w:unhideWhenUsed/>
    <w:rsid w:val="0065633D"/>
    <w:rPr>
      <w:color w:val="605E5C"/>
      <w:shd w:val="clear" w:color="auto" w:fill="E1DFDD"/>
    </w:rPr>
  </w:style>
  <w:style w:type="character" w:styleId="FollowedHyperlink">
    <w:name w:val="FollowedHyperlink"/>
    <w:basedOn w:val="DefaultParagraphFont"/>
    <w:uiPriority w:val="99"/>
    <w:semiHidden/>
    <w:unhideWhenUsed/>
    <w:rsid w:val="005F7F7C"/>
    <w:rPr>
      <w:color w:val="954F72" w:themeColor="followedHyperlink"/>
      <w:u w:val="single"/>
    </w:rPr>
  </w:style>
  <w:style w:type="character" w:customStyle="1" w:styleId="UnresolvedMention3">
    <w:name w:val="Unresolved Mention3"/>
    <w:basedOn w:val="DefaultParagraphFont"/>
    <w:uiPriority w:val="99"/>
    <w:semiHidden/>
    <w:unhideWhenUsed/>
    <w:rsid w:val="00104DDF"/>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9A4B0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689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cd.gov/sites/default/files/NCD_Quality_Adjusted_Life_Report_508.pdf" TargetMode="External"/><Relationship Id="rId14" Type="http://schemas.openxmlformats.org/officeDocument/2006/relationships/image" Target="media/image6.jpg"/></Relationships>
</file>

<file path=word/_rels/footer1.xml.rels><?xml version="1.0" encoding="UTF-8" standalone="yes"?>
<Relationships xmlns="http://schemas.openxmlformats.org/package/2006/relationships"><Relationship Id="rId1" Type="http://schemas.openxmlformats.org/officeDocument/2006/relationships/hyperlink" Target="http://www.droreg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ZONdEqMf7sWdL0/tdoRaq/hkCA==">AMUW2mVPtwUi07Gl+UDtB4DtiZJsOKEyCaoPAMlVw3zvEHehJXiAJlPlhLYnP1NljM5ruP7Ewyg7Gt8jI2cfmDIfmqjbyPuXrHdS+2eDgVCdua/qnV11cg0s/Fil5qDI3izX2fjzWJ0l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jcornett</dc:creator>
  <cp:lastModifiedBy>Meghan Moyer</cp:lastModifiedBy>
  <cp:revision>2</cp:revision>
  <dcterms:created xsi:type="dcterms:W3CDTF">2022-01-07T23:01:00Z</dcterms:created>
  <dcterms:modified xsi:type="dcterms:W3CDTF">2022-01-07T23:01:00Z</dcterms:modified>
</cp:coreProperties>
</file>