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0C8F" w14:textId="593F43EB" w:rsidR="00364DB9" w:rsidRPr="000C6DAD" w:rsidRDefault="00364DB9" w:rsidP="334CC2BC">
      <w:pPr>
        <w:ind w:left="720" w:hanging="720"/>
        <w:jc w:val="center"/>
        <w:rPr>
          <w:rFonts w:eastAsiaTheme="minorEastAsia"/>
          <w:b/>
          <w:bCs/>
          <w:color w:val="4472C4" w:themeColor="accent1"/>
          <w:sz w:val="40"/>
          <w:szCs w:val="40"/>
        </w:rPr>
      </w:pPr>
      <w:r w:rsidRPr="334CC2BC">
        <w:rPr>
          <w:rFonts w:eastAsiaTheme="minorEastAsia"/>
          <w:b/>
          <w:bCs/>
          <w:color w:val="4472C4" w:themeColor="accent1"/>
          <w:sz w:val="40"/>
          <w:szCs w:val="40"/>
        </w:rPr>
        <w:t>GUIDANCE DOCUMENT FOR INSOLVENCY PLAN</w:t>
      </w:r>
      <w:r w:rsidR="005F4CFC" w:rsidRPr="334CC2BC">
        <w:rPr>
          <w:rFonts w:eastAsiaTheme="minorEastAsia"/>
          <w:b/>
          <w:bCs/>
          <w:color w:val="4472C4" w:themeColor="accent1"/>
          <w:sz w:val="40"/>
          <w:szCs w:val="40"/>
        </w:rPr>
        <w:t xml:space="preserve"> </w:t>
      </w:r>
    </w:p>
    <w:p w14:paraId="37F9022B" w14:textId="77777777" w:rsidR="00364DB9" w:rsidRDefault="00364DB9" w:rsidP="334CC2BC">
      <w:pPr>
        <w:ind w:left="720" w:hanging="720"/>
        <w:rPr>
          <w:rFonts w:eastAsiaTheme="minorEastAsia"/>
        </w:rPr>
      </w:pPr>
    </w:p>
    <w:p w14:paraId="61896411" w14:textId="3D21D52D" w:rsidR="0079273A" w:rsidRPr="00364218" w:rsidRDefault="0063532F" w:rsidP="00364218">
      <w:pPr>
        <w:pStyle w:val="Heading1"/>
      </w:pPr>
      <w:bookmarkStart w:id="0" w:name="_Toc170136667"/>
      <w:bookmarkStart w:id="1" w:name="_Toc170137668"/>
      <w:r w:rsidRPr="334CC2BC">
        <w:t>PURPOSE</w:t>
      </w:r>
      <w:bookmarkEnd w:id="0"/>
      <w:bookmarkEnd w:id="1"/>
    </w:p>
    <w:p w14:paraId="7E38AF40" w14:textId="1EE5EF42" w:rsidR="0063532F" w:rsidRPr="00F5393C" w:rsidRDefault="00B86EFC" w:rsidP="334CC2BC">
      <w:pPr>
        <w:rPr>
          <w:rFonts w:eastAsiaTheme="minorEastAsia"/>
        </w:rPr>
      </w:pPr>
      <w:r w:rsidRPr="334CC2BC">
        <w:rPr>
          <w:rFonts w:eastAsiaTheme="minorEastAsia"/>
        </w:rPr>
        <w:t>T</w:t>
      </w:r>
      <w:r w:rsidR="00F5393C" w:rsidRPr="334CC2BC">
        <w:rPr>
          <w:rFonts w:eastAsiaTheme="minorEastAsia"/>
        </w:rPr>
        <w:t>he purpose of this</w:t>
      </w:r>
      <w:r w:rsidR="00E33C46" w:rsidRPr="334CC2BC">
        <w:rPr>
          <w:rFonts w:eastAsiaTheme="minorEastAsia"/>
        </w:rPr>
        <w:t xml:space="preserve"> </w:t>
      </w:r>
      <w:r w:rsidR="002B2351" w:rsidRPr="334CC2BC">
        <w:rPr>
          <w:rFonts w:eastAsiaTheme="minorEastAsia"/>
        </w:rPr>
        <w:t xml:space="preserve">Guidance Document </w:t>
      </w:r>
      <w:r w:rsidR="00F5393C" w:rsidRPr="334CC2BC">
        <w:rPr>
          <w:rFonts w:eastAsiaTheme="minorEastAsia"/>
        </w:rPr>
        <w:t xml:space="preserve">is to establish the requirements of the CCOs’ written </w:t>
      </w:r>
      <w:r w:rsidR="00314B1C" w:rsidRPr="334CC2BC">
        <w:rPr>
          <w:rFonts w:eastAsiaTheme="minorEastAsia"/>
        </w:rPr>
        <w:t>Insolvency Plan (“</w:t>
      </w:r>
      <w:r w:rsidR="00314B1C" w:rsidRPr="334CC2BC">
        <w:rPr>
          <w:rFonts w:eastAsiaTheme="minorEastAsia"/>
          <w:b/>
          <w:bCs/>
        </w:rPr>
        <w:t>Plan</w:t>
      </w:r>
      <w:r w:rsidR="00314B1C" w:rsidRPr="334CC2BC">
        <w:rPr>
          <w:rFonts w:eastAsiaTheme="minorEastAsia"/>
        </w:rPr>
        <w:t xml:space="preserve">”) which must identify the procedures, activities, and tasks that must be carried out and completed </w:t>
      </w:r>
      <w:proofErr w:type="gramStart"/>
      <w:r w:rsidR="00314B1C" w:rsidRPr="334CC2BC">
        <w:rPr>
          <w:rFonts w:eastAsiaTheme="minorEastAsia"/>
        </w:rPr>
        <w:t xml:space="preserve">in order </w:t>
      </w:r>
      <w:r w:rsidR="00F5393C" w:rsidRPr="334CC2BC">
        <w:rPr>
          <w:rFonts w:eastAsiaTheme="minorEastAsia"/>
        </w:rPr>
        <w:t>to</w:t>
      </w:r>
      <w:proofErr w:type="gramEnd"/>
      <w:r w:rsidR="00F5393C" w:rsidRPr="334CC2BC">
        <w:rPr>
          <w:rFonts w:eastAsiaTheme="minorEastAsia"/>
        </w:rPr>
        <w:t xml:space="preserve"> </w:t>
      </w:r>
      <w:r w:rsidR="0063532F" w:rsidRPr="334CC2BC">
        <w:rPr>
          <w:rFonts w:eastAsiaTheme="minorEastAsia"/>
        </w:rPr>
        <w:t xml:space="preserve">ensure that Members are protected and continue to receive care in the event a CCO or </w:t>
      </w:r>
      <w:r w:rsidR="00E33C46" w:rsidRPr="334CC2BC">
        <w:rPr>
          <w:rFonts w:eastAsiaTheme="minorEastAsia"/>
        </w:rPr>
        <w:t xml:space="preserve">one of its </w:t>
      </w:r>
      <w:r w:rsidR="0063532F" w:rsidRPr="334CC2BC">
        <w:rPr>
          <w:rFonts w:eastAsiaTheme="minorEastAsia"/>
        </w:rPr>
        <w:t>Major Risk Accepting Entit</w:t>
      </w:r>
      <w:r w:rsidR="00E33C46" w:rsidRPr="334CC2BC">
        <w:rPr>
          <w:rFonts w:eastAsiaTheme="minorEastAsia"/>
        </w:rPr>
        <w:t xml:space="preserve">ies </w:t>
      </w:r>
      <w:r w:rsidR="0063532F" w:rsidRPr="334CC2BC">
        <w:rPr>
          <w:rFonts w:eastAsiaTheme="minorEastAsia"/>
        </w:rPr>
        <w:t xml:space="preserve">becomes insolvent. </w:t>
      </w:r>
      <w:r w:rsidR="00E2409F">
        <w:rPr>
          <w:rFonts w:eastAsiaTheme="minorEastAsia"/>
        </w:rPr>
        <w:br/>
      </w:r>
    </w:p>
    <w:p w14:paraId="534040FD" w14:textId="0BEB906B" w:rsidR="0063532F" w:rsidRPr="00E33C46" w:rsidRDefault="0063532F" w:rsidP="00496E0F">
      <w:pPr>
        <w:pStyle w:val="Heading1"/>
      </w:pPr>
      <w:bookmarkStart w:id="2" w:name="_Toc170137669"/>
      <w:r w:rsidRPr="334CC2BC">
        <w:t>APPLICABILITY</w:t>
      </w:r>
      <w:bookmarkEnd w:id="2"/>
    </w:p>
    <w:p w14:paraId="74539405" w14:textId="15B78E9D" w:rsidR="005B62E1" w:rsidRPr="005B62E1" w:rsidRDefault="0063532F" w:rsidP="005B62E1">
      <w:pPr>
        <w:rPr>
          <w:rStyle w:val="Heading1Char"/>
          <w:b w:val="0"/>
          <w:bCs w:val="0"/>
          <w:caps w:val="0"/>
          <w:color w:val="auto"/>
          <w:shd w:val="clear" w:color="auto" w:fill="auto"/>
        </w:rPr>
      </w:pPr>
      <w:r w:rsidRPr="334CC2BC">
        <w:rPr>
          <w:rFonts w:eastAsiaTheme="minorEastAsia"/>
        </w:rPr>
        <w:t>This policy applies to all CCO</w:t>
      </w:r>
      <w:r w:rsidR="00E33C46" w:rsidRPr="334CC2BC">
        <w:rPr>
          <w:rFonts w:eastAsiaTheme="minorEastAsia"/>
        </w:rPr>
        <w:t>s</w:t>
      </w:r>
      <w:r w:rsidRPr="334CC2BC">
        <w:rPr>
          <w:rFonts w:eastAsiaTheme="minorEastAsia"/>
        </w:rPr>
        <w:t xml:space="preserve"> contracted with OHA.</w:t>
      </w:r>
    </w:p>
    <w:sdt>
      <w:sdtPr>
        <w:rPr>
          <w:rFonts w:eastAsiaTheme="minorHAnsi"/>
          <w:b w:val="0"/>
          <w:bCs w:val="0"/>
          <w:caps w:val="0"/>
          <w:color w:val="auto"/>
        </w:rPr>
        <w:id w:val="922306511"/>
        <w:docPartObj>
          <w:docPartGallery w:val="Table of Contents"/>
          <w:docPartUnique/>
        </w:docPartObj>
      </w:sdtPr>
      <w:sdtEndPr>
        <w:rPr>
          <w:rFonts w:eastAsiaTheme="minorEastAsia"/>
          <w:noProof/>
        </w:rPr>
      </w:sdtEndPr>
      <w:sdtContent>
        <w:p w14:paraId="6877302A" w14:textId="1D5C9211" w:rsidR="004B745E" w:rsidRPr="004B745E" w:rsidRDefault="004B745E" w:rsidP="004B745E">
          <w:pPr>
            <w:pStyle w:val="Heading1"/>
            <w:rPr>
              <w:rStyle w:val="Heading1Char"/>
              <w:b/>
              <w:bCs/>
            </w:rPr>
          </w:pPr>
          <w:r w:rsidRPr="004B745E">
            <w:rPr>
              <w:rStyle w:val="Heading1Char"/>
              <w:b/>
              <w:bCs/>
            </w:rPr>
            <w:t>CONTENTS</w:t>
          </w:r>
        </w:p>
        <w:p w14:paraId="2FF84BDF" w14:textId="6D87B79F" w:rsidR="004B745E" w:rsidRDefault="004B745E">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70137668" w:history="1">
            <w:r w:rsidRPr="009E085D">
              <w:rPr>
                <w:rStyle w:val="Hyperlink"/>
                <w:noProof/>
              </w:rPr>
              <w:t>PURPOSE</w:t>
            </w:r>
            <w:r>
              <w:rPr>
                <w:noProof/>
                <w:webHidden/>
              </w:rPr>
              <w:tab/>
            </w:r>
            <w:r>
              <w:rPr>
                <w:noProof/>
                <w:webHidden/>
              </w:rPr>
              <w:fldChar w:fldCharType="begin"/>
            </w:r>
            <w:r>
              <w:rPr>
                <w:noProof/>
                <w:webHidden/>
              </w:rPr>
              <w:instrText xml:space="preserve"> PAGEREF _Toc170137668 \h </w:instrText>
            </w:r>
            <w:r>
              <w:rPr>
                <w:noProof/>
                <w:webHidden/>
              </w:rPr>
            </w:r>
            <w:r>
              <w:rPr>
                <w:noProof/>
                <w:webHidden/>
              </w:rPr>
              <w:fldChar w:fldCharType="separate"/>
            </w:r>
            <w:r>
              <w:rPr>
                <w:noProof/>
                <w:webHidden/>
              </w:rPr>
              <w:t>1</w:t>
            </w:r>
            <w:r>
              <w:rPr>
                <w:noProof/>
                <w:webHidden/>
              </w:rPr>
              <w:fldChar w:fldCharType="end"/>
            </w:r>
          </w:hyperlink>
        </w:p>
        <w:p w14:paraId="6383783C" w14:textId="152F1D19" w:rsidR="004B745E" w:rsidRDefault="0012204A">
          <w:pPr>
            <w:pStyle w:val="TOC1"/>
            <w:tabs>
              <w:tab w:val="right" w:leader="dot" w:pos="9350"/>
            </w:tabs>
            <w:rPr>
              <w:rFonts w:eastAsiaTheme="minorEastAsia"/>
              <w:noProof/>
              <w:kern w:val="2"/>
              <w14:ligatures w14:val="standardContextual"/>
            </w:rPr>
          </w:pPr>
          <w:hyperlink w:anchor="_Toc170137669" w:history="1">
            <w:r w:rsidR="004B745E" w:rsidRPr="009E085D">
              <w:rPr>
                <w:rStyle w:val="Hyperlink"/>
                <w:noProof/>
              </w:rPr>
              <w:t>APPLICABILITY</w:t>
            </w:r>
            <w:r w:rsidR="004B745E">
              <w:rPr>
                <w:noProof/>
                <w:webHidden/>
              </w:rPr>
              <w:tab/>
            </w:r>
            <w:r w:rsidR="004B745E">
              <w:rPr>
                <w:noProof/>
                <w:webHidden/>
              </w:rPr>
              <w:fldChar w:fldCharType="begin"/>
            </w:r>
            <w:r w:rsidR="004B745E">
              <w:rPr>
                <w:noProof/>
                <w:webHidden/>
              </w:rPr>
              <w:instrText xml:space="preserve"> PAGEREF _Toc170137669 \h </w:instrText>
            </w:r>
            <w:r w:rsidR="004B745E">
              <w:rPr>
                <w:noProof/>
                <w:webHidden/>
              </w:rPr>
            </w:r>
            <w:r w:rsidR="004B745E">
              <w:rPr>
                <w:noProof/>
                <w:webHidden/>
              </w:rPr>
              <w:fldChar w:fldCharType="separate"/>
            </w:r>
            <w:r w:rsidR="004B745E">
              <w:rPr>
                <w:noProof/>
                <w:webHidden/>
              </w:rPr>
              <w:t>1</w:t>
            </w:r>
            <w:r w:rsidR="004B745E">
              <w:rPr>
                <w:noProof/>
                <w:webHidden/>
              </w:rPr>
              <w:fldChar w:fldCharType="end"/>
            </w:r>
          </w:hyperlink>
        </w:p>
        <w:p w14:paraId="6D72E7FC" w14:textId="4D33A99A" w:rsidR="004B745E" w:rsidRDefault="0012204A">
          <w:pPr>
            <w:pStyle w:val="TOC1"/>
            <w:tabs>
              <w:tab w:val="right" w:leader="dot" w:pos="9350"/>
            </w:tabs>
            <w:rPr>
              <w:rFonts w:eastAsiaTheme="minorEastAsia"/>
              <w:noProof/>
              <w:kern w:val="2"/>
              <w14:ligatures w14:val="standardContextual"/>
            </w:rPr>
          </w:pPr>
          <w:hyperlink w:anchor="_Toc170137671" w:history="1">
            <w:r w:rsidR="004B745E" w:rsidRPr="009E085D">
              <w:rPr>
                <w:rStyle w:val="Hyperlink"/>
                <w:noProof/>
              </w:rPr>
              <w:t>REQUIREMENT</w:t>
            </w:r>
            <w:r w:rsidR="004B745E">
              <w:rPr>
                <w:noProof/>
                <w:webHidden/>
              </w:rPr>
              <w:tab/>
            </w:r>
            <w:r w:rsidR="004B745E">
              <w:rPr>
                <w:noProof/>
                <w:webHidden/>
              </w:rPr>
              <w:fldChar w:fldCharType="begin"/>
            </w:r>
            <w:r w:rsidR="004B745E">
              <w:rPr>
                <w:noProof/>
                <w:webHidden/>
              </w:rPr>
              <w:instrText xml:space="preserve"> PAGEREF _Toc170137671 \h </w:instrText>
            </w:r>
            <w:r w:rsidR="004B745E">
              <w:rPr>
                <w:noProof/>
                <w:webHidden/>
              </w:rPr>
            </w:r>
            <w:r w:rsidR="004B745E">
              <w:rPr>
                <w:noProof/>
                <w:webHidden/>
              </w:rPr>
              <w:fldChar w:fldCharType="separate"/>
            </w:r>
            <w:r w:rsidR="004B745E">
              <w:rPr>
                <w:noProof/>
                <w:webHidden/>
              </w:rPr>
              <w:t>2</w:t>
            </w:r>
            <w:r w:rsidR="004B745E">
              <w:rPr>
                <w:noProof/>
                <w:webHidden/>
              </w:rPr>
              <w:fldChar w:fldCharType="end"/>
            </w:r>
          </w:hyperlink>
        </w:p>
        <w:p w14:paraId="6C3A8F6D" w14:textId="446A8C7C" w:rsidR="004B745E" w:rsidRDefault="0012204A">
          <w:pPr>
            <w:pStyle w:val="TOC1"/>
            <w:tabs>
              <w:tab w:val="right" w:leader="dot" w:pos="9350"/>
            </w:tabs>
            <w:rPr>
              <w:rFonts w:eastAsiaTheme="minorEastAsia"/>
              <w:noProof/>
              <w:kern w:val="2"/>
              <w14:ligatures w14:val="standardContextual"/>
            </w:rPr>
          </w:pPr>
          <w:hyperlink w:anchor="_Toc170137672" w:history="1">
            <w:r w:rsidR="004B745E" w:rsidRPr="009E085D">
              <w:rPr>
                <w:rStyle w:val="Hyperlink"/>
                <w:noProof/>
              </w:rPr>
              <w:t>DEFINITIONS</w:t>
            </w:r>
            <w:r w:rsidR="004B745E">
              <w:rPr>
                <w:noProof/>
                <w:webHidden/>
              </w:rPr>
              <w:tab/>
            </w:r>
            <w:r w:rsidR="004B745E">
              <w:rPr>
                <w:noProof/>
                <w:webHidden/>
              </w:rPr>
              <w:fldChar w:fldCharType="begin"/>
            </w:r>
            <w:r w:rsidR="004B745E">
              <w:rPr>
                <w:noProof/>
                <w:webHidden/>
              </w:rPr>
              <w:instrText xml:space="preserve"> PAGEREF _Toc170137672 \h </w:instrText>
            </w:r>
            <w:r w:rsidR="004B745E">
              <w:rPr>
                <w:noProof/>
                <w:webHidden/>
              </w:rPr>
            </w:r>
            <w:r w:rsidR="004B745E">
              <w:rPr>
                <w:noProof/>
                <w:webHidden/>
              </w:rPr>
              <w:fldChar w:fldCharType="separate"/>
            </w:r>
            <w:r w:rsidR="004B745E">
              <w:rPr>
                <w:noProof/>
                <w:webHidden/>
              </w:rPr>
              <w:t>2</w:t>
            </w:r>
            <w:r w:rsidR="004B745E">
              <w:rPr>
                <w:noProof/>
                <w:webHidden/>
              </w:rPr>
              <w:fldChar w:fldCharType="end"/>
            </w:r>
          </w:hyperlink>
        </w:p>
        <w:p w14:paraId="1D9D438F" w14:textId="417BA109" w:rsidR="004B745E" w:rsidRDefault="0012204A">
          <w:pPr>
            <w:pStyle w:val="TOC1"/>
            <w:tabs>
              <w:tab w:val="right" w:leader="dot" w:pos="9350"/>
            </w:tabs>
            <w:rPr>
              <w:rFonts w:eastAsiaTheme="minorEastAsia"/>
              <w:noProof/>
              <w:kern w:val="2"/>
              <w14:ligatures w14:val="standardContextual"/>
            </w:rPr>
          </w:pPr>
          <w:hyperlink w:anchor="_Toc170137673" w:history="1">
            <w:r w:rsidR="004B745E" w:rsidRPr="009E085D">
              <w:rPr>
                <w:rStyle w:val="Hyperlink"/>
                <w:noProof/>
              </w:rPr>
              <w:t>OBJECTIVES OF INSOLVENCY PLAN; ASSUMPTION OF TIMING</w:t>
            </w:r>
            <w:r w:rsidR="004B745E">
              <w:rPr>
                <w:noProof/>
                <w:webHidden/>
              </w:rPr>
              <w:tab/>
            </w:r>
            <w:r w:rsidR="004B745E">
              <w:rPr>
                <w:noProof/>
                <w:webHidden/>
              </w:rPr>
              <w:fldChar w:fldCharType="begin"/>
            </w:r>
            <w:r w:rsidR="004B745E">
              <w:rPr>
                <w:noProof/>
                <w:webHidden/>
              </w:rPr>
              <w:instrText xml:space="preserve"> PAGEREF _Toc170137673 \h </w:instrText>
            </w:r>
            <w:r w:rsidR="004B745E">
              <w:rPr>
                <w:noProof/>
                <w:webHidden/>
              </w:rPr>
            </w:r>
            <w:r w:rsidR="004B745E">
              <w:rPr>
                <w:noProof/>
                <w:webHidden/>
              </w:rPr>
              <w:fldChar w:fldCharType="separate"/>
            </w:r>
            <w:r w:rsidR="004B745E">
              <w:rPr>
                <w:noProof/>
                <w:webHidden/>
              </w:rPr>
              <w:t>3</w:t>
            </w:r>
            <w:r w:rsidR="004B745E">
              <w:rPr>
                <w:noProof/>
                <w:webHidden/>
              </w:rPr>
              <w:fldChar w:fldCharType="end"/>
            </w:r>
          </w:hyperlink>
        </w:p>
        <w:p w14:paraId="35357B46" w14:textId="7F88D060" w:rsidR="004B745E" w:rsidRDefault="0012204A">
          <w:pPr>
            <w:pStyle w:val="TOC1"/>
            <w:tabs>
              <w:tab w:val="right" w:leader="dot" w:pos="9350"/>
            </w:tabs>
            <w:rPr>
              <w:rFonts w:eastAsiaTheme="minorEastAsia"/>
              <w:noProof/>
              <w:kern w:val="2"/>
              <w14:ligatures w14:val="standardContextual"/>
            </w:rPr>
          </w:pPr>
          <w:hyperlink w:anchor="_Toc170137674" w:history="1">
            <w:r w:rsidR="004B745E" w:rsidRPr="009E085D">
              <w:rPr>
                <w:rStyle w:val="Hyperlink"/>
                <w:noProof/>
              </w:rPr>
              <w:t>CONTENT OF INSOLVENCY PLANS</w:t>
            </w:r>
            <w:r w:rsidR="004B745E">
              <w:rPr>
                <w:noProof/>
                <w:webHidden/>
              </w:rPr>
              <w:tab/>
            </w:r>
            <w:r w:rsidR="004B745E">
              <w:rPr>
                <w:noProof/>
                <w:webHidden/>
              </w:rPr>
              <w:fldChar w:fldCharType="begin"/>
            </w:r>
            <w:r w:rsidR="004B745E">
              <w:rPr>
                <w:noProof/>
                <w:webHidden/>
              </w:rPr>
              <w:instrText xml:space="preserve"> PAGEREF _Toc170137674 \h </w:instrText>
            </w:r>
            <w:r w:rsidR="004B745E">
              <w:rPr>
                <w:noProof/>
                <w:webHidden/>
              </w:rPr>
            </w:r>
            <w:r w:rsidR="004B745E">
              <w:rPr>
                <w:noProof/>
                <w:webHidden/>
              </w:rPr>
              <w:fldChar w:fldCharType="separate"/>
            </w:r>
            <w:r w:rsidR="004B745E">
              <w:rPr>
                <w:noProof/>
                <w:webHidden/>
              </w:rPr>
              <w:t>3</w:t>
            </w:r>
            <w:r w:rsidR="004B745E">
              <w:rPr>
                <w:noProof/>
                <w:webHidden/>
              </w:rPr>
              <w:fldChar w:fldCharType="end"/>
            </w:r>
          </w:hyperlink>
        </w:p>
        <w:p w14:paraId="5FC6FA5A" w14:textId="511FBDEE" w:rsidR="004B745E" w:rsidRDefault="0012204A">
          <w:pPr>
            <w:pStyle w:val="TOC2"/>
            <w:tabs>
              <w:tab w:val="right" w:leader="dot" w:pos="9350"/>
            </w:tabs>
            <w:rPr>
              <w:rFonts w:eastAsiaTheme="minorEastAsia"/>
              <w:noProof/>
              <w:kern w:val="2"/>
              <w14:ligatures w14:val="standardContextual"/>
            </w:rPr>
          </w:pPr>
          <w:hyperlink w:anchor="_Toc170137675" w:history="1">
            <w:r w:rsidR="004B745E" w:rsidRPr="009E085D">
              <w:rPr>
                <w:rStyle w:val="Hyperlink"/>
                <w:noProof/>
              </w:rPr>
              <w:t>Key Staff</w:t>
            </w:r>
            <w:r w:rsidR="004B745E">
              <w:rPr>
                <w:noProof/>
                <w:webHidden/>
              </w:rPr>
              <w:tab/>
            </w:r>
            <w:r w:rsidR="004B745E">
              <w:rPr>
                <w:noProof/>
                <w:webHidden/>
              </w:rPr>
              <w:fldChar w:fldCharType="begin"/>
            </w:r>
            <w:r w:rsidR="004B745E">
              <w:rPr>
                <w:noProof/>
                <w:webHidden/>
              </w:rPr>
              <w:instrText xml:space="preserve"> PAGEREF _Toc170137675 \h </w:instrText>
            </w:r>
            <w:r w:rsidR="004B745E">
              <w:rPr>
                <w:noProof/>
                <w:webHidden/>
              </w:rPr>
            </w:r>
            <w:r w:rsidR="004B745E">
              <w:rPr>
                <w:noProof/>
                <w:webHidden/>
              </w:rPr>
              <w:fldChar w:fldCharType="separate"/>
            </w:r>
            <w:r w:rsidR="004B745E">
              <w:rPr>
                <w:noProof/>
                <w:webHidden/>
              </w:rPr>
              <w:t>3</w:t>
            </w:r>
            <w:r w:rsidR="004B745E">
              <w:rPr>
                <w:noProof/>
                <w:webHidden/>
              </w:rPr>
              <w:fldChar w:fldCharType="end"/>
            </w:r>
          </w:hyperlink>
        </w:p>
        <w:p w14:paraId="6F7F4B4C" w14:textId="7D11775B" w:rsidR="004B745E" w:rsidRDefault="0012204A">
          <w:pPr>
            <w:pStyle w:val="TOC2"/>
            <w:tabs>
              <w:tab w:val="right" w:leader="dot" w:pos="9350"/>
            </w:tabs>
            <w:rPr>
              <w:rFonts w:eastAsiaTheme="minorEastAsia"/>
              <w:noProof/>
              <w:kern w:val="2"/>
              <w14:ligatures w14:val="standardContextual"/>
            </w:rPr>
          </w:pPr>
          <w:hyperlink w:anchor="_Toc170137676" w:history="1">
            <w:r w:rsidR="004B745E" w:rsidRPr="009E085D">
              <w:rPr>
                <w:rStyle w:val="Hyperlink"/>
                <w:noProof/>
              </w:rPr>
              <w:t>Required Processes/Procedures</w:t>
            </w:r>
            <w:r w:rsidR="004B745E">
              <w:rPr>
                <w:noProof/>
                <w:webHidden/>
              </w:rPr>
              <w:tab/>
            </w:r>
            <w:r w:rsidR="004B745E">
              <w:rPr>
                <w:noProof/>
                <w:webHidden/>
              </w:rPr>
              <w:fldChar w:fldCharType="begin"/>
            </w:r>
            <w:r w:rsidR="004B745E">
              <w:rPr>
                <w:noProof/>
                <w:webHidden/>
              </w:rPr>
              <w:instrText xml:space="preserve"> PAGEREF _Toc170137676 \h </w:instrText>
            </w:r>
            <w:r w:rsidR="004B745E">
              <w:rPr>
                <w:noProof/>
                <w:webHidden/>
              </w:rPr>
            </w:r>
            <w:r w:rsidR="004B745E">
              <w:rPr>
                <w:noProof/>
                <w:webHidden/>
              </w:rPr>
              <w:fldChar w:fldCharType="separate"/>
            </w:r>
            <w:r w:rsidR="004B745E">
              <w:rPr>
                <w:noProof/>
                <w:webHidden/>
              </w:rPr>
              <w:t>3</w:t>
            </w:r>
            <w:r w:rsidR="004B745E">
              <w:rPr>
                <w:noProof/>
                <w:webHidden/>
              </w:rPr>
              <w:fldChar w:fldCharType="end"/>
            </w:r>
          </w:hyperlink>
        </w:p>
        <w:p w14:paraId="0178A570" w14:textId="6E837152" w:rsidR="004B745E" w:rsidRDefault="0012204A">
          <w:pPr>
            <w:pStyle w:val="TOC3"/>
            <w:tabs>
              <w:tab w:val="left" w:pos="880"/>
              <w:tab w:val="right" w:leader="dot" w:pos="9350"/>
            </w:tabs>
            <w:rPr>
              <w:rFonts w:eastAsiaTheme="minorEastAsia"/>
              <w:noProof/>
              <w:kern w:val="2"/>
              <w14:ligatures w14:val="standardContextual"/>
            </w:rPr>
          </w:pPr>
          <w:hyperlink w:anchor="_Toc170137677" w:history="1">
            <w:r w:rsidR="004B745E" w:rsidRPr="009E085D">
              <w:rPr>
                <w:rStyle w:val="Hyperlink"/>
                <w:noProof/>
              </w:rPr>
              <w:t>1)</w:t>
            </w:r>
            <w:r w:rsidR="004B745E">
              <w:rPr>
                <w:rFonts w:eastAsiaTheme="minorEastAsia"/>
                <w:noProof/>
                <w:kern w:val="2"/>
                <w14:ligatures w14:val="standardContextual"/>
              </w:rPr>
              <w:tab/>
            </w:r>
            <w:r w:rsidR="004B745E" w:rsidRPr="009E085D">
              <w:rPr>
                <w:rStyle w:val="Hyperlink"/>
                <w:noProof/>
              </w:rPr>
              <w:t>Process for transferring high-needs members –</w:t>
            </w:r>
            <w:r w:rsidR="004B745E">
              <w:rPr>
                <w:noProof/>
                <w:webHidden/>
              </w:rPr>
              <w:tab/>
            </w:r>
            <w:r w:rsidR="004B745E">
              <w:rPr>
                <w:noProof/>
                <w:webHidden/>
              </w:rPr>
              <w:fldChar w:fldCharType="begin"/>
            </w:r>
            <w:r w:rsidR="004B745E">
              <w:rPr>
                <w:noProof/>
                <w:webHidden/>
              </w:rPr>
              <w:instrText xml:space="preserve"> PAGEREF _Toc170137677 \h </w:instrText>
            </w:r>
            <w:r w:rsidR="004B745E">
              <w:rPr>
                <w:noProof/>
                <w:webHidden/>
              </w:rPr>
            </w:r>
            <w:r w:rsidR="004B745E">
              <w:rPr>
                <w:noProof/>
                <w:webHidden/>
              </w:rPr>
              <w:fldChar w:fldCharType="separate"/>
            </w:r>
            <w:r w:rsidR="004B745E">
              <w:rPr>
                <w:noProof/>
                <w:webHidden/>
              </w:rPr>
              <w:t>3</w:t>
            </w:r>
            <w:r w:rsidR="004B745E">
              <w:rPr>
                <w:noProof/>
                <w:webHidden/>
              </w:rPr>
              <w:fldChar w:fldCharType="end"/>
            </w:r>
          </w:hyperlink>
        </w:p>
        <w:p w14:paraId="0C6F72DC" w14:textId="32050AB3" w:rsidR="004B745E" w:rsidRDefault="0012204A">
          <w:pPr>
            <w:pStyle w:val="TOC3"/>
            <w:tabs>
              <w:tab w:val="left" w:pos="880"/>
              <w:tab w:val="right" w:leader="dot" w:pos="9350"/>
            </w:tabs>
            <w:rPr>
              <w:rFonts w:eastAsiaTheme="minorEastAsia"/>
              <w:noProof/>
              <w:kern w:val="2"/>
              <w14:ligatures w14:val="standardContextual"/>
            </w:rPr>
          </w:pPr>
          <w:hyperlink w:anchor="_Toc170137678" w:history="1">
            <w:r w:rsidR="004B745E" w:rsidRPr="009E085D">
              <w:rPr>
                <w:rStyle w:val="Hyperlink"/>
                <w:noProof/>
              </w:rPr>
              <w:t>2)</w:t>
            </w:r>
            <w:r w:rsidR="004B745E">
              <w:rPr>
                <w:rFonts w:eastAsiaTheme="minorEastAsia"/>
                <w:noProof/>
                <w:kern w:val="2"/>
                <w14:ligatures w14:val="standardContextual"/>
              </w:rPr>
              <w:tab/>
            </w:r>
            <w:r w:rsidR="004B745E" w:rsidRPr="009E085D">
              <w:rPr>
                <w:rStyle w:val="Hyperlink"/>
                <w:noProof/>
              </w:rPr>
              <w:t>Records Retention –</w:t>
            </w:r>
            <w:r w:rsidR="004B745E">
              <w:rPr>
                <w:noProof/>
                <w:webHidden/>
              </w:rPr>
              <w:tab/>
            </w:r>
            <w:r w:rsidR="004B745E">
              <w:rPr>
                <w:noProof/>
                <w:webHidden/>
              </w:rPr>
              <w:fldChar w:fldCharType="begin"/>
            </w:r>
            <w:r w:rsidR="004B745E">
              <w:rPr>
                <w:noProof/>
                <w:webHidden/>
              </w:rPr>
              <w:instrText xml:space="preserve"> PAGEREF _Toc170137678 \h </w:instrText>
            </w:r>
            <w:r w:rsidR="004B745E">
              <w:rPr>
                <w:noProof/>
                <w:webHidden/>
              </w:rPr>
            </w:r>
            <w:r w:rsidR="004B745E">
              <w:rPr>
                <w:noProof/>
                <w:webHidden/>
              </w:rPr>
              <w:fldChar w:fldCharType="separate"/>
            </w:r>
            <w:r w:rsidR="004B745E">
              <w:rPr>
                <w:noProof/>
                <w:webHidden/>
              </w:rPr>
              <w:t>3</w:t>
            </w:r>
            <w:r w:rsidR="004B745E">
              <w:rPr>
                <w:noProof/>
                <w:webHidden/>
              </w:rPr>
              <w:fldChar w:fldCharType="end"/>
            </w:r>
          </w:hyperlink>
        </w:p>
        <w:p w14:paraId="2A962C1B" w14:textId="5EBD06CB" w:rsidR="004B745E" w:rsidRDefault="0012204A">
          <w:pPr>
            <w:pStyle w:val="TOC3"/>
            <w:tabs>
              <w:tab w:val="left" w:pos="880"/>
              <w:tab w:val="right" w:leader="dot" w:pos="9350"/>
            </w:tabs>
            <w:rPr>
              <w:rFonts w:eastAsiaTheme="minorEastAsia"/>
              <w:noProof/>
              <w:kern w:val="2"/>
              <w14:ligatures w14:val="standardContextual"/>
            </w:rPr>
          </w:pPr>
          <w:hyperlink w:anchor="_Toc170137679" w:history="1">
            <w:r w:rsidR="004B745E" w:rsidRPr="009E085D">
              <w:rPr>
                <w:rStyle w:val="Hyperlink"/>
                <w:noProof/>
              </w:rPr>
              <w:t>3)</w:t>
            </w:r>
            <w:r w:rsidR="004B745E">
              <w:rPr>
                <w:rFonts w:eastAsiaTheme="minorEastAsia"/>
                <w:noProof/>
                <w:kern w:val="2"/>
                <w14:ligatures w14:val="standardContextual"/>
              </w:rPr>
              <w:tab/>
            </w:r>
            <w:r w:rsidR="004B745E" w:rsidRPr="009E085D">
              <w:rPr>
                <w:rStyle w:val="Hyperlink"/>
                <w:noProof/>
              </w:rPr>
              <w:t>Communication Plan –</w:t>
            </w:r>
            <w:r w:rsidR="004B745E">
              <w:rPr>
                <w:noProof/>
                <w:webHidden/>
              </w:rPr>
              <w:tab/>
            </w:r>
            <w:r w:rsidR="004B745E">
              <w:rPr>
                <w:noProof/>
                <w:webHidden/>
              </w:rPr>
              <w:fldChar w:fldCharType="begin"/>
            </w:r>
            <w:r w:rsidR="004B745E">
              <w:rPr>
                <w:noProof/>
                <w:webHidden/>
              </w:rPr>
              <w:instrText xml:space="preserve"> PAGEREF _Toc170137679 \h </w:instrText>
            </w:r>
            <w:r w:rsidR="004B745E">
              <w:rPr>
                <w:noProof/>
                <w:webHidden/>
              </w:rPr>
            </w:r>
            <w:r w:rsidR="004B745E">
              <w:rPr>
                <w:noProof/>
                <w:webHidden/>
              </w:rPr>
              <w:fldChar w:fldCharType="separate"/>
            </w:r>
            <w:r w:rsidR="004B745E">
              <w:rPr>
                <w:noProof/>
                <w:webHidden/>
              </w:rPr>
              <w:t>4</w:t>
            </w:r>
            <w:r w:rsidR="004B745E">
              <w:rPr>
                <w:noProof/>
                <w:webHidden/>
              </w:rPr>
              <w:fldChar w:fldCharType="end"/>
            </w:r>
          </w:hyperlink>
        </w:p>
        <w:p w14:paraId="5E26C00A" w14:textId="17438CBD" w:rsidR="004B745E" w:rsidRDefault="0012204A">
          <w:pPr>
            <w:pStyle w:val="TOC3"/>
            <w:tabs>
              <w:tab w:val="left" w:pos="880"/>
              <w:tab w:val="right" w:leader="dot" w:pos="9350"/>
            </w:tabs>
            <w:rPr>
              <w:rFonts w:eastAsiaTheme="minorEastAsia"/>
              <w:noProof/>
              <w:kern w:val="2"/>
              <w14:ligatures w14:val="standardContextual"/>
            </w:rPr>
          </w:pPr>
          <w:hyperlink w:anchor="_Toc170137680" w:history="1">
            <w:r w:rsidR="004B745E" w:rsidRPr="009E085D">
              <w:rPr>
                <w:rStyle w:val="Hyperlink"/>
                <w:noProof/>
              </w:rPr>
              <w:t>4)</w:t>
            </w:r>
            <w:r w:rsidR="004B745E">
              <w:rPr>
                <w:rFonts w:eastAsiaTheme="minorEastAsia"/>
                <w:noProof/>
                <w:kern w:val="2"/>
                <w14:ligatures w14:val="standardContextual"/>
              </w:rPr>
              <w:tab/>
            </w:r>
            <w:r w:rsidR="004B745E" w:rsidRPr="009E085D">
              <w:rPr>
                <w:rStyle w:val="Hyperlink"/>
                <w:noProof/>
              </w:rPr>
              <w:t>Insolvency of Major Risk Accepting Entities –</w:t>
            </w:r>
            <w:r w:rsidR="004B745E">
              <w:rPr>
                <w:noProof/>
                <w:webHidden/>
              </w:rPr>
              <w:tab/>
            </w:r>
            <w:r w:rsidR="004B745E">
              <w:rPr>
                <w:noProof/>
                <w:webHidden/>
              </w:rPr>
              <w:fldChar w:fldCharType="begin"/>
            </w:r>
            <w:r w:rsidR="004B745E">
              <w:rPr>
                <w:noProof/>
                <w:webHidden/>
              </w:rPr>
              <w:instrText xml:space="preserve"> PAGEREF _Toc170137680 \h </w:instrText>
            </w:r>
            <w:r w:rsidR="004B745E">
              <w:rPr>
                <w:noProof/>
                <w:webHidden/>
              </w:rPr>
            </w:r>
            <w:r w:rsidR="004B745E">
              <w:rPr>
                <w:noProof/>
                <w:webHidden/>
              </w:rPr>
              <w:fldChar w:fldCharType="separate"/>
            </w:r>
            <w:r w:rsidR="004B745E">
              <w:rPr>
                <w:noProof/>
                <w:webHidden/>
              </w:rPr>
              <w:t>5</w:t>
            </w:r>
            <w:r w:rsidR="004B745E">
              <w:rPr>
                <w:noProof/>
                <w:webHidden/>
              </w:rPr>
              <w:fldChar w:fldCharType="end"/>
            </w:r>
          </w:hyperlink>
        </w:p>
        <w:p w14:paraId="5D70C235" w14:textId="473436FB" w:rsidR="004B745E" w:rsidRDefault="0012204A">
          <w:pPr>
            <w:pStyle w:val="TOC3"/>
            <w:tabs>
              <w:tab w:val="left" w:pos="880"/>
              <w:tab w:val="right" w:leader="dot" w:pos="9350"/>
            </w:tabs>
            <w:rPr>
              <w:rFonts w:eastAsiaTheme="minorEastAsia"/>
              <w:noProof/>
              <w:kern w:val="2"/>
              <w14:ligatures w14:val="standardContextual"/>
            </w:rPr>
          </w:pPr>
          <w:hyperlink w:anchor="_Toc170137682" w:history="1">
            <w:r w:rsidR="004B745E" w:rsidRPr="009E085D">
              <w:rPr>
                <w:rStyle w:val="Hyperlink"/>
                <w:noProof/>
              </w:rPr>
              <w:t>5)</w:t>
            </w:r>
            <w:r w:rsidR="004B745E">
              <w:rPr>
                <w:rFonts w:eastAsiaTheme="minorEastAsia"/>
                <w:noProof/>
                <w:kern w:val="2"/>
                <w14:ligatures w14:val="standardContextual"/>
              </w:rPr>
              <w:tab/>
            </w:r>
            <w:r w:rsidR="004B745E" w:rsidRPr="009E085D">
              <w:rPr>
                <w:rStyle w:val="Hyperlink"/>
                <w:noProof/>
              </w:rPr>
              <w:t xml:space="preserve">Optional </w:t>
            </w:r>
            <w:r w:rsidR="004B745E" w:rsidRPr="009E085D">
              <w:rPr>
                <w:rStyle w:val="Hyperlink"/>
                <w:noProof/>
                <w:shd w:val="clear" w:color="auto" w:fill="E6E6E6"/>
              </w:rPr>
              <w:t>Template</w:t>
            </w:r>
            <w:r w:rsidR="004B745E" w:rsidRPr="009E085D">
              <w:rPr>
                <w:rStyle w:val="Hyperlink"/>
                <w:noProof/>
              </w:rPr>
              <w:t xml:space="preserve"> –</w:t>
            </w:r>
            <w:r w:rsidR="004B745E">
              <w:rPr>
                <w:noProof/>
                <w:webHidden/>
              </w:rPr>
              <w:tab/>
            </w:r>
            <w:r w:rsidR="004B745E">
              <w:rPr>
                <w:noProof/>
                <w:webHidden/>
              </w:rPr>
              <w:fldChar w:fldCharType="begin"/>
            </w:r>
            <w:r w:rsidR="004B745E">
              <w:rPr>
                <w:noProof/>
                <w:webHidden/>
              </w:rPr>
              <w:instrText xml:space="preserve"> PAGEREF _Toc170137682 \h </w:instrText>
            </w:r>
            <w:r w:rsidR="004B745E">
              <w:rPr>
                <w:noProof/>
                <w:webHidden/>
              </w:rPr>
            </w:r>
            <w:r w:rsidR="004B745E">
              <w:rPr>
                <w:noProof/>
                <w:webHidden/>
              </w:rPr>
              <w:fldChar w:fldCharType="separate"/>
            </w:r>
            <w:r w:rsidR="004B745E">
              <w:rPr>
                <w:noProof/>
                <w:webHidden/>
              </w:rPr>
              <w:t>5</w:t>
            </w:r>
            <w:r w:rsidR="004B745E">
              <w:rPr>
                <w:noProof/>
                <w:webHidden/>
              </w:rPr>
              <w:fldChar w:fldCharType="end"/>
            </w:r>
          </w:hyperlink>
        </w:p>
        <w:p w14:paraId="66AFCB48" w14:textId="7675B8FD" w:rsidR="004B745E" w:rsidRDefault="0012204A">
          <w:pPr>
            <w:pStyle w:val="TOC1"/>
            <w:tabs>
              <w:tab w:val="right" w:leader="dot" w:pos="9350"/>
            </w:tabs>
            <w:rPr>
              <w:rFonts w:eastAsiaTheme="minorEastAsia"/>
              <w:noProof/>
              <w:kern w:val="2"/>
              <w14:ligatures w14:val="standardContextual"/>
            </w:rPr>
          </w:pPr>
          <w:hyperlink w:anchor="_Toc170137684" w:history="1">
            <w:r w:rsidR="004B745E" w:rsidRPr="009E085D">
              <w:rPr>
                <w:rStyle w:val="Hyperlink"/>
                <w:noProof/>
              </w:rPr>
              <w:t>OHA OVERSIGHT.</w:t>
            </w:r>
            <w:r w:rsidR="004B745E">
              <w:rPr>
                <w:noProof/>
                <w:webHidden/>
              </w:rPr>
              <w:tab/>
            </w:r>
            <w:r w:rsidR="004B745E">
              <w:rPr>
                <w:noProof/>
                <w:webHidden/>
              </w:rPr>
              <w:fldChar w:fldCharType="begin"/>
            </w:r>
            <w:r w:rsidR="004B745E">
              <w:rPr>
                <w:noProof/>
                <w:webHidden/>
              </w:rPr>
              <w:instrText xml:space="preserve"> PAGEREF _Toc170137684 \h </w:instrText>
            </w:r>
            <w:r w:rsidR="004B745E">
              <w:rPr>
                <w:noProof/>
                <w:webHidden/>
              </w:rPr>
            </w:r>
            <w:r w:rsidR="004B745E">
              <w:rPr>
                <w:noProof/>
                <w:webHidden/>
              </w:rPr>
              <w:fldChar w:fldCharType="separate"/>
            </w:r>
            <w:r w:rsidR="004B745E">
              <w:rPr>
                <w:noProof/>
                <w:webHidden/>
              </w:rPr>
              <w:t>5</w:t>
            </w:r>
            <w:r w:rsidR="004B745E">
              <w:rPr>
                <w:noProof/>
                <w:webHidden/>
              </w:rPr>
              <w:fldChar w:fldCharType="end"/>
            </w:r>
          </w:hyperlink>
        </w:p>
        <w:p w14:paraId="3F7FB16C" w14:textId="1D46CC3B" w:rsidR="004B745E" w:rsidRDefault="004B745E">
          <w:r>
            <w:rPr>
              <w:b/>
              <w:bCs/>
              <w:noProof/>
            </w:rPr>
            <w:fldChar w:fldCharType="end"/>
          </w:r>
        </w:p>
      </w:sdtContent>
    </w:sdt>
    <w:p w14:paraId="3BA97B77" w14:textId="3271CEA5" w:rsidR="005B62E1" w:rsidRDefault="005B62E1" w:rsidP="005B62E1">
      <w:pPr>
        <w:rPr>
          <w:rFonts w:eastAsiaTheme="minorEastAsia"/>
        </w:rPr>
      </w:pPr>
    </w:p>
    <w:p w14:paraId="2F8300B4" w14:textId="17599F2F" w:rsidR="0063532F" w:rsidRPr="00E33C46" w:rsidRDefault="0063532F" w:rsidP="005B62E1">
      <w:pPr>
        <w:pStyle w:val="Heading1"/>
      </w:pPr>
      <w:bookmarkStart w:id="3" w:name="_Toc170137671"/>
      <w:r w:rsidRPr="334CC2BC">
        <w:t>REQUIR</w:t>
      </w:r>
      <w:r w:rsidR="00CB20DB" w:rsidRPr="334CC2BC">
        <w:t>E</w:t>
      </w:r>
      <w:r w:rsidRPr="334CC2BC">
        <w:t>MENT</w:t>
      </w:r>
      <w:bookmarkEnd w:id="3"/>
    </w:p>
    <w:p w14:paraId="36E08E09" w14:textId="64E8374C" w:rsidR="00DB58B8" w:rsidRDefault="00E33C46" w:rsidP="334CC2BC">
      <w:pPr>
        <w:rPr>
          <w:rStyle w:val="Hyperlink"/>
          <w:rFonts w:eastAsiaTheme="minorEastAsia"/>
        </w:rPr>
      </w:pPr>
      <w:r w:rsidRPr="334CC2BC">
        <w:rPr>
          <w:rFonts w:eastAsiaTheme="minorEastAsia"/>
        </w:rPr>
        <w:t xml:space="preserve">Pursuant to OAR 410-141-5360, </w:t>
      </w:r>
      <w:r w:rsidR="00DD4B92" w:rsidRPr="334CC2BC">
        <w:rPr>
          <w:rFonts w:eastAsiaTheme="minorEastAsia"/>
        </w:rPr>
        <w:t xml:space="preserve">CCOs </w:t>
      </w:r>
      <w:r w:rsidRPr="334CC2BC">
        <w:rPr>
          <w:rFonts w:eastAsiaTheme="minorEastAsia"/>
        </w:rPr>
        <w:t xml:space="preserve">are required to </w:t>
      </w:r>
      <w:r w:rsidR="00DD4B92" w:rsidRPr="334CC2BC">
        <w:rPr>
          <w:rFonts w:eastAsiaTheme="minorEastAsia"/>
        </w:rPr>
        <w:t xml:space="preserve">have written policies and procedures to ensure that if insolvency occurs, Members and </w:t>
      </w:r>
      <w:r w:rsidR="00707DC3" w:rsidRPr="334CC2BC">
        <w:rPr>
          <w:rFonts w:eastAsiaTheme="minorEastAsia"/>
        </w:rPr>
        <w:t xml:space="preserve">their </w:t>
      </w:r>
      <w:r w:rsidR="00DD4B92" w:rsidRPr="334CC2BC">
        <w:rPr>
          <w:rFonts w:eastAsiaTheme="minorEastAsia"/>
        </w:rPr>
        <w:t>clinical</w:t>
      </w:r>
      <w:r w:rsidR="00707DC3" w:rsidRPr="334CC2BC">
        <w:rPr>
          <w:rFonts w:eastAsiaTheme="minorEastAsia"/>
        </w:rPr>
        <w:t xml:space="preserve"> and </w:t>
      </w:r>
      <w:r w:rsidR="00E75AEC" w:rsidRPr="334CC2BC">
        <w:rPr>
          <w:rFonts w:eastAsiaTheme="minorEastAsia"/>
        </w:rPr>
        <w:t xml:space="preserve">all </w:t>
      </w:r>
      <w:r w:rsidR="00707DC3" w:rsidRPr="334CC2BC">
        <w:rPr>
          <w:rFonts w:eastAsiaTheme="minorEastAsia"/>
        </w:rPr>
        <w:t>other related</w:t>
      </w:r>
      <w:r w:rsidR="00DD4B92" w:rsidRPr="334CC2BC">
        <w:rPr>
          <w:rFonts w:eastAsiaTheme="minorEastAsia"/>
        </w:rPr>
        <w:t xml:space="preserve"> records are transitioned to</w:t>
      </w:r>
      <w:r w:rsidR="00707DC3" w:rsidRPr="334CC2BC">
        <w:rPr>
          <w:rFonts w:eastAsiaTheme="minorEastAsia"/>
        </w:rPr>
        <w:t>gether to</w:t>
      </w:r>
      <w:r w:rsidR="00DD4B92" w:rsidRPr="334CC2BC">
        <w:rPr>
          <w:rFonts w:eastAsiaTheme="minorEastAsia"/>
        </w:rPr>
        <w:t xml:space="preserve"> other CCOs or providers with minimal disruption.</w:t>
      </w:r>
      <w:r w:rsidR="00DB58B8" w:rsidRPr="334CC2BC">
        <w:rPr>
          <w:rFonts w:eastAsiaTheme="minorEastAsia"/>
        </w:rPr>
        <w:t xml:space="preserve"> </w:t>
      </w:r>
      <w:hyperlink r:id="rId8">
        <w:r w:rsidR="00DB58B8" w:rsidRPr="334CC2BC">
          <w:rPr>
            <w:rStyle w:val="Hyperlink"/>
            <w:rFonts w:eastAsiaTheme="minorEastAsia"/>
          </w:rPr>
          <w:t>https://oregon.public.law/rules/oar_410-141-5360</w:t>
        </w:r>
      </w:hyperlink>
    </w:p>
    <w:p w14:paraId="5EB29193" w14:textId="08FF254D" w:rsidR="00DB58B8" w:rsidRDefault="00DB58B8" w:rsidP="334CC2BC">
      <w:pPr>
        <w:rPr>
          <w:rStyle w:val="Hyperlink"/>
          <w:rFonts w:eastAsiaTheme="minorEastAsia"/>
        </w:rPr>
      </w:pPr>
      <w:r w:rsidRPr="334CC2BC">
        <w:rPr>
          <w:rFonts w:eastAsiaTheme="minorEastAsia"/>
        </w:rPr>
        <w:lastRenderedPageBreak/>
        <w:t>Under</w:t>
      </w:r>
      <w:r w:rsidR="00980284" w:rsidRPr="334CC2BC">
        <w:rPr>
          <w:rFonts w:eastAsiaTheme="minorEastAsia"/>
        </w:rPr>
        <w:t xml:space="preserve"> Section 1, paragraph d, Exhibit L of</w:t>
      </w:r>
      <w:r w:rsidRPr="334CC2BC">
        <w:rPr>
          <w:rFonts w:eastAsiaTheme="minorEastAsia"/>
        </w:rPr>
        <w:t xml:space="preserve"> the </w:t>
      </w:r>
      <w:r w:rsidR="00980284" w:rsidRPr="334CC2BC">
        <w:rPr>
          <w:rFonts w:eastAsiaTheme="minorEastAsia"/>
        </w:rPr>
        <w:t>Medicaid C</w:t>
      </w:r>
      <w:r w:rsidRPr="334CC2BC">
        <w:rPr>
          <w:rFonts w:eastAsiaTheme="minorEastAsia"/>
        </w:rPr>
        <w:t xml:space="preserve">ontract CCOs </w:t>
      </w:r>
      <w:r w:rsidR="00980284" w:rsidRPr="334CC2BC">
        <w:rPr>
          <w:rFonts w:eastAsiaTheme="minorEastAsia"/>
        </w:rPr>
        <w:t xml:space="preserve">must </w:t>
      </w:r>
      <w:r w:rsidRPr="334CC2BC">
        <w:rPr>
          <w:rFonts w:eastAsiaTheme="minorEastAsia"/>
        </w:rPr>
        <w:t>submit their insolvency plans by August 31</w:t>
      </w:r>
      <w:r w:rsidR="00980284" w:rsidRPr="334CC2BC">
        <w:rPr>
          <w:rFonts w:eastAsiaTheme="minorEastAsia"/>
        </w:rPr>
        <w:t xml:space="preserve"> of every Contract Year. </w:t>
      </w:r>
      <w:r w:rsidR="00DD4B92" w:rsidRPr="334CC2BC">
        <w:rPr>
          <w:rFonts w:eastAsiaTheme="minorEastAsia"/>
        </w:rPr>
        <w:t xml:space="preserve"> </w:t>
      </w:r>
    </w:p>
    <w:p w14:paraId="6B53B720" w14:textId="51C6C354" w:rsidR="00DB58B8" w:rsidRPr="000C6DAD" w:rsidRDefault="00DB58B8" w:rsidP="334CC2BC">
      <w:pPr>
        <w:ind w:left="720"/>
        <w:rPr>
          <w:rFonts w:eastAsiaTheme="minorEastAsia"/>
          <w:sz w:val="21"/>
          <w:szCs w:val="21"/>
        </w:rPr>
      </w:pPr>
      <w:r w:rsidRPr="334CC2BC">
        <w:rPr>
          <w:rFonts w:eastAsiaTheme="minorEastAsia"/>
          <w:sz w:val="21"/>
          <w:szCs w:val="21"/>
        </w:rPr>
        <w:t xml:space="preserve">d. As part of its proof of financial responsibility, Contractor shall provide assurance satisfactory to OHA that Contractor’s provisions against the risk of insolvency are adequate to ensure Contractor’s compliance with the requirements of this Contract. </w:t>
      </w:r>
    </w:p>
    <w:p w14:paraId="41AF3B8A" w14:textId="6823F1C3" w:rsidR="00DB58B8" w:rsidRPr="000C6DAD" w:rsidRDefault="00DB58B8" w:rsidP="334CC2BC">
      <w:pPr>
        <w:ind w:left="1440"/>
        <w:rPr>
          <w:rFonts w:eastAsiaTheme="minorEastAsia"/>
          <w:sz w:val="21"/>
          <w:szCs w:val="21"/>
        </w:rPr>
      </w:pPr>
      <w:r w:rsidRPr="334CC2BC">
        <w:rPr>
          <w:rFonts w:eastAsiaTheme="minorEastAsia"/>
          <w:sz w:val="21"/>
          <w:szCs w:val="21"/>
        </w:rPr>
        <w:t xml:space="preserve">(1) Contractor shall develop and maintain policies and procedures as described in OAR 410- 141-5360 to ensure that, in the event of Contractor’s insolvency, Members and related Clinical Records are transitioned to other CCOs or Providers with minimal disruption (“Insolvency Plan”). OHA will provide Contractor with a Guidance Document to assist in the development of its Insolvency Plan. Such Guidance Document is located on the CCO Contract Forms Website. </w:t>
      </w:r>
    </w:p>
    <w:p w14:paraId="1BAA840C" w14:textId="37A9C8DF" w:rsidR="00DB58B8" w:rsidRPr="000C6DAD" w:rsidRDefault="00DB58B8" w:rsidP="334CC2BC">
      <w:pPr>
        <w:ind w:left="1440"/>
        <w:rPr>
          <w:rFonts w:eastAsiaTheme="minorEastAsia"/>
          <w:sz w:val="21"/>
          <w:szCs w:val="21"/>
        </w:rPr>
      </w:pPr>
      <w:r w:rsidRPr="334CC2BC">
        <w:rPr>
          <w:rFonts w:eastAsiaTheme="minorEastAsia"/>
          <w:sz w:val="21"/>
          <w:szCs w:val="21"/>
        </w:rPr>
        <w:t>(2) Contractor shall submit its Insolvency Plan to OHA for review and approval as follows: (</w:t>
      </w:r>
      <w:proofErr w:type="spellStart"/>
      <w:r w:rsidRPr="334CC2BC">
        <w:rPr>
          <w:rFonts w:eastAsiaTheme="minorEastAsia"/>
          <w:sz w:val="21"/>
          <w:szCs w:val="21"/>
        </w:rPr>
        <w:t>i</w:t>
      </w:r>
      <w:proofErr w:type="spellEnd"/>
      <w:r w:rsidRPr="334CC2BC">
        <w:rPr>
          <w:rFonts w:eastAsiaTheme="minorEastAsia"/>
          <w:sz w:val="21"/>
          <w:szCs w:val="21"/>
        </w:rPr>
        <w:t xml:space="preserve">) by August 31 of each Contract Year; (ii) upon any material change to such Plan; and (iii) within five Business Days of request, as made by OHA from time to time. Changes in Contractor’s Insolvency Plan shall not be implemented until approved in writing by OHA. If no changes have been made to Contractor’s Insolvency Plan since last approved by OHA, Contractor may, for its annual Insolvency Plan submission, submit to OHA, via Administrative Notice, an Attestation stating that no changes have been made. OHA will notify Contractor within thirty (30) days from the due date, or within thirty (30) days from the received date if after the due date, of the approval status of its Insolvency Plan. OHA will notify Contractor within the same period if additional time is needed for review. </w:t>
      </w:r>
      <w:proofErr w:type="gramStart"/>
      <w:r w:rsidRPr="334CC2BC">
        <w:rPr>
          <w:rFonts w:eastAsiaTheme="minorEastAsia"/>
          <w:sz w:val="21"/>
          <w:szCs w:val="21"/>
        </w:rPr>
        <w:t>In the event that</w:t>
      </w:r>
      <w:proofErr w:type="gramEnd"/>
      <w:r w:rsidRPr="334CC2BC">
        <w:rPr>
          <w:rFonts w:eastAsiaTheme="minorEastAsia"/>
          <w:sz w:val="21"/>
          <w:szCs w:val="21"/>
        </w:rPr>
        <w:t xml:space="preserve"> OHA does not approve Contractor’s Insolvency Plan, Contractor shall follow the process set forth in Ex. D, Sec. 5 to this </w:t>
      </w:r>
      <w:r w:rsidR="002262A1" w:rsidRPr="334CC2BC">
        <w:rPr>
          <w:rFonts w:eastAsiaTheme="minorEastAsia"/>
          <w:sz w:val="21"/>
          <w:szCs w:val="21"/>
        </w:rPr>
        <w:t>Contract.</w:t>
      </w:r>
    </w:p>
    <w:p w14:paraId="17FCBD0A" w14:textId="19A30BA3" w:rsidR="00980284" w:rsidRPr="000C6DAD" w:rsidRDefault="0012204A" w:rsidP="334CC2BC">
      <w:pPr>
        <w:rPr>
          <w:rFonts w:eastAsiaTheme="minorEastAsia"/>
          <w:sz w:val="21"/>
          <w:szCs w:val="21"/>
        </w:rPr>
      </w:pPr>
      <w:hyperlink r:id="rId9">
        <w:r w:rsidR="00980284" w:rsidRPr="334CC2BC">
          <w:rPr>
            <w:rStyle w:val="Hyperlink"/>
            <w:rFonts w:eastAsiaTheme="minorEastAsia"/>
            <w:sz w:val="21"/>
            <w:szCs w:val="21"/>
          </w:rPr>
          <w:t>https://www.oregon.gov/oha/HSD/OHP/CCO/2024-M-CCO-Contract-Template.pdf</w:t>
        </w:r>
      </w:hyperlink>
    </w:p>
    <w:p w14:paraId="75A24FC7" w14:textId="7738F5C0" w:rsidR="00980284" w:rsidRDefault="00980284" w:rsidP="334CC2BC">
      <w:pPr>
        <w:rPr>
          <w:rFonts w:eastAsiaTheme="minorEastAsia"/>
        </w:rPr>
      </w:pPr>
      <w:r w:rsidRPr="334CC2BC">
        <w:rPr>
          <w:rFonts w:eastAsiaTheme="minorEastAsia"/>
        </w:rPr>
        <w:t xml:space="preserve">This </w:t>
      </w:r>
      <w:r w:rsidR="002B2351" w:rsidRPr="334CC2BC">
        <w:rPr>
          <w:rFonts w:eastAsiaTheme="minorEastAsia"/>
        </w:rPr>
        <w:t>Guidance Document</w:t>
      </w:r>
      <w:r w:rsidRPr="334CC2BC">
        <w:rPr>
          <w:rFonts w:eastAsiaTheme="minorEastAsia"/>
        </w:rPr>
        <w:t xml:space="preserve"> therefore outlines the requirements </w:t>
      </w:r>
      <w:r w:rsidR="00314B1C" w:rsidRPr="334CC2BC">
        <w:rPr>
          <w:rFonts w:eastAsiaTheme="minorEastAsia"/>
        </w:rPr>
        <w:t xml:space="preserve">for the </w:t>
      </w:r>
      <w:r w:rsidRPr="334CC2BC">
        <w:rPr>
          <w:rFonts w:eastAsiaTheme="minorEastAsia"/>
        </w:rPr>
        <w:t>CCOs’ Insolvency Plans</w:t>
      </w:r>
    </w:p>
    <w:p w14:paraId="3602E37A" w14:textId="095242DF" w:rsidR="00DD4B92" w:rsidRPr="00E33C46" w:rsidRDefault="00DD4B92" w:rsidP="008F0863">
      <w:pPr>
        <w:pStyle w:val="Heading1"/>
      </w:pPr>
      <w:bookmarkStart w:id="4" w:name="_Toc170137672"/>
      <w:r w:rsidRPr="334CC2BC">
        <w:t>DEFINITIONS</w:t>
      </w:r>
      <w:bookmarkEnd w:id="4"/>
    </w:p>
    <w:p w14:paraId="67FAB44D" w14:textId="1359CDB1" w:rsidR="00FA0D72" w:rsidRPr="00FA0D72" w:rsidRDefault="002262A1" w:rsidP="334CC2BC">
      <w:pPr>
        <w:rPr>
          <w:rFonts w:eastAsiaTheme="minorEastAsia"/>
        </w:rPr>
      </w:pPr>
      <w:r w:rsidRPr="334CC2BC">
        <w:rPr>
          <w:rFonts w:eastAsiaTheme="minorEastAsia"/>
          <w:b/>
          <w:bCs/>
          <w:i/>
          <w:iCs/>
        </w:rPr>
        <w:t>Major Risk Accepting Entities</w:t>
      </w:r>
      <w:r w:rsidR="00DD4B92" w:rsidRPr="334CC2BC">
        <w:rPr>
          <w:rFonts w:eastAsiaTheme="minorEastAsia"/>
        </w:rPr>
        <w:t xml:space="preserve"> </w:t>
      </w:r>
      <w:r w:rsidR="00503687" w:rsidRPr="334CC2BC">
        <w:rPr>
          <w:rFonts w:eastAsiaTheme="minorEastAsia"/>
        </w:rPr>
        <w:t>means a</w:t>
      </w:r>
      <w:r w:rsidR="00DD4B92" w:rsidRPr="334CC2BC">
        <w:rPr>
          <w:rFonts w:eastAsiaTheme="minorEastAsia"/>
        </w:rPr>
        <w:t xml:space="preserve"> </w:t>
      </w:r>
      <w:r w:rsidRPr="334CC2BC">
        <w:rPr>
          <w:rFonts w:eastAsiaTheme="minorEastAsia"/>
        </w:rPr>
        <w:t>r</w:t>
      </w:r>
      <w:r w:rsidR="00DD4B92" w:rsidRPr="334CC2BC">
        <w:rPr>
          <w:rFonts w:eastAsiaTheme="minorEastAsia"/>
        </w:rPr>
        <w:t xml:space="preserve">isk </w:t>
      </w:r>
      <w:r w:rsidRPr="334CC2BC">
        <w:rPr>
          <w:rFonts w:eastAsiaTheme="minorEastAsia"/>
        </w:rPr>
        <w:t>a</w:t>
      </w:r>
      <w:r w:rsidR="00DD4B92" w:rsidRPr="334CC2BC">
        <w:rPr>
          <w:rFonts w:eastAsiaTheme="minorEastAsia"/>
        </w:rPr>
        <w:t xml:space="preserve">ccepting </w:t>
      </w:r>
      <w:r w:rsidRPr="334CC2BC">
        <w:rPr>
          <w:rFonts w:eastAsiaTheme="minorEastAsia"/>
        </w:rPr>
        <w:t>e</w:t>
      </w:r>
      <w:r w:rsidR="00DD4B92" w:rsidRPr="334CC2BC">
        <w:rPr>
          <w:rFonts w:eastAsiaTheme="minorEastAsia"/>
        </w:rPr>
        <w:t xml:space="preserve">ntity </w:t>
      </w:r>
      <w:r w:rsidR="00503687" w:rsidRPr="334CC2BC">
        <w:rPr>
          <w:rFonts w:eastAsiaTheme="minorEastAsia"/>
        </w:rPr>
        <w:t>that</w:t>
      </w:r>
      <w:r w:rsidR="00434C65" w:rsidRPr="334CC2BC">
        <w:rPr>
          <w:rFonts w:eastAsiaTheme="minorEastAsia"/>
        </w:rPr>
        <w:t xml:space="preserve"> </w:t>
      </w:r>
      <w:r w:rsidRPr="334CC2BC">
        <w:rPr>
          <w:rFonts w:eastAsiaTheme="minorEastAsia"/>
        </w:rPr>
        <w:t xml:space="preserve">meets </w:t>
      </w:r>
      <w:r w:rsidR="0099014B" w:rsidRPr="334CC2BC">
        <w:rPr>
          <w:rFonts w:eastAsiaTheme="minorEastAsia"/>
        </w:rPr>
        <w:t xml:space="preserve">Category </w:t>
      </w:r>
      <w:r w:rsidRPr="334CC2BC">
        <w:rPr>
          <w:rFonts w:eastAsiaTheme="minorEastAsia"/>
        </w:rPr>
        <w:t>1 under the MLR instructions</w:t>
      </w:r>
      <w:r w:rsidR="00FA0D72" w:rsidRPr="334CC2BC">
        <w:rPr>
          <w:rFonts w:eastAsiaTheme="minorEastAsia"/>
        </w:rPr>
        <w:t xml:space="preserve">: </w:t>
      </w:r>
      <w:r w:rsidR="00FA0D72" w:rsidRPr="334CC2BC">
        <w:rPr>
          <w:rFonts w:eastAsiaTheme="minorEastAsia"/>
          <w:i/>
          <w:iCs/>
        </w:rPr>
        <w:t>A sub-capitated entity receives a total of 50% or more of the CCO’s Net Premiums (Line 2 of the Exhibit L6 OHP Report).</w:t>
      </w:r>
    </w:p>
    <w:p w14:paraId="57C66422" w14:textId="5CE1E33E" w:rsidR="00DD4B92" w:rsidRDefault="00DD4B92" w:rsidP="334CC2BC">
      <w:pPr>
        <w:rPr>
          <w:rFonts w:eastAsiaTheme="minorEastAsia"/>
        </w:rPr>
      </w:pPr>
      <w:r w:rsidRPr="334CC2BC">
        <w:rPr>
          <w:rFonts w:eastAsiaTheme="minorEastAsia"/>
          <w:b/>
          <w:bCs/>
          <w:i/>
          <w:iCs/>
        </w:rPr>
        <w:t>Insolvency Plan</w:t>
      </w:r>
      <w:r w:rsidRPr="334CC2BC">
        <w:rPr>
          <w:rFonts w:eastAsiaTheme="minorEastAsia"/>
        </w:rPr>
        <w:t xml:space="preserve"> </w:t>
      </w:r>
      <w:r w:rsidR="00314B1C" w:rsidRPr="334CC2BC">
        <w:rPr>
          <w:rFonts w:eastAsiaTheme="minorEastAsia"/>
        </w:rPr>
        <w:t xml:space="preserve">and </w:t>
      </w:r>
      <w:r w:rsidR="00314B1C" w:rsidRPr="334CC2BC">
        <w:rPr>
          <w:rFonts w:eastAsiaTheme="minorEastAsia"/>
          <w:b/>
          <w:bCs/>
        </w:rPr>
        <w:t>Plan</w:t>
      </w:r>
      <w:r w:rsidR="00314B1C" w:rsidRPr="334CC2BC">
        <w:rPr>
          <w:rFonts w:eastAsiaTheme="minorEastAsia"/>
        </w:rPr>
        <w:t xml:space="preserve"> each </w:t>
      </w:r>
      <w:r w:rsidR="00C92419" w:rsidRPr="334CC2BC">
        <w:rPr>
          <w:rFonts w:eastAsiaTheme="minorEastAsia"/>
        </w:rPr>
        <w:t>means a</w:t>
      </w:r>
      <w:r w:rsidR="00C00BE9" w:rsidRPr="334CC2BC">
        <w:rPr>
          <w:rFonts w:eastAsiaTheme="minorEastAsia"/>
        </w:rPr>
        <w:t xml:space="preserve"> </w:t>
      </w:r>
      <w:r w:rsidR="00314B1C" w:rsidRPr="334CC2BC">
        <w:rPr>
          <w:rFonts w:eastAsiaTheme="minorEastAsia"/>
        </w:rPr>
        <w:t xml:space="preserve">written </w:t>
      </w:r>
      <w:r w:rsidR="00C00BE9" w:rsidRPr="334CC2BC">
        <w:rPr>
          <w:rFonts w:eastAsiaTheme="minorEastAsia"/>
        </w:rPr>
        <w:t xml:space="preserve">plan developed by </w:t>
      </w:r>
      <w:r w:rsidR="00314B1C" w:rsidRPr="334CC2BC">
        <w:rPr>
          <w:rFonts w:eastAsiaTheme="minorEastAsia"/>
        </w:rPr>
        <w:t xml:space="preserve">or on behalf of, and adopted by, </w:t>
      </w:r>
      <w:r w:rsidR="00503687" w:rsidRPr="334CC2BC">
        <w:rPr>
          <w:rFonts w:eastAsiaTheme="minorEastAsia"/>
        </w:rPr>
        <w:t>a</w:t>
      </w:r>
      <w:r w:rsidR="00C00BE9" w:rsidRPr="334CC2BC">
        <w:rPr>
          <w:rFonts w:eastAsiaTheme="minorEastAsia"/>
        </w:rPr>
        <w:t xml:space="preserve"> </w:t>
      </w:r>
      <w:r w:rsidR="00905E55" w:rsidRPr="334CC2BC">
        <w:rPr>
          <w:rFonts w:eastAsiaTheme="minorEastAsia"/>
        </w:rPr>
        <w:t xml:space="preserve">CCO </w:t>
      </w:r>
      <w:r w:rsidR="00503687" w:rsidRPr="334CC2BC">
        <w:rPr>
          <w:rFonts w:eastAsiaTheme="minorEastAsia"/>
        </w:rPr>
        <w:t>that</w:t>
      </w:r>
      <w:r w:rsidR="00C00BE9" w:rsidRPr="334CC2BC">
        <w:rPr>
          <w:rFonts w:eastAsiaTheme="minorEastAsia"/>
        </w:rPr>
        <w:t xml:space="preserve"> includ</w:t>
      </w:r>
      <w:r w:rsidR="00503687" w:rsidRPr="334CC2BC">
        <w:rPr>
          <w:rFonts w:eastAsiaTheme="minorEastAsia"/>
        </w:rPr>
        <w:t xml:space="preserve">es </w:t>
      </w:r>
      <w:r w:rsidR="00C00BE9" w:rsidRPr="334CC2BC">
        <w:rPr>
          <w:rFonts w:eastAsiaTheme="minorEastAsia"/>
        </w:rPr>
        <w:t xml:space="preserve">all </w:t>
      </w:r>
      <w:r w:rsidR="00503687" w:rsidRPr="334CC2BC">
        <w:rPr>
          <w:rFonts w:eastAsiaTheme="minorEastAsia"/>
        </w:rPr>
        <w:t xml:space="preserve">the </w:t>
      </w:r>
      <w:r w:rsidR="00C00BE9" w:rsidRPr="334CC2BC">
        <w:rPr>
          <w:rFonts w:eastAsiaTheme="minorEastAsia"/>
        </w:rPr>
        <w:t xml:space="preserve">policies and procedures necessary to </w:t>
      </w:r>
      <w:r w:rsidR="0006135D" w:rsidRPr="334CC2BC">
        <w:rPr>
          <w:rFonts w:eastAsiaTheme="minorEastAsia"/>
        </w:rPr>
        <w:t>transition</w:t>
      </w:r>
      <w:r w:rsidR="00C00BE9" w:rsidRPr="334CC2BC">
        <w:rPr>
          <w:rFonts w:eastAsiaTheme="minorEastAsia"/>
        </w:rPr>
        <w:t xml:space="preserve"> </w:t>
      </w:r>
      <w:r w:rsidR="00314B1C" w:rsidRPr="334CC2BC">
        <w:rPr>
          <w:rFonts w:eastAsiaTheme="minorEastAsia"/>
        </w:rPr>
        <w:t xml:space="preserve">the CCO’s </w:t>
      </w:r>
      <w:r w:rsidR="00C00BE9" w:rsidRPr="334CC2BC">
        <w:rPr>
          <w:rFonts w:eastAsiaTheme="minorEastAsia"/>
        </w:rPr>
        <w:t xml:space="preserve"> </w:t>
      </w:r>
      <w:r w:rsidR="00503687" w:rsidRPr="334CC2BC">
        <w:rPr>
          <w:rFonts w:eastAsiaTheme="minorEastAsia"/>
        </w:rPr>
        <w:t>M</w:t>
      </w:r>
      <w:r w:rsidR="00C00BE9" w:rsidRPr="334CC2BC">
        <w:rPr>
          <w:rFonts w:eastAsiaTheme="minorEastAsia"/>
        </w:rPr>
        <w:t>embers</w:t>
      </w:r>
      <w:r w:rsidR="00C92419" w:rsidRPr="334CC2BC">
        <w:rPr>
          <w:rFonts w:eastAsiaTheme="minorEastAsia"/>
        </w:rPr>
        <w:t>, their medical records, and all other relevant documents</w:t>
      </w:r>
      <w:r w:rsidR="00C0651F" w:rsidRPr="334CC2BC">
        <w:rPr>
          <w:rFonts w:eastAsiaTheme="minorEastAsia"/>
        </w:rPr>
        <w:t xml:space="preserve"> to a new CCO, OHA</w:t>
      </w:r>
      <w:r w:rsidR="00314B1C" w:rsidRPr="334CC2BC">
        <w:rPr>
          <w:rFonts w:eastAsiaTheme="minorEastAsia"/>
        </w:rPr>
        <w:t xml:space="preserve"> FFS</w:t>
      </w:r>
      <w:r w:rsidR="00C0651F" w:rsidRPr="334CC2BC">
        <w:rPr>
          <w:rFonts w:eastAsiaTheme="minorEastAsia"/>
        </w:rPr>
        <w:t xml:space="preserve">, or another </w:t>
      </w:r>
      <w:r w:rsidR="00314B1C" w:rsidRPr="334CC2BC">
        <w:rPr>
          <w:rFonts w:eastAsiaTheme="minorEastAsia"/>
        </w:rPr>
        <w:t xml:space="preserve">similar organization </w:t>
      </w:r>
      <w:r w:rsidR="00C0651F" w:rsidRPr="334CC2BC">
        <w:rPr>
          <w:rFonts w:eastAsiaTheme="minorEastAsia"/>
        </w:rPr>
        <w:t xml:space="preserve">in a manner that </w:t>
      </w:r>
      <w:r w:rsidR="00C92419" w:rsidRPr="334CC2BC">
        <w:rPr>
          <w:rFonts w:eastAsiaTheme="minorEastAsia"/>
        </w:rPr>
        <w:t>ensur</w:t>
      </w:r>
      <w:r w:rsidR="00C0651F" w:rsidRPr="334CC2BC">
        <w:rPr>
          <w:rFonts w:eastAsiaTheme="minorEastAsia"/>
        </w:rPr>
        <w:t xml:space="preserve">es </w:t>
      </w:r>
      <w:r w:rsidR="00C92419" w:rsidRPr="334CC2BC">
        <w:rPr>
          <w:rFonts w:eastAsiaTheme="minorEastAsia"/>
        </w:rPr>
        <w:t xml:space="preserve"> the continuation of</w:t>
      </w:r>
      <w:r w:rsidR="00C0651F" w:rsidRPr="334CC2BC">
        <w:rPr>
          <w:rFonts w:eastAsiaTheme="minorEastAsia"/>
        </w:rPr>
        <w:t>,</w:t>
      </w:r>
      <w:r w:rsidR="00C92419" w:rsidRPr="334CC2BC">
        <w:rPr>
          <w:rFonts w:eastAsiaTheme="minorEastAsia"/>
        </w:rPr>
        <w:t xml:space="preserve"> </w:t>
      </w:r>
      <w:r w:rsidR="00C0651F" w:rsidRPr="334CC2BC">
        <w:rPr>
          <w:rFonts w:eastAsiaTheme="minorEastAsia"/>
        </w:rPr>
        <w:t xml:space="preserve">and protects against any gaps in, </w:t>
      </w:r>
      <w:r w:rsidR="00C92419" w:rsidRPr="334CC2BC">
        <w:rPr>
          <w:rFonts w:eastAsiaTheme="minorEastAsia"/>
        </w:rPr>
        <w:t xml:space="preserve">Member </w:t>
      </w:r>
      <w:r w:rsidR="004C4E94" w:rsidRPr="334CC2BC">
        <w:rPr>
          <w:rFonts w:eastAsiaTheme="minorEastAsia"/>
        </w:rPr>
        <w:t>care</w:t>
      </w:r>
      <w:r w:rsidR="00C0651F" w:rsidRPr="334CC2BC">
        <w:rPr>
          <w:rFonts w:eastAsiaTheme="minorEastAsia"/>
        </w:rPr>
        <w:t xml:space="preserve"> </w:t>
      </w:r>
      <w:r w:rsidR="004C4E94" w:rsidRPr="334CC2BC">
        <w:rPr>
          <w:rFonts w:eastAsiaTheme="minorEastAsia"/>
        </w:rPr>
        <w:t>in</w:t>
      </w:r>
      <w:r w:rsidR="00C00BE9" w:rsidRPr="334CC2BC">
        <w:rPr>
          <w:rFonts w:eastAsiaTheme="minorEastAsia"/>
        </w:rPr>
        <w:t xml:space="preserve"> the event of insolvency by the CCO or one of its Major Risk Accepting Entities.</w:t>
      </w:r>
    </w:p>
    <w:p w14:paraId="50315336" w14:textId="7C6C2EBC" w:rsidR="00CB115C" w:rsidRPr="00BC6266" w:rsidRDefault="00CB115C" w:rsidP="008F0863">
      <w:pPr>
        <w:pStyle w:val="Heading1"/>
      </w:pPr>
      <w:r w:rsidRPr="334CC2BC">
        <w:t xml:space="preserve"> </w:t>
      </w:r>
      <w:bookmarkStart w:id="5" w:name="_Toc170137673"/>
      <w:r w:rsidRPr="334CC2BC">
        <w:t>OBJECTIVES OF INSOLVENCY PLAN</w:t>
      </w:r>
      <w:r w:rsidR="00160EB0" w:rsidRPr="334CC2BC">
        <w:t>; ASSUMPTION OF TIMING</w:t>
      </w:r>
      <w:bookmarkEnd w:id="5"/>
    </w:p>
    <w:p w14:paraId="69DA8EA7" w14:textId="7C078AA5" w:rsidR="000D6102" w:rsidRDefault="000D6102" w:rsidP="00C37CE7">
      <w:pPr>
        <w:rPr>
          <w:rFonts w:eastAsiaTheme="minorEastAsia"/>
        </w:rPr>
      </w:pPr>
      <w:r w:rsidRPr="334CC2BC">
        <w:rPr>
          <w:rFonts w:eastAsiaTheme="minorEastAsia"/>
        </w:rPr>
        <w:t>The primary objective of the Insolvency Plan is the protection of Members</w:t>
      </w:r>
      <w:r w:rsidR="00CB115C" w:rsidRPr="334CC2BC">
        <w:rPr>
          <w:rFonts w:eastAsiaTheme="minorEastAsia"/>
        </w:rPr>
        <w:t>.  This</w:t>
      </w:r>
      <w:r w:rsidRPr="334CC2BC">
        <w:rPr>
          <w:rFonts w:eastAsiaTheme="minorEastAsia"/>
        </w:rPr>
        <w:t xml:space="preserve"> means that CCO</w:t>
      </w:r>
      <w:r w:rsidR="00CB115C" w:rsidRPr="334CC2BC">
        <w:rPr>
          <w:rFonts w:eastAsiaTheme="minorEastAsia"/>
        </w:rPr>
        <w:t>s</w:t>
      </w:r>
      <w:r w:rsidRPr="334CC2BC">
        <w:rPr>
          <w:rFonts w:eastAsiaTheme="minorEastAsia"/>
        </w:rPr>
        <w:t xml:space="preserve"> must </w:t>
      </w:r>
      <w:r w:rsidR="00082CD5" w:rsidRPr="334CC2BC">
        <w:rPr>
          <w:rFonts w:eastAsiaTheme="minorEastAsia"/>
        </w:rPr>
        <w:t xml:space="preserve">safeguard against any disruption in </w:t>
      </w:r>
      <w:r w:rsidR="00080345" w:rsidRPr="334CC2BC">
        <w:rPr>
          <w:rFonts w:eastAsiaTheme="minorEastAsia"/>
        </w:rPr>
        <w:t xml:space="preserve">Member </w:t>
      </w:r>
      <w:r w:rsidR="00082CD5" w:rsidRPr="334CC2BC">
        <w:rPr>
          <w:rFonts w:eastAsiaTheme="minorEastAsia"/>
        </w:rPr>
        <w:t xml:space="preserve">care. </w:t>
      </w:r>
      <w:r w:rsidR="00080345" w:rsidRPr="334CC2BC">
        <w:rPr>
          <w:rFonts w:eastAsiaTheme="minorEastAsia"/>
        </w:rPr>
        <w:t>Accordingly, c</w:t>
      </w:r>
      <w:r w:rsidR="00CB115C" w:rsidRPr="334CC2BC">
        <w:rPr>
          <w:rFonts w:eastAsiaTheme="minorEastAsia"/>
        </w:rPr>
        <w:t xml:space="preserve">ommunication with Members, Providers, and OHA is a critical element of </w:t>
      </w:r>
      <w:r w:rsidR="00080345" w:rsidRPr="334CC2BC">
        <w:rPr>
          <w:rFonts w:eastAsiaTheme="minorEastAsia"/>
        </w:rPr>
        <w:t>all CCO</w:t>
      </w:r>
      <w:r w:rsidR="00CB115C" w:rsidRPr="334CC2BC">
        <w:rPr>
          <w:rFonts w:eastAsiaTheme="minorEastAsia"/>
        </w:rPr>
        <w:t xml:space="preserve"> Insolvency Plan</w:t>
      </w:r>
      <w:r w:rsidR="00080345" w:rsidRPr="334CC2BC">
        <w:rPr>
          <w:rFonts w:eastAsiaTheme="minorEastAsia"/>
        </w:rPr>
        <w:t>s</w:t>
      </w:r>
      <w:r w:rsidR="00CB115C" w:rsidRPr="334CC2BC">
        <w:rPr>
          <w:rFonts w:eastAsiaTheme="minorEastAsia"/>
        </w:rPr>
        <w:t>.</w:t>
      </w:r>
    </w:p>
    <w:p w14:paraId="133FE86D" w14:textId="07BC510D" w:rsidR="00160EB0" w:rsidRDefault="00CB115C" w:rsidP="00C37CE7">
      <w:pPr>
        <w:spacing w:after="120" w:line="240" w:lineRule="auto"/>
        <w:rPr>
          <w:rFonts w:eastAsiaTheme="minorEastAsia"/>
        </w:rPr>
      </w:pPr>
      <w:r w:rsidRPr="334CC2BC">
        <w:rPr>
          <w:rFonts w:eastAsiaTheme="minorEastAsia"/>
        </w:rPr>
        <w:lastRenderedPageBreak/>
        <w:t xml:space="preserve">The secondary objective of the Insolvency Plan is to </w:t>
      </w:r>
      <w:r w:rsidR="00A269F7" w:rsidRPr="334CC2BC">
        <w:rPr>
          <w:rFonts w:eastAsiaTheme="minorEastAsia"/>
        </w:rPr>
        <w:t>facilitate a smooth transition</w:t>
      </w:r>
      <w:r w:rsidRPr="334CC2BC">
        <w:rPr>
          <w:rFonts w:eastAsiaTheme="minorEastAsia"/>
        </w:rPr>
        <w:t xml:space="preserve">.  This means that every </w:t>
      </w:r>
      <w:r w:rsidR="00C00BE9" w:rsidRPr="334CC2BC">
        <w:rPr>
          <w:rFonts w:eastAsiaTheme="minorEastAsia"/>
        </w:rPr>
        <w:t xml:space="preserve">Insolvency Plan </w:t>
      </w:r>
      <w:r w:rsidR="00D84C0C" w:rsidRPr="334CC2BC">
        <w:rPr>
          <w:rFonts w:eastAsiaTheme="minorEastAsia"/>
        </w:rPr>
        <w:t xml:space="preserve">must </w:t>
      </w:r>
      <w:r w:rsidR="00C00BE9" w:rsidRPr="334CC2BC">
        <w:rPr>
          <w:rFonts w:eastAsiaTheme="minorEastAsia"/>
        </w:rPr>
        <w:t xml:space="preserve">consist of policies and procedures </w:t>
      </w:r>
      <w:r w:rsidR="005631E6" w:rsidRPr="334CC2BC">
        <w:rPr>
          <w:rFonts w:eastAsiaTheme="minorEastAsia"/>
        </w:rPr>
        <w:t>that identify</w:t>
      </w:r>
      <w:r w:rsidR="00E75AEC" w:rsidRPr="334CC2BC">
        <w:rPr>
          <w:rFonts w:eastAsiaTheme="minorEastAsia"/>
        </w:rPr>
        <w:t>: (a)</w:t>
      </w:r>
      <w:r w:rsidR="005631E6" w:rsidRPr="334CC2BC">
        <w:rPr>
          <w:rFonts w:eastAsiaTheme="minorEastAsia"/>
        </w:rPr>
        <w:t xml:space="preserve"> the tasks necessary for</w:t>
      </w:r>
      <w:r w:rsidR="00C00BE9" w:rsidRPr="334CC2BC">
        <w:rPr>
          <w:rFonts w:eastAsiaTheme="minorEastAsia"/>
        </w:rPr>
        <w:t xml:space="preserve"> transition</w:t>
      </w:r>
      <w:r w:rsidR="005631E6" w:rsidRPr="334CC2BC">
        <w:rPr>
          <w:rFonts w:eastAsiaTheme="minorEastAsia"/>
        </w:rPr>
        <w:t>ing CCO M</w:t>
      </w:r>
      <w:r w:rsidR="00C00BE9" w:rsidRPr="334CC2BC">
        <w:rPr>
          <w:rFonts w:eastAsiaTheme="minorEastAsia"/>
        </w:rPr>
        <w:t>embers</w:t>
      </w:r>
      <w:r w:rsidR="005631E6" w:rsidRPr="334CC2BC">
        <w:rPr>
          <w:rFonts w:eastAsiaTheme="minorEastAsia"/>
        </w:rPr>
        <w:t>, the Member</w:t>
      </w:r>
      <w:r w:rsidR="00E52C21" w:rsidRPr="334CC2BC">
        <w:rPr>
          <w:rFonts w:eastAsiaTheme="minorEastAsia"/>
        </w:rPr>
        <w:t xml:space="preserve"> </w:t>
      </w:r>
      <w:r w:rsidR="00C00BE9" w:rsidRPr="334CC2BC">
        <w:rPr>
          <w:rFonts w:eastAsiaTheme="minorEastAsia"/>
        </w:rPr>
        <w:t>clinical records</w:t>
      </w:r>
      <w:r w:rsidR="005631E6" w:rsidRPr="334CC2BC">
        <w:rPr>
          <w:rFonts w:eastAsiaTheme="minorEastAsia"/>
        </w:rPr>
        <w:t xml:space="preserve">, and </w:t>
      </w:r>
      <w:r w:rsidR="00C0651F" w:rsidRPr="334CC2BC">
        <w:rPr>
          <w:rFonts w:eastAsiaTheme="minorEastAsia"/>
        </w:rPr>
        <w:t xml:space="preserve">all </w:t>
      </w:r>
      <w:r w:rsidR="005631E6" w:rsidRPr="334CC2BC">
        <w:rPr>
          <w:rFonts w:eastAsiaTheme="minorEastAsia"/>
        </w:rPr>
        <w:t xml:space="preserve">other related </w:t>
      </w:r>
      <w:r w:rsidR="00C0651F" w:rsidRPr="334CC2BC">
        <w:rPr>
          <w:rFonts w:eastAsiaTheme="minorEastAsia"/>
        </w:rPr>
        <w:t xml:space="preserve">Member and </w:t>
      </w:r>
      <w:r w:rsidR="00A269F7" w:rsidRPr="334CC2BC">
        <w:rPr>
          <w:rFonts w:eastAsiaTheme="minorEastAsia"/>
        </w:rPr>
        <w:t>administrative</w:t>
      </w:r>
      <w:r w:rsidR="00C0651F" w:rsidRPr="334CC2BC">
        <w:rPr>
          <w:rFonts w:eastAsiaTheme="minorEastAsia"/>
        </w:rPr>
        <w:t xml:space="preserve"> </w:t>
      </w:r>
      <w:r w:rsidR="005631E6" w:rsidRPr="334CC2BC">
        <w:rPr>
          <w:rFonts w:eastAsiaTheme="minorEastAsia"/>
        </w:rPr>
        <w:t>documentation</w:t>
      </w:r>
      <w:r w:rsidR="00C00BE9" w:rsidRPr="334CC2BC">
        <w:rPr>
          <w:rFonts w:eastAsiaTheme="minorEastAsia"/>
        </w:rPr>
        <w:t xml:space="preserve"> to other CCOs or </w:t>
      </w:r>
      <w:r w:rsidR="005631E6" w:rsidRPr="334CC2BC">
        <w:rPr>
          <w:rFonts w:eastAsiaTheme="minorEastAsia"/>
        </w:rPr>
        <w:t>P</w:t>
      </w:r>
      <w:r w:rsidR="00C00BE9" w:rsidRPr="334CC2BC">
        <w:rPr>
          <w:rFonts w:eastAsiaTheme="minorEastAsia"/>
        </w:rPr>
        <w:t xml:space="preserve">roviders </w:t>
      </w:r>
      <w:r w:rsidR="005631E6" w:rsidRPr="334CC2BC">
        <w:rPr>
          <w:rFonts w:eastAsiaTheme="minorEastAsia"/>
        </w:rPr>
        <w:t xml:space="preserve">in a manner that causes </w:t>
      </w:r>
      <w:r w:rsidR="00C00BE9" w:rsidRPr="334CC2BC">
        <w:rPr>
          <w:rFonts w:eastAsiaTheme="minorEastAsia"/>
        </w:rPr>
        <w:t>minimal disruption</w:t>
      </w:r>
      <w:r w:rsidR="005631E6" w:rsidRPr="334CC2BC">
        <w:rPr>
          <w:rFonts w:eastAsiaTheme="minorEastAsia"/>
        </w:rPr>
        <w:t xml:space="preserve"> to Member care</w:t>
      </w:r>
      <w:r w:rsidR="00E52C21" w:rsidRPr="334CC2BC">
        <w:rPr>
          <w:rFonts w:eastAsiaTheme="minorEastAsia"/>
        </w:rPr>
        <w:t xml:space="preserve"> and</w:t>
      </w:r>
      <w:r w:rsidR="005631E6" w:rsidRPr="334CC2BC">
        <w:rPr>
          <w:rFonts w:eastAsiaTheme="minorEastAsia"/>
        </w:rPr>
        <w:t xml:space="preserve"> </w:t>
      </w:r>
      <w:r w:rsidR="00E52C21" w:rsidRPr="334CC2BC">
        <w:rPr>
          <w:rFonts w:eastAsiaTheme="minorEastAsia"/>
        </w:rPr>
        <w:t>the State’s integrated and coordinated care delivery system</w:t>
      </w:r>
      <w:r w:rsidR="00E75AEC" w:rsidRPr="334CC2BC">
        <w:rPr>
          <w:rFonts w:eastAsiaTheme="minorEastAsia"/>
        </w:rPr>
        <w:t>; and (b) the personnel</w:t>
      </w:r>
      <w:r w:rsidR="000D6102" w:rsidRPr="334CC2BC">
        <w:rPr>
          <w:rFonts w:eastAsiaTheme="minorEastAsia"/>
        </w:rPr>
        <w:t xml:space="preserve"> or titles of personnel</w:t>
      </w:r>
      <w:r w:rsidR="00E75AEC" w:rsidRPr="334CC2BC">
        <w:rPr>
          <w:rFonts w:eastAsiaTheme="minorEastAsia"/>
        </w:rPr>
        <w:t xml:space="preserve"> required to carry out those tasks and the qualifications that make th</w:t>
      </w:r>
      <w:r w:rsidR="000D6102" w:rsidRPr="334CC2BC">
        <w:rPr>
          <w:rFonts w:eastAsiaTheme="minorEastAsia"/>
        </w:rPr>
        <w:t>ose individuals or qualifications (or both)</w:t>
      </w:r>
      <w:r w:rsidR="00E75AEC" w:rsidRPr="334CC2BC">
        <w:rPr>
          <w:rFonts w:eastAsiaTheme="minorEastAsia"/>
        </w:rPr>
        <w:t xml:space="preserve"> appropriate for</w:t>
      </w:r>
      <w:r w:rsidR="000D6102" w:rsidRPr="334CC2BC">
        <w:rPr>
          <w:rFonts w:eastAsiaTheme="minorEastAsia"/>
        </w:rPr>
        <w:t xml:space="preserve"> fulfilling the assigned tasks</w:t>
      </w:r>
      <w:r w:rsidR="00C00BE9" w:rsidRPr="334CC2BC">
        <w:rPr>
          <w:rFonts w:eastAsiaTheme="minorEastAsia"/>
        </w:rPr>
        <w:t>.</w:t>
      </w:r>
      <w:r w:rsidR="004475DB" w:rsidRPr="334CC2BC">
        <w:rPr>
          <w:rFonts w:eastAsiaTheme="minorEastAsia"/>
        </w:rPr>
        <w:t xml:space="preserve"> </w:t>
      </w:r>
      <w:r w:rsidR="00160EB0" w:rsidRPr="334CC2BC">
        <w:rPr>
          <w:rFonts w:eastAsiaTheme="minorEastAsia"/>
        </w:rPr>
        <w:t xml:space="preserve">In addition, the Insolvency Plan must </w:t>
      </w:r>
      <w:proofErr w:type="gramStart"/>
      <w:r w:rsidR="00160EB0" w:rsidRPr="334CC2BC">
        <w:rPr>
          <w:rFonts w:eastAsiaTheme="minorEastAsia"/>
        </w:rPr>
        <w:t>be based on the assumption</w:t>
      </w:r>
      <w:proofErr w:type="gramEnd"/>
      <w:r w:rsidR="00160EB0" w:rsidRPr="334CC2BC">
        <w:rPr>
          <w:rFonts w:eastAsiaTheme="minorEastAsia"/>
        </w:rPr>
        <w:t xml:space="preserve"> that insolvency will occur mid-year and that the transition of Members and the wind-down or close-out of the Provider Network will also occur mid-year. </w:t>
      </w:r>
    </w:p>
    <w:p w14:paraId="326DDB04" w14:textId="01AF3E5A" w:rsidR="00080345" w:rsidRPr="00D84C0C" w:rsidRDefault="00080345" w:rsidP="008F0863">
      <w:pPr>
        <w:pStyle w:val="Heading1"/>
      </w:pPr>
      <w:bookmarkStart w:id="6" w:name="_Toc170137674"/>
      <w:r w:rsidRPr="334CC2BC">
        <w:t>CONTENT OF INSOLVENCY PLANS</w:t>
      </w:r>
      <w:bookmarkEnd w:id="6"/>
    </w:p>
    <w:p w14:paraId="72C4955F" w14:textId="09D43C8E" w:rsidR="00651DD8" w:rsidRDefault="00080345" w:rsidP="334CC2BC">
      <w:pPr>
        <w:spacing w:after="120" w:line="240" w:lineRule="auto"/>
        <w:rPr>
          <w:rFonts w:eastAsiaTheme="minorEastAsia"/>
        </w:rPr>
      </w:pPr>
      <w:r w:rsidRPr="334CC2BC">
        <w:rPr>
          <w:rFonts w:eastAsiaTheme="minorEastAsia"/>
        </w:rPr>
        <w:t>Based on the objectives, all Insolvency</w:t>
      </w:r>
      <w:r w:rsidR="000D6102" w:rsidRPr="334CC2BC">
        <w:rPr>
          <w:rFonts w:eastAsiaTheme="minorEastAsia"/>
        </w:rPr>
        <w:t xml:space="preserve"> </w:t>
      </w:r>
      <w:r w:rsidRPr="334CC2BC">
        <w:rPr>
          <w:rFonts w:eastAsiaTheme="minorEastAsia"/>
        </w:rPr>
        <w:t>P</w:t>
      </w:r>
      <w:r w:rsidR="000D6102" w:rsidRPr="334CC2BC">
        <w:rPr>
          <w:rFonts w:eastAsiaTheme="minorEastAsia"/>
        </w:rPr>
        <w:t>lan</w:t>
      </w:r>
      <w:r w:rsidRPr="334CC2BC">
        <w:rPr>
          <w:rFonts w:eastAsiaTheme="minorEastAsia"/>
        </w:rPr>
        <w:t>s</w:t>
      </w:r>
      <w:r w:rsidR="000D6102" w:rsidRPr="334CC2BC">
        <w:rPr>
          <w:rFonts w:eastAsiaTheme="minorEastAsia"/>
        </w:rPr>
        <w:t xml:space="preserve"> </w:t>
      </w:r>
      <w:r w:rsidRPr="334CC2BC">
        <w:rPr>
          <w:rFonts w:eastAsiaTheme="minorEastAsia"/>
        </w:rPr>
        <w:t>must</w:t>
      </w:r>
      <w:r w:rsidR="000D6102" w:rsidRPr="334CC2BC">
        <w:rPr>
          <w:rFonts w:eastAsiaTheme="minorEastAsia"/>
        </w:rPr>
        <w:t xml:space="preserve"> include, at a minimum, the following</w:t>
      </w:r>
      <w:r w:rsidR="2816EC3D" w:rsidRPr="334CC2BC">
        <w:rPr>
          <w:rFonts w:eastAsiaTheme="minorEastAsia"/>
        </w:rPr>
        <w:t xml:space="preserve"> information. CCO submissions will be evaluated for completeness and must include all criteria referenced below. </w:t>
      </w:r>
    </w:p>
    <w:p w14:paraId="2A9C2023" w14:textId="6711392F" w:rsidR="004E5FE4" w:rsidRDefault="000F038F" w:rsidP="009B715B">
      <w:pPr>
        <w:pStyle w:val="Heading2"/>
        <w:rPr>
          <w:rFonts w:eastAsiaTheme="minorEastAsia"/>
        </w:rPr>
      </w:pPr>
      <w:bookmarkStart w:id="7" w:name="_Toc170137675"/>
      <w:r w:rsidRPr="334CC2BC">
        <w:rPr>
          <w:rFonts w:eastAsiaTheme="minorEastAsia"/>
        </w:rPr>
        <w:t xml:space="preserve">Key </w:t>
      </w:r>
      <w:r w:rsidR="009B715B">
        <w:rPr>
          <w:rFonts w:eastAsiaTheme="minorEastAsia"/>
        </w:rPr>
        <w:t>S</w:t>
      </w:r>
      <w:r w:rsidR="00651DD8" w:rsidRPr="334CC2BC">
        <w:rPr>
          <w:rFonts w:eastAsiaTheme="minorEastAsia"/>
        </w:rPr>
        <w:t>taff</w:t>
      </w:r>
      <w:bookmarkEnd w:id="7"/>
      <w:r w:rsidR="00651DD8" w:rsidRPr="334CC2BC">
        <w:rPr>
          <w:rFonts w:eastAsiaTheme="minorEastAsia"/>
        </w:rPr>
        <w:t xml:space="preserve"> </w:t>
      </w:r>
      <w:r w:rsidR="00160EB0" w:rsidRPr="334CC2BC">
        <w:rPr>
          <w:rFonts w:eastAsiaTheme="minorEastAsia"/>
        </w:rPr>
        <w:t xml:space="preserve"> </w:t>
      </w:r>
    </w:p>
    <w:p w14:paraId="28EE8C17" w14:textId="6779115E" w:rsidR="007E5E6F" w:rsidRPr="009B715B" w:rsidRDefault="007E5E6F" w:rsidP="009B715B">
      <w:pPr>
        <w:spacing w:after="120" w:line="240" w:lineRule="auto"/>
        <w:rPr>
          <w:rFonts w:eastAsiaTheme="minorEastAsia"/>
        </w:rPr>
      </w:pPr>
      <w:r w:rsidRPr="009B715B">
        <w:rPr>
          <w:rFonts w:eastAsiaTheme="minorEastAsia"/>
        </w:rPr>
        <w:t xml:space="preserve">The Insolvency Plan must identify one individual (or job title) who shall be the authorized representative who will serve as the CCO’s insolvency coordinator </w:t>
      </w:r>
      <w:proofErr w:type="gramStart"/>
      <w:r w:rsidRPr="009B715B">
        <w:rPr>
          <w:rFonts w:eastAsiaTheme="minorEastAsia"/>
        </w:rPr>
        <w:t>and also</w:t>
      </w:r>
      <w:proofErr w:type="gramEnd"/>
      <w:r w:rsidRPr="009B715B">
        <w:rPr>
          <w:rFonts w:eastAsiaTheme="minorEastAsia"/>
        </w:rPr>
        <w:t xml:space="preserve"> serve as the single point of contact for OHA during the wind-down of the CCO.  The Insolvency Plan must also designate</w:t>
      </w:r>
      <w:r w:rsidR="00265690" w:rsidRPr="009B715B">
        <w:rPr>
          <w:rFonts w:eastAsiaTheme="minorEastAsia"/>
        </w:rPr>
        <w:t>:</w:t>
      </w:r>
      <w:r w:rsidRPr="009B715B">
        <w:rPr>
          <w:rFonts w:eastAsiaTheme="minorEastAsia"/>
        </w:rPr>
        <w:t xml:space="preserve"> </w:t>
      </w:r>
    </w:p>
    <w:p w14:paraId="39FDB5A7" w14:textId="2075FD0A" w:rsidR="007E5E6F" w:rsidRDefault="00651DD8" w:rsidP="00A911BA">
      <w:pPr>
        <w:pStyle w:val="ListParagraph"/>
        <w:numPr>
          <w:ilvl w:val="0"/>
          <w:numId w:val="7"/>
        </w:numPr>
        <w:rPr>
          <w:rFonts w:eastAsiaTheme="minorEastAsia"/>
        </w:rPr>
      </w:pPr>
      <w:r w:rsidRPr="334CC2BC">
        <w:rPr>
          <w:rFonts w:eastAsiaTheme="minorEastAsia"/>
        </w:rPr>
        <w:t xml:space="preserve">Key staff positions </w:t>
      </w:r>
      <w:r w:rsidR="007E5E6F" w:rsidRPr="334CC2BC">
        <w:rPr>
          <w:rFonts w:eastAsiaTheme="minorEastAsia"/>
        </w:rPr>
        <w:t>and the specific list of tasks for which they have oversight and close-out responsibility</w:t>
      </w:r>
      <w:r w:rsidR="006A390E" w:rsidRPr="334CC2BC">
        <w:rPr>
          <w:rFonts w:eastAsiaTheme="minorEastAsia"/>
        </w:rPr>
        <w:t>.</w:t>
      </w:r>
      <w:r w:rsidR="007E5E6F" w:rsidRPr="334CC2BC">
        <w:rPr>
          <w:rFonts w:eastAsiaTheme="minorEastAsia"/>
        </w:rPr>
        <w:t>,</w:t>
      </w:r>
    </w:p>
    <w:p w14:paraId="7FED7CA7" w14:textId="668852C3" w:rsidR="007E5E6F" w:rsidRDefault="007E5E6F" w:rsidP="334CC2BC">
      <w:pPr>
        <w:pStyle w:val="ListParagraph"/>
        <w:numPr>
          <w:ilvl w:val="0"/>
          <w:numId w:val="7"/>
        </w:numPr>
        <w:rPr>
          <w:rFonts w:eastAsiaTheme="minorEastAsia"/>
        </w:rPr>
      </w:pPr>
      <w:r w:rsidRPr="334CC2BC">
        <w:rPr>
          <w:rFonts w:eastAsiaTheme="minorEastAsia"/>
        </w:rPr>
        <w:t>The name</w:t>
      </w:r>
      <w:r w:rsidR="00265690" w:rsidRPr="334CC2BC">
        <w:rPr>
          <w:rFonts w:eastAsiaTheme="minorEastAsia"/>
        </w:rPr>
        <w:t>(</w:t>
      </w:r>
      <w:r w:rsidRPr="334CC2BC">
        <w:rPr>
          <w:rFonts w:eastAsiaTheme="minorEastAsia"/>
        </w:rPr>
        <w:t>s</w:t>
      </w:r>
      <w:r w:rsidR="00265690" w:rsidRPr="334CC2BC">
        <w:rPr>
          <w:rFonts w:eastAsiaTheme="minorEastAsia"/>
        </w:rPr>
        <w:t>)</w:t>
      </w:r>
      <w:r w:rsidRPr="334CC2BC">
        <w:rPr>
          <w:rFonts w:eastAsiaTheme="minorEastAsia"/>
        </w:rPr>
        <w:t xml:space="preserve"> and contact information for the individual or staff position</w:t>
      </w:r>
      <w:r w:rsidR="00265690" w:rsidRPr="334CC2BC">
        <w:rPr>
          <w:rFonts w:eastAsiaTheme="minorEastAsia"/>
        </w:rPr>
        <w:t>(s)</w:t>
      </w:r>
      <w:r w:rsidRPr="334CC2BC">
        <w:rPr>
          <w:rFonts w:eastAsiaTheme="minorEastAsia"/>
        </w:rPr>
        <w:t xml:space="preserve"> that has </w:t>
      </w:r>
      <w:r w:rsidR="00651DD8" w:rsidRPr="334CC2BC">
        <w:rPr>
          <w:rFonts w:eastAsiaTheme="minorEastAsia"/>
        </w:rPr>
        <w:t>administrative control of important digital systems</w:t>
      </w:r>
      <w:r w:rsidRPr="334CC2BC">
        <w:rPr>
          <w:rFonts w:eastAsiaTheme="minorEastAsia"/>
        </w:rPr>
        <w:t xml:space="preserve"> such as bank account access, </w:t>
      </w:r>
      <w:r w:rsidR="003E116E" w:rsidRPr="334CC2BC">
        <w:rPr>
          <w:rFonts w:eastAsiaTheme="minorEastAsia"/>
        </w:rPr>
        <w:t xml:space="preserve">payroll system, </w:t>
      </w:r>
      <w:r w:rsidR="00066138" w:rsidRPr="334CC2BC">
        <w:rPr>
          <w:rFonts w:eastAsiaTheme="minorEastAsia"/>
        </w:rPr>
        <w:t xml:space="preserve">website access, </w:t>
      </w:r>
      <w:r w:rsidRPr="334CC2BC">
        <w:rPr>
          <w:rFonts w:eastAsiaTheme="minorEastAsia"/>
        </w:rPr>
        <w:t xml:space="preserve">Member records, </w:t>
      </w:r>
      <w:r w:rsidR="00DB2613" w:rsidRPr="334CC2BC">
        <w:rPr>
          <w:rFonts w:eastAsiaTheme="minorEastAsia"/>
        </w:rPr>
        <w:t xml:space="preserve">email access, </w:t>
      </w:r>
      <w:r w:rsidRPr="334CC2BC">
        <w:rPr>
          <w:rFonts w:eastAsiaTheme="minorEastAsia"/>
        </w:rPr>
        <w:t>information regarding</w:t>
      </w:r>
      <w:r w:rsidR="00160EB0" w:rsidRPr="334CC2BC">
        <w:rPr>
          <w:rFonts w:eastAsiaTheme="minorEastAsia"/>
        </w:rPr>
        <w:t xml:space="preserve"> the CCO</w:t>
      </w:r>
      <w:r w:rsidRPr="334CC2BC">
        <w:rPr>
          <w:rFonts w:eastAsiaTheme="minorEastAsia"/>
        </w:rPr>
        <w:t xml:space="preserve"> Provider Network, </w:t>
      </w:r>
      <w:r w:rsidR="00160EB0" w:rsidRPr="334CC2BC">
        <w:rPr>
          <w:rFonts w:eastAsiaTheme="minorEastAsia"/>
        </w:rPr>
        <w:t>etc.</w:t>
      </w:r>
    </w:p>
    <w:p w14:paraId="2E56723D" w14:textId="22669E0A" w:rsidR="007E5E6F" w:rsidRDefault="007E5E6F" w:rsidP="334CC2BC">
      <w:pPr>
        <w:pStyle w:val="ListParagraph"/>
        <w:numPr>
          <w:ilvl w:val="0"/>
          <w:numId w:val="7"/>
        </w:numPr>
        <w:rPr>
          <w:rFonts w:eastAsiaTheme="minorEastAsia"/>
        </w:rPr>
      </w:pPr>
      <w:r w:rsidRPr="334CC2BC">
        <w:rPr>
          <w:rFonts w:eastAsiaTheme="minorEastAsia"/>
        </w:rPr>
        <w:t>The name</w:t>
      </w:r>
      <w:r w:rsidR="00265690" w:rsidRPr="334CC2BC">
        <w:rPr>
          <w:rFonts w:eastAsiaTheme="minorEastAsia"/>
        </w:rPr>
        <w:t>(</w:t>
      </w:r>
      <w:r w:rsidRPr="334CC2BC">
        <w:rPr>
          <w:rFonts w:eastAsiaTheme="minorEastAsia"/>
        </w:rPr>
        <w:t>s</w:t>
      </w:r>
      <w:r w:rsidR="00265690" w:rsidRPr="334CC2BC">
        <w:rPr>
          <w:rFonts w:eastAsiaTheme="minorEastAsia"/>
        </w:rPr>
        <w:t>)</w:t>
      </w:r>
      <w:r w:rsidRPr="334CC2BC">
        <w:rPr>
          <w:rFonts w:eastAsiaTheme="minorEastAsia"/>
        </w:rPr>
        <w:t xml:space="preserve"> and contact information for individual and/or staff position</w:t>
      </w:r>
      <w:r w:rsidR="00265690" w:rsidRPr="334CC2BC">
        <w:rPr>
          <w:rFonts w:eastAsiaTheme="minorEastAsia"/>
        </w:rPr>
        <w:t>(</w:t>
      </w:r>
      <w:r w:rsidRPr="334CC2BC">
        <w:rPr>
          <w:rFonts w:eastAsiaTheme="minorEastAsia"/>
        </w:rPr>
        <w:t>s</w:t>
      </w:r>
      <w:r w:rsidR="00265690" w:rsidRPr="334CC2BC">
        <w:rPr>
          <w:rFonts w:eastAsiaTheme="minorEastAsia"/>
        </w:rPr>
        <w:t>)</w:t>
      </w:r>
      <w:r w:rsidRPr="334CC2BC">
        <w:rPr>
          <w:rFonts w:eastAsiaTheme="minorEastAsia"/>
        </w:rPr>
        <w:t xml:space="preserve"> </w:t>
      </w:r>
      <w:r w:rsidR="00160EB0" w:rsidRPr="334CC2BC">
        <w:rPr>
          <w:rFonts w:eastAsiaTheme="minorEastAsia"/>
        </w:rPr>
        <w:t xml:space="preserve">that </w:t>
      </w:r>
      <w:r w:rsidRPr="334CC2BC">
        <w:rPr>
          <w:rFonts w:eastAsiaTheme="minorEastAsia"/>
        </w:rPr>
        <w:t xml:space="preserve">have access to the CCOs physical facilities, tangible/paper files, </w:t>
      </w:r>
      <w:r w:rsidR="00160EB0" w:rsidRPr="334CC2BC">
        <w:rPr>
          <w:rFonts w:eastAsiaTheme="minorEastAsia"/>
        </w:rPr>
        <w:t>and other Member information.</w:t>
      </w:r>
    </w:p>
    <w:p w14:paraId="4AE033E0" w14:textId="77777777" w:rsidR="00160EB0" w:rsidRDefault="00160EB0" w:rsidP="334CC2BC">
      <w:pPr>
        <w:pStyle w:val="ListParagraph"/>
        <w:ind w:left="1440"/>
        <w:rPr>
          <w:rFonts w:eastAsiaTheme="minorEastAsia"/>
        </w:rPr>
      </w:pPr>
    </w:p>
    <w:p w14:paraId="309163FF" w14:textId="18CF97B3" w:rsidR="009B715B" w:rsidRDefault="00160EB0" w:rsidP="009B715B">
      <w:pPr>
        <w:pStyle w:val="Heading2"/>
        <w:rPr>
          <w:rFonts w:eastAsiaTheme="minorEastAsia"/>
        </w:rPr>
      </w:pPr>
      <w:bookmarkStart w:id="8" w:name="_Toc170137676"/>
      <w:r w:rsidRPr="334CC2BC">
        <w:rPr>
          <w:rFonts w:eastAsiaTheme="minorEastAsia"/>
        </w:rPr>
        <w:t>Required Processes/Procedures</w:t>
      </w:r>
      <w:bookmarkEnd w:id="8"/>
      <w:r w:rsidRPr="334CC2BC">
        <w:rPr>
          <w:rFonts w:eastAsiaTheme="minorEastAsia"/>
        </w:rPr>
        <w:t xml:space="preserve">  </w:t>
      </w:r>
    </w:p>
    <w:p w14:paraId="6C5333CF" w14:textId="3E251B34" w:rsidR="00651DD8" w:rsidRPr="009B715B" w:rsidRDefault="00160EB0" w:rsidP="009B715B">
      <w:pPr>
        <w:spacing w:after="0" w:line="240" w:lineRule="auto"/>
        <w:ind w:left="274"/>
        <w:rPr>
          <w:rFonts w:eastAsiaTheme="minorEastAsia"/>
          <w:b/>
          <w:bCs/>
        </w:rPr>
      </w:pPr>
      <w:r w:rsidRPr="009B715B">
        <w:rPr>
          <w:rFonts w:eastAsiaTheme="minorEastAsia"/>
        </w:rPr>
        <w:t>The Insolvency Plan must include procedures for carrying out and completing the following tasks:</w:t>
      </w:r>
    </w:p>
    <w:p w14:paraId="2B318900" w14:textId="77777777" w:rsidR="000D7085" w:rsidRPr="00160EB0" w:rsidRDefault="000D7085" w:rsidP="334CC2BC">
      <w:pPr>
        <w:pStyle w:val="ListParagraph"/>
        <w:spacing w:after="0" w:line="240" w:lineRule="auto"/>
        <w:rPr>
          <w:rFonts w:eastAsiaTheme="minorEastAsia"/>
          <w:b/>
          <w:bCs/>
        </w:rPr>
      </w:pPr>
    </w:p>
    <w:p w14:paraId="16EEF606" w14:textId="084DB3F5" w:rsidR="009B715B" w:rsidRDefault="36D845F2" w:rsidP="00D056CE">
      <w:pPr>
        <w:pStyle w:val="Heading3"/>
        <w:numPr>
          <w:ilvl w:val="0"/>
          <w:numId w:val="17"/>
        </w:numPr>
        <w:rPr>
          <w:rFonts w:eastAsiaTheme="minorEastAsia"/>
        </w:rPr>
      </w:pPr>
      <w:bookmarkStart w:id="9" w:name="_Toc170137677"/>
      <w:r w:rsidRPr="334CC2BC">
        <w:rPr>
          <w:rFonts w:eastAsiaTheme="minorEastAsia"/>
        </w:rPr>
        <w:t>Process for transferring high-needs members</w:t>
      </w:r>
      <w:r w:rsidR="00651DD8" w:rsidRPr="334CC2BC">
        <w:rPr>
          <w:rFonts w:eastAsiaTheme="minorEastAsia"/>
        </w:rPr>
        <w:t xml:space="preserve"> </w:t>
      </w:r>
      <w:r w:rsidR="000D7085" w:rsidRPr="334CC2BC">
        <w:rPr>
          <w:rFonts w:eastAsiaTheme="minorEastAsia"/>
        </w:rPr>
        <w:t>–</w:t>
      </w:r>
      <w:bookmarkEnd w:id="9"/>
      <w:r w:rsidR="00651DD8" w:rsidRPr="334CC2BC">
        <w:rPr>
          <w:rFonts w:eastAsiaTheme="minorEastAsia"/>
        </w:rPr>
        <w:t xml:space="preserve"> </w:t>
      </w:r>
    </w:p>
    <w:p w14:paraId="38410E5F" w14:textId="6EB4535C" w:rsidR="000D7085" w:rsidRDefault="000D7085" w:rsidP="009B715B">
      <w:pPr>
        <w:pStyle w:val="ListParagraph"/>
        <w:ind w:left="1440"/>
        <w:rPr>
          <w:rFonts w:eastAsiaTheme="minorEastAsia"/>
        </w:rPr>
      </w:pPr>
      <w:r w:rsidRPr="334CC2BC">
        <w:rPr>
          <w:rFonts w:eastAsiaTheme="minorEastAsia"/>
        </w:rPr>
        <w:t>The Insolvency Plan must detail the CCO’s p</w:t>
      </w:r>
      <w:r w:rsidR="00651DD8" w:rsidRPr="334CC2BC">
        <w:rPr>
          <w:rFonts w:eastAsiaTheme="minorEastAsia"/>
        </w:rPr>
        <w:t>rocess</w:t>
      </w:r>
      <w:r w:rsidRPr="334CC2BC">
        <w:rPr>
          <w:rFonts w:eastAsiaTheme="minorEastAsia"/>
        </w:rPr>
        <w:t>:</w:t>
      </w:r>
    </w:p>
    <w:p w14:paraId="7A371F16" w14:textId="525B433C" w:rsidR="00EA275B" w:rsidRDefault="00EA275B" w:rsidP="334CC2BC">
      <w:pPr>
        <w:pStyle w:val="ListParagraph"/>
        <w:numPr>
          <w:ilvl w:val="0"/>
          <w:numId w:val="10"/>
        </w:numPr>
        <w:rPr>
          <w:rFonts w:eastAsiaTheme="minorEastAsia"/>
        </w:rPr>
      </w:pPr>
      <w:r w:rsidRPr="334CC2BC">
        <w:rPr>
          <w:rFonts w:eastAsiaTheme="minorEastAsia"/>
        </w:rPr>
        <w:t>The following Members who: (</w:t>
      </w:r>
      <w:proofErr w:type="spellStart"/>
      <w:r w:rsidRPr="334CC2BC">
        <w:rPr>
          <w:rFonts w:eastAsiaTheme="minorEastAsia"/>
        </w:rPr>
        <w:t>i</w:t>
      </w:r>
      <w:proofErr w:type="spellEnd"/>
      <w:r w:rsidRPr="334CC2BC">
        <w:rPr>
          <w:rFonts w:eastAsiaTheme="minorEastAsia"/>
        </w:rPr>
        <w:t xml:space="preserve">) have </w:t>
      </w:r>
      <w:proofErr w:type="gramStart"/>
      <w:r w:rsidR="00651DD8" w:rsidRPr="334CC2BC">
        <w:rPr>
          <w:rFonts w:eastAsiaTheme="minorEastAsia"/>
        </w:rPr>
        <w:t>high-needs</w:t>
      </w:r>
      <w:proofErr w:type="gramEnd"/>
      <w:r w:rsidR="00651DD8" w:rsidRPr="334CC2BC">
        <w:rPr>
          <w:rFonts w:eastAsiaTheme="minorEastAsia"/>
        </w:rPr>
        <w:t xml:space="preserve"> for Care Coordination </w:t>
      </w:r>
      <w:r w:rsidRPr="334CC2BC">
        <w:rPr>
          <w:rFonts w:eastAsiaTheme="minorEastAsia"/>
        </w:rPr>
        <w:t xml:space="preserve">or other high level coordination, (ii) are chronically ill, or have high-risk physical or behavioral health care needs, (iii) are in week 36 of their pregnancies, and (iv) hospitalized or located in a SRTF or residential treatment setting </w:t>
      </w:r>
    </w:p>
    <w:p w14:paraId="0DDA9256" w14:textId="1BB902C6" w:rsidR="006A390E" w:rsidRDefault="00651DD8" w:rsidP="334CC2BC">
      <w:pPr>
        <w:pStyle w:val="ListParagraph"/>
        <w:numPr>
          <w:ilvl w:val="0"/>
          <w:numId w:val="10"/>
        </w:numPr>
        <w:rPr>
          <w:rFonts w:eastAsiaTheme="minorEastAsia"/>
        </w:rPr>
      </w:pPr>
      <w:r w:rsidRPr="334CC2BC">
        <w:rPr>
          <w:rFonts w:eastAsiaTheme="minorEastAsia"/>
          <w:b/>
          <w:bCs/>
        </w:rPr>
        <w:t>Transferring records</w:t>
      </w:r>
      <w:r w:rsidRPr="334CC2BC">
        <w:rPr>
          <w:rFonts w:eastAsiaTheme="minorEastAsia"/>
        </w:rPr>
        <w:t xml:space="preserve"> </w:t>
      </w:r>
      <w:r w:rsidR="00EA275B" w:rsidRPr="334CC2BC">
        <w:rPr>
          <w:rFonts w:eastAsiaTheme="minorEastAsia"/>
        </w:rPr>
        <w:t>–</w:t>
      </w:r>
      <w:r w:rsidRPr="334CC2BC">
        <w:rPr>
          <w:rFonts w:eastAsiaTheme="minorEastAsia"/>
        </w:rPr>
        <w:t xml:space="preserve"> </w:t>
      </w:r>
      <w:r w:rsidR="00EA275B" w:rsidRPr="334CC2BC">
        <w:rPr>
          <w:rFonts w:eastAsiaTheme="minorEastAsia"/>
        </w:rPr>
        <w:t>The Insolvency Plan must detail the CCO p</w:t>
      </w:r>
      <w:r w:rsidRPr="334CC2BC">
        <w:rPr>
          <w:rFonts w:eastAsiaTheme="minorEastAsia"/>
        </w:rPr>
        <w:t xml:space="preserve">rocess </w:t>
      </w:r>
      <w:r w:rsidR="00EA275B" w:rsidRPr="334CC2BC">
        <w:rPr>
          <w:rFonts w:eastAsiaTheme="minorEastAsia"/>
        </w:rPr>
        <w:t xml:space="preserve">that will be followed </w:t>
      </w:r>
      <w:r w:rsidRPr="334CC2BC">
        <w:rPr>
          <w:rFonts w:eastAsiaTheme="minorEastAsia"/>
        </w:rPr>
        <w:t>for</w:t>
      </w:r>
      <w:r w:rsidR="006A390E" w:rsidRPr="334CC2BC">
        <w:rPr>
          <w:rFonts w:eastAsiaTheme="minorEastAsia"/>
        </w:rPr>
        <w:t>:</w:t>
      </w:r>
    </w:p>
    <w:p w14:paraId="4239B78D" w14:textId="18BA88E6" w:rsidR="00651DD8" w:rsidRPr="00A911BA" w:rsidRDefault="00651DD8" w:rsidP="00A911BA">
      <w:pPr>
        <w:pStyle w:val="ListParagraph"/>
        <w:numPr>
          <w:ilvl w:val="0"/>
          <w:numId w:val="11"/>
        </w:numPr>
        <w:rPr>
          <w:rFonts w:eastAsiaTheme="minorEastAsia"/>
        </w:rPr>
      </w:pPr>
      <w:r w:rsidRPr="00A911BA">
        <w:rPr>
          <w:rFonts w:eastAsiaTheme="minorEastAsia"/>
        </w:rPr>
        <w:t xml:space="preserve"> </w:t>
      </w:r>
      <w:bookmarkStart w:id="10" w:name="_Hlk161740294"/>
      <w:r w:rsidR="006A390E" w:rsidRPr="00A911BA">
        <w:rPr>
          <w:rFonts w:eastAsiaTheme="minorEastAsia"/>
        </w:rPr>
        <w:t>C</w:t>
      </w:r>
      <w:r w:rsidRPr="00A911BA">
        <w:rPr>
          <w:rFonts w:eastAsiaTheme="minorEastAsia"/>
        </w:rPr>
        <w:t xml:space="preserve">ollecting and transferring all relevant </w:t>
      </w:r>
      <w:r w:rsidR="00EA275B" w:rsidRPr="00A911BA">
        <w:rPr>
          <w:rFonts w:eastAsiaTheme="minorEastAsia"/>
        </w:rPr>
        <w:t xml:space="preserve">Member </w:t>
      </w:r>
      <w:r w:rsidRPr="00A911BA">
        <w:rPr>
          <w:rFonts w:eastAsiaTheme="minorEastAsia"/>
        </w:rPr>
        <w:t xml:space="preserve">records, approvals, and </w:t>
      </w:r>
      <w:r w:rsidR="00EA275B" w:rsidRPr="00A911BA">
        <w:rPr>
          <w:rFonts w:eastAsiaTheme="minorEastAsia"/>
        </w:rPr>
        <w:t xml:space="preserve">other </w:t>
      </w:r>
      <w:r w:rsidRPr="00A911BA">
        <w:rPr>
          <w:rFonts w:eastAsiaTheme="minorEastAsia"/>
        </w:rPr>
        <w:t>care data</w:t>
      </w:r>
      <w:r w:rsidR="00EA275B" w:rsidRPr="00A911BA">
        <w:rPr>
          <w:rFonts w:eastAsiaTheme="minorEastAsia"/>
        </w:rPr>
        <w:t>, s</w:t>
      </w:r>
      <w:r w:rsidRPr="00A911BA">
        <w:rPr>
          <w:rFonts w:eastAsiaTheme="minorEastAsia"/>
        </w:rPr>
        <w:t xml:space="preserve">uch as: Outstanding claims, approved health-related services, program exemptions </w:t>
      </w:r>
      <w:proofErr w:type="gramStart"/>
      <w:r w:rsidRPr="00A911BA">
        <w:rPr>
          <w:rFonts w:eastAsiaTheme="minorEastAsia"/>
        </w:rPr>
        <w:t>approved</w:t>
      </w:r>
      <w:bookmarkEnd w:id="10"/>
      <w:r w:rsidR="006A390E" w:rsidRPr="00A911BA">
        <w:rPr>
          <w:rFonts w:eastAsiaTheme="minorEastAsia"/>
        </w:rPr>
        <w:t>;</w:t>
      </w:r>
      <w:proofErr w:type="gramEnd"/>
    </w:p>
    <w:p w14:paraId="7873B463" w14:textId="28C1CE1F" w:rsidR="005E0C11" w:rsidRDefault="005E0C11" w:rsidP="334CC2BC">
      <w:pPr>
        <w:pStyle w:val="ListParagraph"/>
        <w:numPr>
          <w:ilvl w:val="0"/>
          <w:numId w:val="11"/>
        </w:numPr>
        <w:rPr>
          <w:rFonts w:eastAsiaTheme="minorEastAsia"/>
        </w:rPr>
      </w:pPr>
      <w:bookmarkStart w:id="11" w:name="_Hlk161740331"/>
      <w:r w:rsidRPr="334CC2BC">
        <w:rPr>
          <w:rFonts w:eastAsiaTheme="minorEastAsia"/>
        </w:rPr>
        <w:lastRenderedPageBreak/>
        <w:t>Collecting and transferring information regarding the CCO’s current contracts. Including contract provider panel</w:t>
      </w:r>
      <w:r w:rsidR="00DB2613" w:rsidRPr="334CC2BC">
        <w:rPr>
          <w:rFonts w:eastAsiaTheme="minorEastAsia"/>
        </w:rPr>
        <w:t xml:space="preserve">, leases, service agreements, </w:t>
      </w:r>
      <w:r w:rsidRPr="334CC2BC">
        <w:rPr>
          <w:rFonts w:eastAsiaTheme="minorEastAsia"/>
        </w:rPr>
        <w:t>software</w:t>
      </w:r>
      <w:r w:rsidR="00DB2613" w:rsidRPr="334CC2BC">
        <w:rPr>
          <w:rFonts w:eastAsiaTheme="minorEastAsia"/>
        </w:rPr>
        <w:t xml:space="preserve"> licenses</w:t>
      </w:r>
      <w:r w:rsidRPr="334CC2BC">
        <w:rPr>
          <w:rFonts w:eastAsiaTheme="minorEastAsia"/>
        </w:rPr>
        <w:t xml:space="preserve"> </w:t>
      </w:r>
      <w:r w:rsidR="00DB2613" w:rsidRPr="334CC2BC">
        <w:rPr>
          <w:rFonts w:eastAsiaTheme="minorEastAsia"/>
        </w:rPr>
        <w:t>that the</w:t>
      </w:r>
      <w:r w:rsidRPr="334CC2BC">
        <w:rPr>
          <w:rFonts w:eastAsiaTheme="minorEastAsia"/>
        </w:rPr>
        <w:t xml:space="preserve"> CCO uses.</w:t>
      </w:r>
      <w:bookmarkEnd w:id="11"/>
    </w:p>
    <w:p w14:paraId="0BD81B22" w14:textId="564DB6D3" w:rsidR="006A390E" w:rsidRDefault="006A390E" w:rsidP="334CC2BC">
      <w:pPr>
        <w:pStyle w:val="ListParagraph"/>
        <w:numPr>
          <w:ilvl w:val="0"/>
          <w:numId w:val="11"/>
        </w:numPr>
        <w:rPr>
          <w:rFonts w:eastAsiaTheme="minorEastAsia"/>
        </w:rPr>
      </w:pPr>
      <w:r w:rsidRPr="334CC2BC">
        <w:rPr>
          <w:rFonts w:eastAsiaTheme="minorEastAsia"/>
        </w:rPr>
        <w:t>Ensuring Member records follow the Member to their new CCO or to OHA FFS and who will be responsible for ensuring such coordinated transfer (</w:t>
      </w:r>
      <w:proofErr w:type="gramStart"/>
      <w:r w:rsidRPr="334CC2BC">
        <w:rPr>
          <w:rFonts w:eastAsiaTheme="minorEastAsia"/>
        </w:rPr>
        <w:t>e.g.</w:t>
      </w:r>
      <w:proofErr w:type="gramEnd"/>
      <w:r w:rsidRPr="334CC2BC">
        <w:rPr>
          <w:rFonts w:eastAsiaTheme="minorEastAsia"/>
        </w:rPr>
        <w:t xml:space="preserve"> name or job title of the responsible individual along with their telephone number and email address; and</w:t>
      </w:r>
    </w:p>
    <w:p w14:paraId="6979A483" w14:textId="3459C1F8" w:rsidR="006A390E" w:rsidRPr="00D133BE" w:rsidRDefault="006A390E" w:rsidP="00D133BE">
      <w:pPr>
        <w:pStyle w:val="ListParagraph"/>
        <w:numPr>
          <w:ilvl w:val="0"/>
          <w:numId w:val="11"/>
        </w:numPr>
        <w:rPr>
          <w:rFonts w:eastAsiaTheme="minorEastAsia"/>
        </w:rPr>
      </w:pPr>
      <w:r w:rsidRPr="334CC2BC">
        <w:rPr>
          <w:rFonts w:eastAsiaTheme="minorEastAsia"/>
        </w:rPr>
        <w:t xml:space="preserve">Who will be responsible transferring any records to OHA relating to data that is required to be reported to OHA under the CCO </w:t>
      </w:r>
      <w:proofErr w:type="gramStart"/>
      <w:r w:rsidRPr="334CC2BC">
        <w:rPr>
          <w:rFonts w:eastAsiaTheme="minorEastAsia"/>
        </w:rPr>
        <w:t>contracts;</w:t>
      </w:r>
      <w:proofErr w:type="gramEnd"/>
    </w:p>
    <w:p w14:paraId="03DB471C" w14:textId="7F1179E9" w:rsidR="009B715B" w:rsidRDefault="00A45353" w:rsidP="00D056CE">
      <w:pPr>
        <w:pStyle w:val="Heading3"/>
        <w:numPr>
          <w:ilvl w:val="0"/>
          <w:numId w:val="17"/>
        </w:numPr>
        <w:rPr>
          <w:rFonts w:eastAsiaTheme="minorEastAsia"/>
        </w:rPr>
      </w:pPr>
      <w:bookmarkStart w:id="12" w:name="_Toc170137678"/>
      <w:r w:rsidRPr="334CC2BC">
        <w:rPr>
          <w:rFonts w:eastAsiaTheme="minorEastAsia"/>
        </w:rPr>
        <w:t>Records Retention –</w:t>
      </w:r>
      <w:bookmarkEnd w:id="12"/>
      <w:r w:rsidRPr="334CC2BC">
        <w:rPr>
          <w:rFonts w:eastAsiaTheme="minorEastAsia"/>
        </w:rPr>
        <w:t xml:space="preserve"> </w:t>
      </w:r>
    </w:p>
    <w:p w14:paraId="3C14D847" w14:textId="7EB1BE37" w:rsidR="00A45353" w:rsidRDefault="00A45353" w:rsidP="009B715B">
      <w:pPr>
        <w:pStyle w:val="ListParagraph"/>
        <w:ind w:left="810" w:firstLine="360"/>
        <w:rPr>
          <w:rFonts w:eastAsiaTheme="minorEastAsia"/>
        </w:rPr>
      </w:pPr>
      <w:r w:rsidRPr="334CC2BC">
        <w:rPr>
          <w:rFonts w:eastAsiaTheme="minorEastAsia"/>
        </w:rPr>
        <w:t>The Insolvency Plan must detail the CCO process to assure all records are not destroyed:</w:t>
      </w:r>
    </w:p>
    <w:p w14:paraId="12F800BD" w14:textId="20615D2B" w:rsidR="00A45353" w:rsidRDefault="00A45353" w:rsidP="334CC2BC">
      <w:pPr>
        <w:pStyle w:val="ListParagraph"/>
        <w:numPr>
          <w:ilvl w:val="1"/>
          <w:numId w:val="4"/>
        </w:numPr>
        <w:spacing w:after="120" w:line="240" w:lineRule="auto"/>
        <w:rPr>
          <w:rFonts w:eastAsiaTheme="minorEastAsia"/>
        </w:rPr>
      </w:pPr>
      <w:r w:rsidRPr="334CC2BC">
        <w:rPr>
          <w:rFonts w:eastAsiaTheme="minorEastAsia"/>
        </w:rPr>
        <w:t>What is the backup process for the CCO including frequency of back-up</w:t>
      </w:r>
      <w:r w:rsidR="245752D9" w:rsidRPr="334CC2BC">
        <w:rPr>
          <w:rFonts w:eastAsiaTheme="minorEastAsia"/>
        </w:rPr>
        <w:t>.</w:t>
      </w:r>
    </w:p>
    <w:p w14:paraId="173B5D7A" w14:textId="03450154" w:rsidR="00A45353" w:rsidRDefault="700AB6A2" w:rsidP="334CC2BC">
      <w:pPr>
        <w:pStyle w:val="ListParagraph"/>
        <w:numPr>
          <w:ilvl w:val="1"/>
          <w:numId w:val="4"/>
        </w:numPr>
        <w:spacing w:after="120" w:line="240" w:lineRule="auto"/>
        <w:rPr>
          <w:rFonts w:eastAsiaTheme="minorEastAsia"/>
        </w:rPr>
      </w:pPr>
      <w:r w:rsidRPr="334CC2BC">
        <w:rPr>
          <w:rFonts w:eastAsiaTheme="minorEastAsia"/>
        </w:rPr>
        <w:t xml:space="preserve">Whether records are </w:t>
      </w:r>
      <w:r w:rsidR="76A1CE26" w:rsidRPr="334CC2BC">
        <w:rPr>
          <w:rFonts w:eastAsiaTheme="minorEastAsia"/>
        </w:rPr>
        <w:t>kept with a third-party</w:t>
      </w:r>
      <w:r w:rsidR="00A45353" w:rsidRPr="334CC2BC">
        <w:rPr>
          <w:rFonts w:eastAsiaTheme="minorEastAsia"/>
        </w:rPr>
        <w:t xml:space="preserve"> </w:t>
      </w:r>
      <w:r w:rsidR="6BFFC95D" w:rsidRPr="334CC2BC">
        <w:rPr>
          <w:rFonts w:eastAsiaTheme="minorEastAsia"/>
        </w:rPr>
        <w:t xml:space="preserve">service or at an </w:t>
      </w:r>
      <w:proofErr w:type="gramStart"/>
      <w:r w:rsidR="6BFFC95D" w:rsidRPr="334CC2BC">
        <w:rPr>
          <w:rFonts w:eastAsiaTheme="minorEastAsia"/>
        </w:rPr>
        <w:t>on-premise</w:t>
      </w:r>
      <w:proofErr w:type="gramEnd"/>
      <w:r w:rsidR="6BFFC95D" w:rsidRPr="334CC2BC">
        <w:rPr>
          <w:rFonts w:eastAsiaTheme="minorEastAsia"/>
        </w:rPr>
        <w:t xml:space="preserve"> server. </w:t>
      </w:r>
    </w:p>
    <w:p w14:paraId="346C4107" w14:textId="3828C890" w:rsidR="00A45353" w:rsidRDefault="3081D0D4" w:rsidP="334CC2BC">
      <w:pPr>
        <w:pStyle w:val="ListParagraph"/>
        <w:numPr>
          <w:ilvl w:val="2"/>
          <w:numId w:val="4"/>
        </w:numPr>
        <w:spacing w:after="120" w:line="240" w:lineRule="auto"/>
        <w:rPr>
          <w:rFonts w:eastAsiaTheme="minorEastAsia"/>
        </w:rPr>
      </w:pPr>
      <w:r w:rsidRPr="334CC2BC">
        <w:rPr>
          <w:rFonts w:eastAsiaTheme="minorEastAsia"/>
        </w:rPr>
        <w:t xml:space="preserve">Who </w:t>
      </w:r>
      <w:r w:rsidR="00AB549D" w:rsidRPr="334CC2BC">
        <w:rPr>
          <w:rFonts w:eastAsiaTheme="minorEastAsia"/>
        </w:rPr>
        <w:t>h</w:t>
      </w:r>
      <w:r w:rsidRPr="334CC2BC">
        <w:rPr>
          <w:rFonts w:eastAsiaTheme="minorEastAsia"/>
        </w:rPr>
        <w:t xml:space="preserve">as administrative access to the system. </w:t>
      </w:r>
    </w:p>
    <w:p w14:paraId="2D434BC0" w14:textId="1E865677" w:rsidR="00A45353" w:rsidRDefault="3081D0D4" w:rsidP="334CC2BC">
      <w:pPr>
        <w:pStyle w:val="ListParagraph"/>
        <w:numPr>
          <w:ilvl w:val="2"/>
          <w:numId w:val="4"/>
        </w:numPr>
        <w:spacing w:after="120" w:line="240" w:lineRule="auto"/>
        <w:rPr>
          <w:rFonts w:eastAsiaTheme="minorEastAsia"/>
        </w:rPr>
      </w:pPr>
      <w:r w:rsidRPr="334CC2BC">
        <w:rPr>
          <w:rFonts w:eastAsiaTheme="minorEastAsia"/>
        </w:rPr>
        <w:t xml:space="preserve">If </w:t>
      </w:r>
      <w:proofErr w:type="gramStart"/>
      <w:r w:rsidRPr="334CC2BC">
        <w:rPr>
          <w:rFonts w:eastAsiaTheme="minorEastAsia"/>
        </w:rPr>
        <w:t>on-premise</w:t>
      </w:r>
      <w:proofErr w:type="gramEnd"/>
      <w:r w:rsidR="6BFFC95D" w:rsidRPr="334CC2BC">
        <w:rPr>
          <w:rFonts w:eastAsiaTheme="minorEastAsia"/>
        </w:rPr>
        <w:t xml:space="preserve"> </w:t>
      </w:r>
      <w:r w:rsidR="0E8B6D0C" w:rsidRPr="334CC2BC">
        <w:rPr>
          <w:rFonts w:eastAsiaTheme="minorEastAsia"/>
        </w:rPr>
        <w:t>where are the servers located and who has physical access</w:t>
      </w:r>
      <w:r w:rsidR="00A45353" w:rsidRPr="334CC2BC">
        <w:rPr>
          <w:rFonts w:eastAsiaTheme="minorEastAsia"/>
        </w:rPr>
        <w:t xml:space="preserve">      </w:t>
      </w:r>
      <w:r w:rsidR="09C12A62" w:rsidRPr="334CC2BC">
        <w:rPr>
          <w:rFonts w:eastAsiaTheme="minorEastAsia"/>
        </w:rPr>
        <w:t xml:space="preserve"> </w:t>
      </w:r>
    </w:p>
    <w:p w14:paraId="267410D7" w14:textId="3CD0295D" w:rsidR="009B715B" w:rsidRDefault="00857D03" w:rsidP="00D056CE">
      <w:pPr>
        <w:pStyle w:val="Heading3"/>
        <w:numPr>
          <w:ilvl w:val="0"/>
          <w:numId w:val="17"/>
        </w:numPr>
        <w:rPr>
          <w:rFonts w:eastAsiaTheme="minorEastAsia"/>
        </w:rPr>
      </w:pPr>
      <w:bookmarkStart w:id="13" w:name="_Toc170137679"/>
      <w:r w:rsidRPr="334CC2BC">
        <w:rPr>
          <w:rFonts w:eastAsiaTheme="minorEastAsia"/>
        </w:rPr>
        <w:t>Communication Plan</w:t>
      </w:r>
      <w:r w:rsidR="00D056CE">
        <w:rPr>
          <w:rFonts w:eastAsiaTheme="minorEastAsia"/>
        </w:rPr>
        <w:t xml:space="preserve"> </w:t>
      </w:r>
      <w:r w:rsidR="00D056CE" w:rsidRPr="334CC2BC">
        <w:rPr>
          <w:rFonts w:eastAsiaTheme="minorEastAsia"/>
        </w:rPr>
        <w:t>–</w:t>
      </w:r>
      <w:bookmarkEnd w:id="13"/>
    </w:p>
    <w:p w14:paraId="7A85529B" w14:textId="32DB69BC" w:rsidR="00857D03" w:rsidRPr="00B77251" w:rsidRDefault="00857D03" w:rsidP="009B715B">
      <w:pPr>
        <w:pStyle w:val="ListParagraph"/>
        <w:spacing w:after="120" w:line="240" w:lineRule="auto"/>
        <w:ind w:left="810" w:firstLine="360"/>
        <w:rPr>
          <w:rFonts w:eastAsiaTheme="minorEastAsia"/>
        </w:rPr>
      </w:pPr>
      <w:r w:rsidRPr="334CC2BC">
        <w:rPr>
          <w:rFonts w:eastAsiaTheme="minorEastAsia"/>
        </w:rPr>
        <w:t>The communication plan must identify who needs to be informed of what, when, and how. Following receivership of a CCO the following communication must be sent out that will ac</w:t>
      </w:r>
      <w:r w:rsidRPr="00B77251">
        <w:rPr>
          <w:rFonts w:eastAsiaTheme="minorEastAsia"/>
        </w:rPr>
        <w:t>hieve:</w:t>
      </w:r>
    </w:p>
    <w:p w14:paraId="67BF058F" w14:textId="3E5981A7" w:rsidR="00857D03" w:rsidRPr="00B77251" w:rsidRDefault="00857D03" w:rsidP="009B715B">
      <w:pPr>
        <w:pStyle w:val="ListParagraph"/>
        <w:numPr>
          <w:ilvl w:val="0"/>
          <w:numId w:val="15"/>
        </w:numPr>
        <w:spacing w:after="120" w:line="240" w:lineRule="auto"/>
        <w:rPr>
          <w:rFonts w:eastAsiaTheme="minorEastAsia"/>
        </w:rPr>
      </w:pPr>
      <w:r w:rsidRPr="00B77251">
        <w:rPr>
          <w:rFonts w:eastAsiaTheme="minorEastAsia"/>
          <w:u w:val="single"/>
        </w:rPr>
        <w:t>Members</w:t>
      </w:r>
      <w:r w:rsidRPr="00B77251">
        <w:rPr>
          <w:rFonts w:eastAsiaTheme="minorEastAsia"/>
        </w:rPr>
        <w:t xml:space="preserve"> must be provided with ample written notice of the circumstances and the CCO’s plan to transition each Member to a new CCO or OHA FFS Members.  The written notice must also identify (</w:t>
      </w:r>
      <w:proofErr w:type="spellStart"/>
      <w:r w:rsidRPr="00B77251">
        <w:rPr>
          <w:rFonts w:eastAsiaTheme="minorEastAsia"/>
        </w:rPr>
        <w:t>i</w:t>
      </w:r>
      <w:proofErr w:type="spellEnd"/>
      <w:r w:rsidRPr="00B77251">
        <w:rPr>
          <w:rFonts w:eastAsiaTheme="minorEastAsia"/>
        </w:rPr>
        <w:t xml:space="preserve">) the names and/or titles of the individuals who can answer questions about the situation and the transition plan as well as their contact information which shall include their phone numbers, email addresses, and hours of availability;  (ii) any of the URLs of websites that include FAQs, identify helplines, and any other information that will assist </w:t>
      </w:r>
      <w:r w:rsidR="00DA46E9" w:rsidRPr="00B77251">
        <w:rPr>
          <w:rFonts w:eastAsiaTheme="minorEastAsia"/>
        </w:rPr>
        <w:t xml:space="preserve">                                                                                                                                                                                                                  </w:t>
      </w:r>
      <w:r w:rsidRPr="00B77251">
        <w:rPr>
          <w:rFonts w:eastAsiaTheme="minorEastAsia"/>
        </w:rPr>
        <w:t>Members in having their concerns and questions addressed promptly; (iii) where Member clinical and other relevant records will be sent; (iv) how, where and when Members may access/receive copies of their clinical and other relevant records; (v) the status of then-scheduled appointments and/or procedures, and (iv) how Members can access care if needed prior to OHA sending notice of updated enrollment information.</w:t>
      </w:r>
    </w:p>
    <w:p w14:paraId="77F24726" w14:textId="51340A18" w:rsidR="00B3484F" w:rsidRPr="00B77251" w:rsidRDefault="00857D03" w:rsidP="00B77251">
      <w:pPr>
        <w:pStyle w:val="ListParagraph"/>
        <w:numPr>
          <w:ilvl w:val="0"/>
          <w:numId w:val="15"/>
        </w:numPr>
        <w:spacing w:after="120" w:line="240" w:lineRule="auto"/>
        <w:rPr>
          <w:rFonts w:eastAsiaTheme="minorEastAsia"/>
        </w:rPr>
      </w:pPr>
      <w:r w:rsidRPr="00B77251">
        <w:rPr>
          <w:rFonts w:eastAsiaTheme="minorEastAsia"/>
          <w:u w:val="single"/>
        </w:rPr>
        <w:t>Providers and Subcontractors</w:t>
      </w:r>
      <w:r w:rsidRPr="00B77251">
        <w:rPr>
          <w:rFonts w:eastAsiaTheme="minorEastAsia"/>
        </w:rPr>
        <w:t xml:space="preserve"> must be provided with ample written notice of the CCO’s circumstances and the CCO’s plan. The written notice must also advise Providers and Subcontractors of the following information: (</w:t>
      </w:r>
      <w:proofErr w:type="spellStart"/>
      <w:r w:rsidRPr="00B77251">
        <w:rPr>
          <w:rFonts w:eastAsiaTheme="minorEastAsia"/>
        </w:rPr>
        <w:t>i</w:t>
      </w:r>
      <w:proofErr w:type="spellEnd"/>
      <w:r w:rsidRPr="00B77251">
        <w:rPr>
          <w:rFonts w:eastAsiaTheme="minorEastAsia"/>
        </w:rPr>
        <w:t xml:space="preserve">) the names and/or titles and contact information of the individuals who can answer questions about the situation and the CCO’s transition plan.  Contact information must include phone numbers, email addresses, and hours of availability; (ii) any of the URLs of websites that include FAQs, identify helplines, and any other information that will assist Providers in having their concerns and questions addressed promptly; (iii) the CCO’s expectation for continued performance in providing services to Members who at the time of notice have appointments, assessments, evaluations, and procedures scheduled with a Network Provider and/or Subcontractors; and (iv) if known, anticipated timeline for the CCO winding down operations, inclusive of settling all claims and payment of fees. If the </w:t>
      </w:r>
      <w:r w:rsidRPr="00B77251">
        <w:rPr>
          <w:rFonts w:eastAsiaTheme="minorEastAsia"/>
        </w:rPr>
        <w:lastRenderedPageBreak/>
        <w:t xml:space="preserve">foregoing information is not known, then the timeframe in which the CCO will send a follow up communication about next steps; and (iv) any other information Providers and Subcontractors may need to know </w:t>
      </w:r>
      <w:proofErr w:type="gramStart"/>
      <w:r w:rsidRPr="00B77251">
        <w:rPr>
          <w:rFonts w:eastAsiaTheme="minorEastAsia"/>
        </w:rPr>
        <w:t>in order to</w:t>
      </w:r>
      <w:proofErr w:type="gramEnd"/>
      <w:r w:rsidRPr="00B77251">
        <w:rPr>
          <w:rFonts w:eastAsiaTheme="minorEastAsia"/>
        </w:rPr>
        <w:t xml:space="preserve"> fulfill their obligations to CCO’s Members.  </w:t>
      </w:r>
    </w:p>
    <w:p w14:paraId="26452587" w14:textId="5BF13830" w:rsidR="00857D03" w:rsidRPr="00B77251" w:rsidRDefault="00B3484F" w:rsidP="00B77251">
      <w:pPr>
        <w:pStyle w:val="ListParagraph"/>
        <w:numPr>
          <w:ilvl w:val="0"/>
          <w:numId w:val="15"/>
        </w:numPr>
        <w:spacing w:after="120" w:line="240" w:lineRule="auto"/>
        <w:rPr>
          <w:rFonts w:eastAsiaTheme="minorEastAsia"/>
        </w:rPr>
      </w:pPr>
      <w:r w:rsidRPr="00B77251">
        <w:rPr>
          <w:rFonts w:eastAsiaTheme="minorEastAsia"/>
          <w:u w:val="single"/>
        </w:rPr>
        <w:t>Staff</w:t>
      </w:r>
      <w:r w:rsidRPr="00B77251">
        <w:rPr>
          <w:rFonts w:eastAsiaTheme="minorEastAsia"/>
        </w:rPr>
        <w:t xml:space="preserve"> must be contacted regarding the insolvency and the cease all record destruction.</w:t>
      </w:r>
      <w:r w:rsidR="00B77251">
        <w:rPr>
          <w:rFonts w:eastAsiaTheme="minorEastAsia"/>
        </w:rPr>
        <w:br/>
      </w:r>
    </w:p>
    <w:p w14:paraId="3403E3D2" w14:textId="04AC7EF7" w:rsidR="00857D03" w:rsidRDefault="00857D03" w:rsidP="334CC2BC">
      <w:pPr>
        <w:pStyle w:val="ListParagraph"/>
        <w:spacing w:after="0" w:line="240" w:lineRule="auto"/>
        <w:rPr>
          <w:rFonts w:eastAsiaTheme="minorEastAsia"/>
        </w:rPr>
      </w:pPr>
      <w:r w:rsidRPr="334CC2BC">
        <w:rPr>
          <w:rFonts w:eastAsiaTheme="minorEastAsia"/>
        </w:rPr>
        <w:t xml:space="preserve">To achieve these requirements the Insolvency Plan should explain how the CCO’s systems can be used to achieve these requirements. </w:t>
      </w:r>
    </w:p>
    <w:p w14:paraId="18884A02" w14:textId="5767EF73" w:rsidR="00486A9E" w:rsidRPr="00486A9E" w:rsidRDefault="6D58C612" w:rsidP="00486A9E">
      <w:pPr>
        <w:pStyle w:val="ListParagraph"/>
        <w:numPr>
          <w:ilvl w:val="2"/>
          <w:numId w:val="1"/>
        </w:numPr>
        <w:spacing w:after="0" w:line="240" w:lineRule="auto"/>
        <w:rPr>
          <w:rFonts w:eastAsiaTheme="minorEastAsia"/>
        </w:rPr>
      </w:pPr>
      <w:r w:rsidRPr="00486A9E">
        <w:rPr>
          <w:rFonts w:eastAsiaTheme="minorEastAsia"/>
        </w:rPr>
        <w:t xml:space="preserve"> </w:t>
      </w:r>
      <w:bookmarkStart w:id="14" w:name="_Hlk170822683"/>
      <w:r w:rsidR="00486A9E" w:rsidRPr="00486A9E">
        <w:rPr>
          <w:rFonts w:eastAsiaTheme="minorEastAsia"/>
        </w:rPr>
        <w:t xml:space="preserve">How to access the CCO’s information regarding the best way to contact members, </w:t>
      </w:r>
      <w:proofErr w:type="gramStart"/>
      <w:r w:rsidR="00486A9E" w:rsidRPr="00486A9E">
        <w:rPr>
          <w:rFonts w:eastAsiaTheme="minorEastAsia"/>
        </w:rPr>
        <w:t>providers</w:t>
      </w:r>
      <w:proofErr w:type="gramEnd"/>
      <w:r w:rsidR="00486A9E" w:rsidRPr="00486A9E">
        <w:rPr>
          <w:rFonts w:eastAsiaTheme="minorEastAsia"/>
        </w:rPr>
        <w:t xml:space="preserve"> and subcontractors.  </w:t>
      </w:r>
    </w:p>
    <w:p w14:paraId="3F8BFBC1" w14:textId="77777777" w:rsidR="00486A9E" w:rsidRPr="00486A9E" w:rsidRDefault="00486A9E" w:rsidP="00486A9E">
      <w:pPr>
        <w:pStyle w:val="ListParagraph"/>
        <w:numPr>
          <w:ilvl w:val="2"/>
          <w:numId w:val="1"/>
        </w:numPr>
        <w:spacing w:after="0" w:line="240" w:lineRule="auto"/>
        <w:rPr>
          <w:rFonts w:eastAsiaTheme="minorEastAsia"/>
        </w:rPr>
      </w:pPr>
      <w:r w:rsidRPr="00486A9E">
        <w:rPr>
          <w:rFonts w:eastAsiaTheme="minorEastAsia"/>
        </w:rPr>
        <w:t xml:space="preserve">How to access the systems regarding preferred communication channels to send written notice.  </w:t>
      </w:r>
    </w:p>
    <w:p w14:paraId="7845EA76" w14:textId="77777777" w:rsidR="00486A9E" w:rsidRPr="00486A9E" w:rsidRDefault="00486A9E" w:rsidP="00486A9E">
      <w:pPr>
        <w:pStyle w:val="ListParagraph"/>
        <w:numPr>
          <w:ilvl w:val="2"/>
          <w:numId w:val="1"/>
        </w:numPr>
        <w:spacing w:after="0" w:line="240" w:lineRule="auto"/>
        <w:rPr>
          <w:rFonts w:eastAsiaTheme="minorEastAsia"/>
        </w:rPr>
      </w:pPr>
      <w:r w:rsidRPr="00486A9E">
        <w:rPr>
          <w:rFonts w:eastAsiaTheme="minorEastAsia"/>
        </w:rPr>
        <w:t xml:space="preserve">What position(s) would be responsible for responding to member, provider, and subcontractor questions.  </w:t>
      </w:r>
    </w:p>
    <w:p w14:paraId="2D40986B" w14:textId="77777777" w:rsidR="00486A9E" w:rsidRPr="00486A9E" w:rsidRDefault="00486A9E" w:rsidP="00486A9E">
      <w:pPr>
        <w:pStyle w:val="ListParagraph"/>
        <w:numPr>
          <w:ilvl w:val="2"/>
          <w:numId w:val="1"/>
        </w:numPr>
        <w:spacing w:after="0" w:line="240" w:lineRule="auto"/>
        <w:rPr>
          <w:rFonts w:eastAsiaTheme="minorEastAsia"/>
        </w:rPr>
      </w:pPr>
      <w:r w:rsidRPr="00486A9E">
        <w:rPr>
          <w:rFonts w:eastAsiaTheme="minorEastAsia"/>
        </w:rPr>
        <w:t>How to get access to key URLs, logins, and accounts.</w:t>
      </w:r>
    </w:p>
    <w:p w14:paraId="22241BE9" w14:textId="77777777" w:rsidR="00486A9E" w:rsidRPr="00486A9E" w:rsidRDefault="00486A9E" w:rsidP="00486A9E">
      <w:pPr>
        <w:pStyle w:val="ListParagraph"/>
        <w:numPr>
          <w:ilvl w:val="2"/>
          <w:numId w:val="1"/>
        </w:numPr>
        <w:spacing w:after="0" w:line="240" w:lineRule="auto"/>
        <w:rPr>
          <w:rFonts w:eastAsiaTheme="minorEastAsia"/>
        </w:rPr>
      </w:pPr>
      <w:r w:rsidRPr="00486A9E">
        <w:rPr>
          <w:rFonts w:eastAsiaTheme="minorEastAsia"/>
        </w:rPr>
        <w:t>How to send a company-wide communication.</w:t>
      </w:r>
    </w:p>
    <w:bookmarkEnd w:id="14"/>
    <w:p w14:paraId="1A6B4BE6" w14:textId="77777777" w:rsidR="00857D03" w:rsidRDefault="00857D03" w:rsidP="334CC2BC">
      <w:pPr>
        <w:pStyle w:val="ListParagraph"/>
        <w:spacing w:after="0" w:line="240" w:lineRule="auto"/>
        <w:rPr>
          <w:rFonts w:eastAsiaTheme="minorEastAsia"/>
        </w:rPr>
      </w:pPr>
    </w:p>
    <w:p w14:paraId="62BD2AE0" w14:textId="57D6EDA9" w:rsidR="00612BDD" w:rsidRDefault="00BC6266" w:rsidP="00D056CE">
      <w:pPr>
        <w:pStyle w:val="Heading3"/>
        <w:numPr>
          <w:ilvl w:val="0"/>
          <w:numId w:val="17"/>
        </w:numPr>
        <w:rPr>
          <w:rFonts w:eastAsiaTheme="minorEastAsia"/>
        </w:rPr>
      </w:pPr>
      <w:bookmarkStart w:id="15" w:name="_Toc170137680"/>
      <w:r w:rsidRPr="334CC2BC">
        <w:rPr>
          <w:rFonts w:eastAsiaTheme="minorEastAsia"/>
        </w:rPr>
        <w:t xml:space="preserve">Insolvency of </w:t>
      </w:r>
      <w:r w:rsidR="00FB657A" w:rsidRPr="334CC2BC">
        <w:rPr>
          <w:rFonts w:eastAsiaTheme="minorEastAsia"/>
        </w:rPr>
        <w:t>Major Risk Accepting Entities</w:t>
      </w:r>
      <w:r w:rsidR="0000795C" w:rsidRPr="334CC2BC">
        <w:rPr>
          <w:rFonts w:eastAsiaTheme="minorEastAsia"/>
        </w:rPr>
        <w:t xml:space="preserve"> </w:t>
      </w:r>
      <w:r w:rsidR="00FB657A" w:rsidRPr="334CC2BC">
        <w:rPr>
          <w:rFonts w:eastAsiaTheme="minorEastAsia"/>
        </w:rPr>
        <w:t>–</w:t>
      </w:r>
      <w:bookmarkEnd w:id="15"/>
      <w:r w:rsidR="00FB657A" w:rsidRPr="334CC2BC">
        <w:rPr>
          <w:rFonts w:eastAsiaTheme="minorEastAsia"/>
        </w:rPr>
        <w:t xml:space="preserve"> </w:t>
      </w:r>
    </w:p>
    <w:p w14:paraId="1985EC90" w14:textId="3FBA2228" w:rsidR="000A469D" w:rsidRPr="00612BDD" w:rsidRDefault="00FB657A" w:rsidP="00B77251">
      <w:pPr>
        <w:pStyle w:val="Heading3"/>
        <w:ind w:left="720" w:firstLine="720"/>
        <w:rPr>
          <w:rFonts w:asciiTheme="minorHAnsi" w:eastAsiaTheme="minorEastAsia" w:hAnsiTheme="minorHAnsi" w:cstheme="minorHAnsi"/>
          <w:color w:val="auto"/>
          <w:sz w:val="22"/>
          <w:szCs w:val="22"/>
        </w:rPr>
      </w:pPr>
      <w:bookmarkStart w:id="16" w:name="_Toc170137681"/>
      <w:r w:rsidRPr="00612BDD">
        <w:rPr>
          <w:rFonts w:asciiTheme="minorHAnsi" w:eastAsiaTheme="minorEastAsia" w:hAnsiTheme="minorHAnsi" w:cstheme="minorHAnsi"/>
          <w:color w:val="auto"/>
          <w:sz w:val="22"/>
          <w:szCs w:val="22"/>
        </w:rPr>
        <w:t>The CCO’s Insolvency Plan must include</w:t>
      </w:r>
      <w:r w:rsidR="00BC6266" w:rsidRPr="00612BDD">
        <w:rPr>
          <w:rFonts w:asciiTheme="minorHAnsi" w:eastAsiaTheme="minorEastAsia" w:hAnsiTheme="minorHAnsi" w:cstheme="minorHAnsi"/>
          <w:color w:val="auto"/>
          <w:sz w:val="22"/>
          <w:szCs w:val="22"/>
        </w:rPr>
        <w:t xml:space="preserve"> policies and</w:t>
      </w:r>
      <w:r w:rsidRPr="00612BDD">
        <w:rPr>
          <w:rFonts w:asciiTheme="minorHAnsi" w:eastAsiaTheme="minorEastAsia" w:hAnsiTheme="minorHAnsi" w:cstheme="minorHAnsi"/>
          <w:color w:val="auto"/>
          <w:sz w:val="22"/>
          <w:szCs w:val="22"/>
        </w:rPr>
        <w:t xml:space="preserve"> procedures in the event of</w:t>
      </w:r>
      <w:r w:rsidR="00BC6266" w:rsidRPr="00612BDD">
        <w:rPr>
          <w:rFonts w:asciiTheme="minorHAnsi" w:eastAsiaTheme="minorEastAsia" w:hAnsiTheme="minorHAnsi" w:cstheme="minorHAnsi"/>
          <w:color w:val="auto"/>
          <w:sz w:val="22"/>
          <w:szCs w:val="22"/>
        </w:rPr>
        <w:t xml:space="preserve"> one or more of</w:t>
      </w:r>
      <w:r w:rsidRPr="00612BDD">
        <w:rPr>
          <w:rFonts w:asciiTheme="minorHAnsi" w:eastAsiaTheme="minorEastAsia" w:hAnsiTheme="minorHAnsi" w:cstheme="minorHAnsi"/>
          <w:color w:val="auto"/>
          <w:sz w:val="22"/>
          <w:szCs w:val="22"/>
        </w:rPr>
        <w:t xml:space="preserve"> their major Risk-Accepting Entities </w:t>
      </w:r>
      <w:r w:rsidR="00407F8E" w:rsidRPr="00612BDD">
        <w:rPr>
          <w:rFonts w:asciiTheme="minorHAnsi" w:eastAsiaTheme="minorEastAsia" w:hAnsiTheme="minorHAnsi" w:cstheme="minorHAnsi"/>
          <w:color w:val="auto"/>
          <w:sz w:val="22"/>
          <w:szCs w:val="22"/>
        </w:rPr>
        <w:t xml:space="preserve">becomes </w:t>
      </w:r>
      <w:r w:rsidRPr="00612BDD">
        <w:rPr>
          <w:rFonts w:asciiTheme="minorHAnsi" w:eastAsiaTheme="minorEastAsia" w:hAnsiTheme="minorHAnsi" w:cstheme="minorHAnsi"/>
          <w:color w:val="auto"/>
          <w:sz w:val="22"/>
          <w:szCs w:val="22"/>
        </w:rPr>
        <w:t>insolvent</w:t>
      </w:r>
      <w:r w:rsidR="00407682" w:rsidRPr="00612BDD">
        <w:rPr>
          <w:rFonts w:asciiTheme="minorHAnsi" w:eastAsiaTheme="minorEastAsia" w:hAnsiTheme="minorHAnsi" w:cstheme="minorHAnsi"/>
          <w:color w:val="auto"/>
          <w:sz w:val="22"/>
          <w:szCs w:val="22"/>
        </w:rPr>
        <w:t>.</w:t>
      </w:r>
      <w:r w:rsidRPr="00612BDD">
        <w:rPr>
          <w:rFonts w:asciiTheme="minorHAnsi" w:eastAsiaTheme="minorEastAsia" w:hAnsiTheme="minorHAnsi" w:cstheme="minorHAnsi"/>
          <w:color w:val="auto"/>
          <w:sz w:val="22"/>
          <w:szCs w:val="22"/>
        </w:rPr>
        <w:t xml:space="preserve"> </w:t>
      </w:r>
      <w:r w:rsidR="1E8D3B89" w:rsidRPr="00612BDD">
        <w:rPr>
          <w:rFonts w:asciiTheme="minorHAnsi" w:eastAsiaTheme="minorEastAsia" w:hAnsiTheme="minorHAnsi" w:cstheme="minorHAnsi"/>
          <w:color w:val="auto"/>
          <w:sz w:val="22"/>
          <w:szCs w:val="22"/>
        </w:rPr>
        <w:t>The CCO should indicate if the Insolvency plan would be identical due to the nature of the contractual arrange</w:t>
      </w:r>
      <w:r w:rsidR="6881890F" w:rsidRPr="00612BDD">
        <w:rPr>
          <w:rFonts w:asciiTheme="minorHAnsi" w:eastAsiaTheme="minorEastAsia" w:hAnsiTheme="minorHAnsi" w:cstheme="minorHAnsi"/>
          <w:color w:val="auto"/>
          <w:sz w:val="22"/>
          <w:szCs w:val="22"/>
        </w:rPr>
        <w:t>ment.</w:t>
      </w:r>
      <w:bookmarkEnd w:id="16"/>
    </w:p>
    <w:p w14:paraId="288D4258" w14:textId="4AC4D9CB" w:rsidR="00B77251" w:rsidRDefault="000A469D" w:rsidP="00D056CE">
      <w:pPr>
        <w:pStyle w:val="Heading3"/>
        <w:numPr>
          <w:ilvl w:val="0"/>
          <w:numId w:val="17"/>
        </w:numPr>
        <w:rPr>
          <w:rFonts w:eastAsiaTheme="minorEastAsia"/>
        </w:rPr>
      </w:pPr>
      <w:bookmarkStart w:id="17" w:name="_Toc170137682"/>
      <w:r w:rsidRPr="334CC2BC">
        <w:rPr>
          <w:rFonts w:eastAsiaTheme="minorEastAsia"/>
        </w:rPr>
        <w:t>Optional</w:t>
      </w:r>
      <w:r w:rsidR="00486A9E">
        <w:rPr>
          <w:rFonts w:eastAsiaTheme="minorEastAsia"/>
        </w:rPr>
        <w:t xml:space="preserve"> Template</w:t>
      </w:r>
      <w:r w:rsidRPr="334CC2BC">
        <w:rPr>
          <w:rFonts w:eastAsiaTheme="minorEastAsia"/>
        </w:rPr>
        <w:t xml:space="preserve"> –</w:t>
      </w:r>
      <w:bookmarkEnd w:id="17"/>
      <w:r w:rsidRPr="334CC2BC">
        <w:rPr>
          <w:rFonts w:eastAsiaTheme="minorEastAsia"/>
        </w:rPr>
        <w:t xml:space="preserve"> </w:t>
      </w:r>
    </w:p>
    <w:p w14:paraId="3149B0C2" w14:textId="00967EDB" w:rsidR="000A469D" w:rsidRPr="00B77251" w:rsidRDefault="000A469D" w:rsidP="00B77251">
      <w:pPr>
        <w:pStyle w:val="Heading3"/>
        <w:ind w:left="720" w:firstLine="720"/>
        <w:rPr>
          <w:rFonts w:asciiTheme="minorHAnsi" w:eastAsiaTheme="minorEastAsia" w:hAnsiTheme="minorHAnsi" w:cstheme="minorHAnsi"/>
          <w:color w:val="auto"/>
          <w:sz w:val="22"/>
          <w:szCs w:val="22"/>
        </w:rPr>
      </w:pPr>
      <w:bookmarkStart w:id="18" w:name="_Toc170137683"/>
      <w:r w:rsidRPr="00B77251">
        <w:rPr>
          <w:rFonts w:asciiTheme="minorHAnsi" w:eastAsiaTheme="minorEastAsia" w:hAnsiTheme="minorHAnsi" w:cstheme="minorHAnsi"/>
          <w:color w:val="auto"/>
          <w:sz w:val="22"/>
          <w:szCs w:val="22"/>
        </w:rPr>
        <w:t xml:space="preserve">An optional template has been provided to the CCOs to provide this information in a simple and easy to write format. CCOs can choose to use the template as a guide or use a different format </w:t>
      </w:r>
      <w:proofErr w:type="gramStart"/>
      <w:r w:rsidRPr="00B77251">
        <w:rPr>
          <w:rFonts w:asciiTheme="minorHAnsi" w:eastAsiaTheme="minorEastAsia" w:hAnsiTheme="minorHAnsi" w:cstheme="minorHAnsi"/>
          <w:color w:val="auto"/>
          <w:sz w:val="22"/>
          <w:szCs w:val="22"/>
        </w:rPr>
        <w:t>as long as</w:t>
      </w:r>
      <w:proofErr w:type="gramEnd"/>
      <w:r w:rsidRPr="00B77251">
        <w:rPr>
          <w:rFonts w:asciiTheme="minorHAnsi" w:eastAsiaTheme="minorEastAsia" w:hAnsiTheme="minorHAnsi" w:cstheme="minorHAnsi"/>
          <w:color w:val="auto"/>
          <w:sz w:val="22"/>
          <w:szCs w:val="22"/>
        </w:rPr>
        <w:t xml:space="preserve"> it provides the information in an easily useable format.</w:t>
      </w:r>
      <w:bookmarkEnd w:id="18"/>
    </w:p>
    <w:p w14:paraId="3DE28065" w14:textId="77777777" w:rsidR="000A469D" w:rsidRPr="00FB657A" w:rsidRDefault="000A469D" w:rsidP="334CC2BC">
      <w:pPr>
        <w:pStyle w:val="ListParagraph"/>
        <w:spacing w:after="0" w:line="240" w:lineRule="auto"/>
        <w:rPr>
          <w:rFonts w:eastAsiaTheme="minorEastAsia"/>
        </w:rPr>
      </w:pPr>
    </w:p>
    <w:p w14:paraId="414A7221" w14:textId="77777777" w:rsidR="006A390E" w:rsidRDefault="006A390E" w:rsidP="334CC2BC">
      <w:pPr>
        <w:pStyle w:val="ListParagraph"/>
        <w:rPr>
          <w:rFonts w:eastAsiaTheme="minorEastAsia"/>
        </w:rPr>
      </w:pPr>
    </w:p>
    <w:p w14:paraId="70E866F3" w14:textId="732DD2EC" w:rsidR="00BC6266" w:rsidRDefault="00BC6266" w:rsidP="008F0863">
      <w:pPr>
        <w:pStyle w:val="Heading1"/>
      </w:pPr>
      <w:bookmarkStart w:id="19" w:name="_Toc170137684"/>
      <w:r>
        <w:t>OHA OVERSIGHT</w:t>
      </w:r>
      <w:bookmarkEnd w:id="19"/>
    </w:p>
    <w:p w14:paraId="50126B1E" w14:textId="7CBDD778" w:rsidR="006A390E" w:rsidRPr="00DD765E" w:rsidRDefault="00755C8C" w:rsidP="00DD765E">
      <w:pPr>
        <w:pStyle w:val="ListParagraph"/>
        <w:numPr>
          <w:ilvl w:val="1"/>
          <w:numId w:val="3"/>
        </w:numPr>
        <w:rPr>
          <w:rFonts w:eastAsiaTheme="minorEastAsia"/>
        </w:rPr>
      </w:pPr>
      <w:r w:rsidRPr="00DD765E">
        <w:rPr>
          <w:rFonts w:eastAsiaTheme="minorEastAsia"/>
        </w:rPr>
        <w:t xml:space="preserve">The Insolvency Plan </w:t>
      </w:r>
      <w:r w:rsidR="00407F8E" w:rsidRPr="00DD765E">
        <w:rPr>
          <w:rFonts w:eastAsiaTheme="minorEastAsia"/>
        </w:rPr>
        <w:t xml:space="preserve">must </w:t>
      </w:r>
      <w:r w:rsidRPr="00DD765E">
        <w:rPr>
          <w:rFonts w:eastAsiaTheme="minorEastAsia"/>
        </w:rPr>
        <w:t>be submitted to OHA</w:t>
      </w:r>
      <w:r w:rsidR="00BC6266" w:rsidRPr="00DD765E">
        <w:rPr>
          <w:rFonts w:eastAsiaTheme="minorEastAsia"/>
        </w:rPr>
        <w:t xml:space="preserve"> by no later than August 31 of every Contract Year</w:t>
      </w:r>
      <w:r w:rsidR="00F757F3" w:rsidRPr="00DD765E">
        <w:rPr>
          <w:rFonts w:eastAsiaTheme="minorEastAsia"/>
        </w:rPr>
        <w:t>, upon a CCO’s material change to its Plan, or within five Business Days of request by OHA</w:t>
      </w:r>
      <w:r w:rsidR="004C4E94" w:rsidRPr="00DD765E">
        <w:rPr>
          <w:rFonts w:eastAsiaTheme="minorEastAsia"/>
        </w:rPr>
        <w:t>.</w:t>
      </w:r>
      <w:r w:rsidR="00BC6266" w:rsidRPr="00DD765E">
        <w:rPr>
          <w:rFonts w:eastAsiaTheme="minorEastAsia"/>
        </w:rPr>
        <w:t xml:space="preserve"> Any updates to the Plan must be submitted in redlined format showing the changes that have been made since the CCO last submitted its Plan to OHA for review and approval.</w:t>
      </w:r>
      <w:r w:rsidR="00F757F3" w:rsidRPr="00DD765E">
        <w:rPr>
          <w:rFonts w:eastAsiaTheme="minorEastAsia"/>
        </w:rPr>
        <w:t xml:space="preserve">  In the event a CCO has not updated its Insolvency Plan since it was last submitted for review, the CCO may submit an attestation so stating in accordance with Ex. L, Sec. 1, Para. d, Sub. Para. (2)</w:t>
      </w:r>
    </w:p>
    <w:p w14:paraId="5EBA5229" w14:textId="77777777" w:rsidR="00BC6266" w:rsidRPr="00BC6266" w:rsidRDefault="00BC6266" w:rsidP="334CC2BC">
      <w:pPr>
        <w:pStyle w:val="ListParagraph"/>
        <w:ind w:left="810"/>
        <w:rPr>
          <w:rFonts w:eastAsiaTheme="minorEastAsia"/>
        </w:rPr>
      </w:pPr>
    </w:p>
    <w:p w14:paraId="79C03612" w14:textId="789B9593" w:rsidR="00755C8C" w:rsidRPr="00DD765E" w:rsidRDefault="00755C8C" w:rsidP="00DD765E">
      <w:pPr>
        <w:pStyle w:val="ListParagraph"/>
        <w:numPr>
          <w:ilvl w:val="1"/>
          <w:numId w:val="3"/>
        </w:numPr>
        <w:rPr>
          <w:rFonts w:eastAsiaTheme="minorEastAsia"/>
        </w:rPr>
      </w:pPr>
      <w:r w:rsidRPr="00DD765E">
        <w:rPr>
          <w:rFonts w:eastAsiaTheme="minorEastAsia"/>
        </w:rPr>
        <w:t>OHA will review the Insolvency Plan</w:t>
      </w:r>
      <w:r w:rsidR="00BC6266" w:rsidRPr="00DD765E">
        <w:rPr>
          <w:rFonts w:eastAsiaTheme="minorEastAsia"/>
        </w:rPr>
        <w:t xml:space="preserve"> to ensure it is comprehensive and meets the requirements of this Policy, the Contract, and the appliable Oregon Administrative Rules. </w:t>
      </w:r>
      <w:r w:rsidRPr="00DD765E">
        <w:rPr>
          <w:rFonts w:eastAsiaTheme="minorEastAsia"/>
        </w:rPr>
        <w:t xml:space="preserve"> </w:t>
      </w:r>
      <w:r w:rsidR="00FA0D72" w:rsidRPr="00DD765E">
        <w:rPr>
          <w:rFonts w:eastAsiaTheme="minorEastAsia"/>
        </w:rPr>
        <w:t xml:space="preserve">OHA will </w:t>
      </w:r>
      <w:r w:rsidR="00066138" w:rsidRPr="00DD765E">
        <w:rPr>
          <w:rFonts w:eastAsiaTheme="minorEastAsia"/>
        </w:rPr>
        <w:t xml:space="preserve">review </w:t>
      </w:r>
      <w:r w:rsidR="00FA0D72" w:rsidRPr="00DD765E">
        <w:rPr>
          <w:rFonts w:eastAsiaTheme="minorEastAsia"/>
        </w:rPr>
        <w:t>the plans within 30 days</w:t>
      </w:r>
      <w:r w:rsidR="00066138" w:rsidRPr="00DD765E">
        <w:rPr>
          <w:rFonts w:eastAsiaTheme="minorEastAsia"/>
        </w:rPr>
        <w:t xml:space="preserve"> to determine if the document meets the requirement of this Guidance Document</w:t>
      </w:r>
      <w:r w:rsidR="00FA0D72" w:rsidRPr="00DD765E">
        <w:rPr>
          <w:rFonts w:eastAsiaTheme="minorEastAsia"/>
        </w:rPr>
        <w:t>.</w:t>
      </w:r>
    </w:p>
    <w:p w14:paraId="51A48C31" w14:textId="77777777" w:rsidR="006A390E" w:rsidRDefault="006A390E" w:rsidP="334CC2BC">
      <w:pPr>
        <w:pStyle w:val="ListParagraph"/>
        <w:rPr>
          <w:rFonts w:eastAsiaTheme="minorEastAsia"/>
        </w:rPr>
      </w:pPr>
    </w:p>
    <w:p w14:paraId="7AD9180A" w14:textId="78F05865" w:rsidR="006A390E" w:rsidRPr="00DD765E" w:rsidRDefault="00755C8C" w:rsidP="00DD765E">
      <w:pPr>
        <w:pStyle w:val="ListParagraph"/>
        <w:numPr>
          <w:ilvl w:val="1"/>
          <w:numId w:val="3"/>
        </w:numPr>
        <w:spacing w:after="120" w:line="240" w:lineRule="auto"/>
        <w:rPr>
          <w:rFonts w:eastAsiaTheme="minorEastAsia"/>
        </w:rPr>
      </w:pPr>
      <w:r w:rsidRPr="00DD765E">
        <w:rPr>
          <w:rFonts w:eastAsiaTheme="minorEastAsia"/>
        </w:rPr>
        <w:t xml:space="preserve">OHA </w:t>
      </w:r>
      <w:r w:rsidR="00407F8E" w:rsidRPr="00DD765E">
        <w:rPr>
          <w:rFonts w:eastAsiaTheme="minorEastAsia"/>
        </w:rPr>
        <w:t xml:space="preserve">shall have the right to </w:t>
      </w:r>
      <w:r w:rsidR="00896B9D" w:rsidRPr="00DD765E">
        <w:rPr>
          <w:rFonts w:eastAsiaTheme="minorEastAsia"/>
        </w:rPr>
        <w:t xml:space="preserve">request, via Administrative Notice, </w:t>
      </w:r>
      <w:r w:rsidR="00407F8E" w:rsidRPr="00DD765E">
        <w:rPr>
          <w:rFonts w:eastAsiaTheme="minorEastAsia"/>
        </w:rPr>
        <w:t xml:space="preserve">that a CCO make </w:t>
      </w:r>
      <w:r w:rsidRPr="00DD765E">
        <w:rPr>
          <w:rFonts w:eastAsiaTheme="minorEastAsia"/>
        </w:rPr>
        <w:t>a mid-year revision of</w:t>
      </w:r>
      <w:r w:rsidR="00D0292D" w:rsidRPr="00DD765E">
        <w:rPr>
          <w:rFonts w:eastAsiaTheme="minorEastAsia"/>
        </w:rPr>
        <w:t xml:space="preserve"> an</w:t>
      </w:r>
      <w:r w:rsidRPr="00DD765E">
        <w:rPr>
          <w:rFonts w:eastAsiaTheme="minorEastAsia"/>
        </w:rPr>
        <w:t xml:space="preserve"> Insolvency </w:t>
      </w:r>
      <w:r w:rsidR="00D0292D" w:rsidRPr="00DD765E">
        <w:rPr>
          <w:rFonts w:eastAsiaTheme="minorEastAsia"/>
        </w:rPr>
        <w:t xml:space="preserve">Plan if </w:t>
      </w:r>
      <w:r w:rsidR="00407F8E" w:rsidRPr="00DD765E">
        <w:rPr>
          <w:rFonts w:eastAsiaTheme="minorEastAsia"/>
        </w:rPr>
        <w:t xml:space="preserve">such CCO experiences </w:t>
      </w:r>
      <w:r w:rsidR="00D0292D" w:rsidRPr="00DD765E">
        <w:rPr>
          <w:rFonts w:eastAsiaTheme="minorEastAsia"/>
        </w:rPr>
        <w:t xml:space="preserve">significant change in circumstances that </w:t>
      </w:r>
      <w:r w:rsidR="00D0292D" w:rsidRPr="00DD765E">
        <w:rPr>
          <w:rFonts w:eastAsiaTheme="minorEastAsia"/>
        </w:rPr>
        <w:lastRenderedPageBreak/>
        <w:t>could affect the financial health of the CCO</w:t>
      </w:r>
      <w:r w:rsidR="00932C01" w:rsidRPr="00DD765E">
        <w:rPr>
          <w:rFonts w:eastAsiaTheme="minorEastAsia"/>
        </w:rPr>
        <w:t>, as determined by OHA in its reasonable discretion</w:t>
      </w:r>
      <w:r w:rsidR="00896B9D" w:rsidRPr="00DD765E">
        <w:rPr>
          <w:rFonts w:eastAsiaTheme="minorEastAsia"/>
        </w:rPr>
        <w:t>.  This includes, but is not limited to,</w:t>
      </w:r>
      <w:r w:rsidR="00D0292D" w:rsidRPr="00DD765E">
        <w:rPr>
          <w:rFonts w:eastAsiaTheme="minorEastAsia"/>
        </w:rPr>
        <w:t xml:space="preserve"> a large increase in </w:t>
      </w:r>
      <w:r w:rsidR="004C75CC" w:rsidRPr="00DD765E">
        <w:rPr>
          <w:rFonts w:eastAsiaTheme="minorEastAsia"/>
        </w:rPr>
        <w:t>M</w:t>
      </w:r>
      <w:r w:rsidR="00D0292D" w:rsidRPr="00DD765E">
        <w:rPr>
          <w:rFonts w:eastAsiaTheme="minorEastAsia"/>
        </w:rPr>
        <w:t xml:space="preserve">embers, large decrease in </w:t>
      </w:r>
      <w:r w:rsidR="004C75CC" w:rsidRPr="00DD765E">
        <w:rPr>
          <w:rFonts w:eastAsiaTheme="minorEastAsia"/>
        </w:rPr>
        <w:t>M</w:t>
      </w:r>
      <w:r w:rsidR="00D0292D" w:rsidRPr="00DD765E">
        <w:rPr>
          <w:rFonts w:eastAsiaTheme="minorEastAsia"/>
        </w:rPr>
        <w:t>embers, the insolvency of another CCO,</w:t>
      </w:r>
      <w:r w:rsidR="00932C01" w:rsidRPr="00DD765E">
        <w:rPr>
          <w:rFonts w:eastAsiaTheme="minorEastAsia"/>
        </w:rPr>
        <w:t xml:space="preserve"> a significant change in or new concerns about a CCO’s executive leadership or financial </w:t>
      </w:r>
      <w:r w:rsidR="004C4E94" w:rsidRPr="00DD765E">
        <w:rPr>
          <w:rFonts w:eastAsiaTheme="minorEastAsia"/>
        </w:rPr>
        <w:t>circumstances, declaration</w:t>
      </w:r>
      <w:r w:rsidR="00896B9D" w:rsidRPr="00DD765E">
        <w:rPr>
          <w:rFonts w:eastAsiaTheme="minorEastAsia"/>
        </w:rPr>
        <w:t xml:space="preserve"> of public health emergency,</w:t>
      </w:r>
      <w:r w:rsidR="00D0292D" w:rsidRPr="00DD765E">
        <w:rPr>
          <w:rFonts w:eastAsiaTheme="minorEastAsia"/>
        </w:rPr>
        <w:t xml:space="preserve"> </w:t>
      </w:r>
      <w:r w:rsidR="00932C01" w:rsidRPr="00DD765E">
        <w:rPr>
          <w:rFonts w:eastAsiaTheme="minorEastAsia"/>
        </w:rPr>
        <w:t xml:space="preserve">or </w:t>
      </w:r>
      <w:r w:rsidR="00896B9D" w:rsidRPr="00DD765E">
        <w:rPr>
          <w:rFonts w:eastAsiaTheme="minorEastAsia"/>
        </w:rPr>
        <w:t xml:space="preserve">declaration of a </w:t>
      </w:r>
      <w:r w:rsidR="006B0284" w:rsidRPr="00DD765E">
        <w:rPr>
          <w:rFonts w:eastAsiaTheme="minorEastAsia"/>
        </w:rPr>
        <w:t>national disaster</w:t>
      </w:r>
      <w:r w:rsidR="00CF4576" w:rsidRPr="00DD765E">
        <w:rPr>
          <w:rFonts w:eastAsiaTheme="minorEastAsia"/>
        </w:rPr>
        <w:t>.</w:t>
      </w:r>
    </w:p>
    <w:p w14:paraId="2CB968A4" w14:textId="36EC7F96" w:rsidR="007E5E47" w:rsidRPr="007E5E47" w:rsidRDefault="007E5E47" w:rsidP="334CC2BC">
      <w:pPr>
        <w:rPr>
          <w:rFonts w:eastAsiaTheme="minorEastAsia"/>
        </w:rPr>
      </w:pPr>
    </w:p>
    <w:sectPr w:rsidR="007E5E47" w:rsidRPr="007E5E47">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84566" w14:textId="77777777" w:rsidR="008C0568" w:rsidRDefault="008C0568" w:rsidP="000A557D">
      <w:pPr>
        <w:spacing w:after="0" w:line="240" w:lineRule="auto"/>
      </w:pPr>
      <w:r>
        <w:separator/>
      </w:r>
    </w:p>
  </w:endnote>
  <w:endnote w:type="continuationSeparator" w:id="0">
    <w:p w14:paraId="757656FB" w14:textId="77777777" w:rsidR="008C0568" w:rsidRDefault="008C0568" w:rsidP="000A557D">
      <w:pPr>
        <w:spacing w:after="0" w:line="240" w:lineRule="auto"/>
      </w:pPr>
      <w:r>
        <w:continuationSeparator/>
      </w:r>
    </w:p>
  </w:endnote>
  <w:endnote w:type="continuationNotice" w:id="1">
    <w:p w14:paraId="3D34E4C1" w14:textId="77777777" w:rsidR="008C0568" w:rsidRDefault="008C0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CF66" w14:textId="00239D7B" w:rsidR="000A557D" w:rsidRDefault="000A557D">
    <w:pPr>
      <w:pStyle w:val="Footer"/>
    </w:pPr>
    <w:r>
      <w:rPr>
        <w:noProof/>
        <w:color w:val="2B579A"/>
        <w:shd w:val="clear" w:color="auto" w:fill="E6E6E6"/>
      </w:rPr>
      <mc:AlternateContent>
        <mc:Choice Requires="wps">
          <w:drawing>
            <wp:anchor distT="0" distB="0" distL="0" distR="0" simplePos="0" relativeHeight="251658241" behindDoc="0" locked="0" layoutInCell="1" allowOverlap="1" wp14:anchorId="715D1D38" wp14:editId="5829D3F8">
              <wp:simplePos x="635" y="635"/>
              <wp:positionH relativeFrom="page">
                <wp:align>center</wp:align>
              </wp:positionH>
              <wp:positionV relativeFrom="page">
                <wp:align>bottom</wp:align>
              </wp:positionV>
              <wp:extent cx="443865" cy="443865"/>
              <wp:effectExtent l="0" t="0" r="10795" b="0"/>
              <wp:wrapNone/>
              <wp:docPr id="2"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7BCDA" w14:textId="5F54FA8C" w:rsidR="000A557D" w:rsidRPr="000A557D" w:rsidRDefault="000A557D" w:rsidP="000A557D">
                          <w:pPr>
                            <w:spacing w:after="0"/>
                            <w:rPr>
                              <w:rFonts w:ascii="Calibri" w:eastAsia="Calibri" w:hAnsi="Calibri" w:cs="Calibri"/>
                              <w:noProof/>
                              <w:color w:val="000000"/>
                              <w:sz w:val="20"/>
                              <w:szCs w:val="20"/>
                            </w:rPr>
                          </w:pPr>
                          <w:r w:rsidRPr="000A557D">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D1D38" id="_x0000_t202" coordsize="21600,21600" o:spt="202" path="m,l,21600r21600,l21600,xe">
              <v:stroke joinstyle="miter"/>
              <v:path gradientshapeok="t" o:connecttype="rect"/>
            </v:shapetype>
            <v:shape id="Text Box 2" o:spid="_x0000_s1026" type="#_x0000_t202" alt="Level 3 - Restrict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237BCDA" w14:textId="5F54FA8C" w:rsidR="000A557D" w:rsidRPr="000A557D" w:rsidRDefault="000A557D" w:rsidP="000A557D">
                    <w:pPr>
                      <w:spacing w:after="0"/>
                      <w:rPr>
                        <w:rFonts w:ascii="Calibri" w:eastAsia="Calibri" w:hAnsi="Calibri" w:cs="Calibri"/>
                        <w:noProof/>
                        <w:color w:val="000000"/>
                        <w:sz w:val="20"/>
                        <w:szCs w:val="20"/>
                      </w:rPr>
                    </w:pPr>
                    <w:r w:rsidRPr="000A557D">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545636"/>
      <w:docPartObj>
        <w:docPartGallery w:val="Page Numbers (Bottom of Page)"/>
        <w:docPartUnique/>
      </w:docPartObj>
    </w:sdtPr>
    <w:sdtEndPr/>
    <w:sdtContent>
      <w:sdt>
        <w:sdtPr>
          <w:id w:val="-1769616900"/>
          <w:docPartObj>
            <w:docPartGallery w:val="Page Numbers (Top of Page)"/>
            <w:docPartUnique/>
          </w:docPartObj>
        </w:sdtPr>
        <w:sdtEndPr/>
        <w:sdtContent>
          <w:p w14:paraId="1F841245" w14:textId="2B6A884D" w:rsidR="00DD765E" w:rsidRDefault="00DD76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5A3392" w14:textId="4083E8BB" w:rsidR="000A557D" w:rsidRDefault="000A5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401F" w14:textId="20879227" w:rsidR="000A557D" w:rsidRDefault="000A557D">
    <w:pPr>
      <w:pStyle w:val="Footer"/>
    </w:pPr>
    <w:r>
      <w:rPr>
        <w:noProof/>
        <w:color w:val="2B579A"/>
        <w:shd w:val="clear" w:color="auto" w:fill="E6E6E6"/>
      </w:rPr>
      <mc:AlternateContent>
        <mc:Choice Requires="wps">
          <w:drawing>
            <wp:anchor distT="0" distB="0" distL="0" distR="0" simplePos="0" relativeHeight="251658240" behindDoc="0" locked="0" layoutInCell="1" allowOverlap="1" wp14:anchorId="0BFE9439" wp14:editId="5442AF78">
              <wp:simplePos x="635" y="635"/>
              <wp:positionH relativeFrom="page">
                <wp:align>center</wp:align>
              </wp:positionH>
              <wp:positionV relativeFrom="page">
                <wp:align>bottom</wp:align>
              </wp:positionV>
              <wp:extent cx="443865" cy="443865"/>
              <wp:effectExtent l="0" t="0" r="10795" b="0"/>
              <wp:wrapNone/>
              <wp:docPr id="1" name="Text Box 1"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641BF8" w14:textId="5A91E165" w:rsidR="000A557D" w:rsidRPr="000A557D" w:rsidRDefault="000A557D" w:rsidP="000A557D">
                          <w:pPr>
                            <w:spacing w:after="0"/>
                            <w:rPr>
                              <w:rFonts w:ascii="Calibri" w:eastAsia="Calibri" w:hAnsi="Calibri" w:cs="Calibri"/>
                              <w:noProof/>
                              <w:color w:val="000000"/>
                              <w:sz w:val="20"/>
                              <w:szCs w:val="20"/>
                            </w:rPr>
                          </w:pPr>
                          <w:r w:rsidRPr="000A557D">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FE9439" id="_x0000_t202" coordsize="21600,21600" o:spt="202" path="m,l,21600r21600,l21600,xe">
              <v:stroke joinstyle="miter"/>
              <v:path gradientshapeok="t" o:connecttype="rect"/>
            </v:shapetype>
            <v:shape id="Text Box 1" o:spid="_x0000_s1027" type="#_x0000_t202" alt="Level 3 -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B641BF8" w14:textId="5A91E165" w:rsidR="000A557D" w:rsidRPr="000A557D" w:rsidRDefault="000A557D" w:rsidP="000A557D">
                    <w:pPr>
                      <w:spacing w:after="0"/>
                      <w:rPr>
                        <w:rFonts w:ascii="Calibri" w:eastAsia="Calibri" w:hAnsi="Calibri" w:cs="Calibri"/>
                        <w:noProof/>
                        <w:color w:val="000000"/>
                        <w:sz w:val="20"/>
                        <w:szCs w:val="20"/>
                      </w:rPr>
                    </w:pPr>
                    <w:r w:rsidRPr="000A557D">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E373E" w14:textId="77777777" w:rsidR="008C0568" w:rsidRDefault="008C0568" w:rsidP="000A557D">
      <w:pPr>
        <w:spacing w:after="0" w:line="240" w:lineRule="auto"/>
      </w:pPr>
      <w:r>
        <w:separator/>
      </w:r>
    </w:p>
  </w:footnote>
  <w:footnote w:type="continuationSeparator" w:id="0">
    <w:p w14:paraId="77870DA8" w14:textId="77777777" w:rsidR="008C0568" w:rsidRDefault="008C0568" w:rsidP="000A557D">
      <w:pPr>
        <w:spacing w:after="0" w:line="240" w:lineRule="auto"/>
      </w:pPr>
      <w:r>
        <w:continuationSeparator/>
      </w:r>
    </w:p>
  </w:footnote>
  <w:footnote w:type="continuationNotice" w:id="1">
    <w:p w14:paraId="5FC385E4" w14:textId="77777777" w:rsidR="008C0568" w:rsidRDefault="008C05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34CC2BC" w14:paraId="159C2FA2" w14:textId="77777777" w:rsidTr="004A46B5">
      <w:trPr>
        <w:trHeight w:val="300"/>
      </w:trPr>
      <w:tc>
        <w:tcPr>
          <w:tcW w:w="3120" w:type="dxa"/>
        </w:tcPr>
        <w:p w14:paraId="00996451" w14:textId="1E909E17" w:rsidR="334CC2BC" w:rsidRDefault="334CC2BC" w:rsidP="004A46B5">
          <w:pPr>
            <w:pStyle w:val="Header"/>
            <w:ind w:left="-115"/>
          </w:pPr>
        </w:p>
      </w:tc>
      <w:tc>
        <w:tcPr>
          <w:tcW w:w="3120" w:type="dxa"/>
        </w:tcPr>
        <w:p w14:paraId="4E0D03AE" w14:textId="18490D01" w:rsidR="334CC2BC" w:rsidRDefault="334CC2BC" w:rsidP="004A46B5">
          <w:pPr>
            <w:pStyle w:val="Header"/>
            <w:jc w:val="center"/>
          </w:pPr>
          <w:r>
            <w:rPr>
              <w:noProof/>
            </w:rPr>
            <w:drawing>
              <wp:inline distT="0" distB="0" distL="0" distR="0" wp14:anchorId="14BD1FAA" wp14:editId="7699B5B2">
                <wp:extent cx="1408298" cy="530398"/>
                <wp:effectExtent l="0" t="0" r="0" b="0"/>
                <wp:docPr id="1450435980" name="Picture 145043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08298" cy="530398"/>
                        </a:xfrm>
                        <a:prstGeom prst="rect">
                          <a:avLst/>
                        </a:prstGeom>
                      </pic:spPr>
                    </pic:pic>
                  </a:graphicData>
                </a:graphic>
              </wp:inline>
            </w:drawing>
          </w:r>
        </w:p>
      </w:tc>
      <w:tc>
        <w:tcPr>
          <w:tcW w:w="3120" w:type="dxa"/>
        </w:tcPr>
        <w:p w14:paraId="34303A8C" w14:textId="741EE21B" w:rsidR="334CC2BC" w:rsidRDefault="334CC2BC" w:rsidP="004A46B5">
          <w:pPr>
            <w:pStyle w:val="Header"/>
            <w:ind w:right="-115"/>
            <w:jc w:val="right"/>
          </w:pPr>
        </w:p>
      </w:tc>
    </w:tr>
  </w:tbl>
  <w:p w14:paraId="54854A7C" w14:textId="677C7E5A" w:rsidR="334CC2BC" w:rsidRDefault="334CC2BC" w:rsidP="00C3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3078"/>
    <w:multiLevelType w:val="hybridMultilevel"/>
    <w:tmpl w:val="1B9ED4B6"/>
    <w:lvl w:ilvl="0" w:tplc="4B184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D54CD9"/>
    <w:multiLevelType w:val="hybridMultilevel"/>
    <w:tmpl w:val="A042953C"/>
    <w:lvl w:ilvl="0" w:tplc="8A7E836C">
      <w:start w:val="1"/>
      <w:numFmt w:val="bullet"/>
      <w:lvlText w:val=""/>
      <w:lvlJc w:val="left"/>
      <w:pPr>
        <w:ind w:left="720" w:hanging="360"/>
      </w:pPr>
      <w:rPr>
        <w:rFonts w:ascii="Symbol" w:hAnsi="Symbol" w:hint="default"/>
      </w:rPr>
    </w:lvl>
    <w:lvl w:ilvl="1" w:tplc="364A3AB6">
      <w:start w:val="1"/>
      <w:numFmt w:val="bullet"/>
      <w:lvlText w:val="o"/>
      <w:lvlJc w:val="left"/>
      <w:pPr>
        <w:ind w:left="1440" w:hanging="360"/>
      </w:pPr>
      <w:rPr>
        <w:rFonts w:ascii="Courier New" w:hAnsi="Courier New" w:hint="default"/>
      </w:rPr>
    </w:lvl>
    <w:lvl w:ilvl="2" w:tplc="A23EC480">
      <w:start w:val="1"/>
      <w:numFmt w:val="bullet"/>
      <w:lvlText w:val=""/>
      <w:lvlJc w:val="left"/>
      <w:pPr>
        <w:ind w:left="2160" w:hanging="360"/>
      </w:pPr>
      <w:rPr>
        <w:rFonts w:ascii="Symbol" w:hAnsi="Symbol" w:hint="default"/>
      </w:rPr>
    </w:lvl>
    <w:lvl w:ilvl="3" w:tplc="EF4AA440">
      <w:start w:val="1"/>
      <w:numFmt w:val="bullet"/>
      <w:lvlText w:val=""/>
      <w:lvlJc w:val="left"/>
      <w:pPr>
        <w:ind w:left="2880" w:hanging="360"/>
      </w:pPr>
      <w:rPr>
        <w:rFonts w:ascii="Symbol" w:hAnsi="Symbol" w:hint="default"/>
      </w:rPr>
    </w:lvl>
    <w:lvl w:ilvl="4" w:tplc="CA52608C">
      <w:start w:val="1"/>
      <w:numFmt w:val="bullet"/>
      <w:lvlText w:val="o"/>
      <w:lvlJc w:val="left"/>
      <w:pPr>
        <w:ind w:left="3600" w:hanging="360"/>
      </w:pPr>
      <w:rPr>
        <w:rFonts w:ascii="Courier New" w:hAnsi="Courier New" w:hint="default"/>
      </w:rPr>
    </w:lvl>
    <w:lvl w:ilvl="5" w:tplc="73F63496">
      <w:start w:val="1"/>
      <w:numFmt w:val="bullet"/>
      <w:lvlText w:val=""/>
      <w:lvlJc w:val="left"/>
      <w:pPr>
        <w:ind w:left="4320" w:hanging="360"/>
      </w:pPr>
      <w:rPr>
        <w:rFonts w:ascii="Wingdings" w:hAnsi="Wingdings" w:hint="default"/>
      </w:rPr>
    </w:lvl>
    <w:lvl w:ilvl="6" w:tplc="BCB4002C">
      <w:start w:val="1"/>
      <w:numFmt w:val="bullet"/>
      <w:lvlText w:val=""/>
      <w:lvlJc w:val="left"/>
      <w:pPr>
        <w:ind w:left="5040" w:hanging="360"/>
      </w:pPr>
      <w:rPr>
        <w:rFonts w:ascii="Symbol" w:hAnsi="Symbol" w:hint="default"/>
      </w:rPr>
    </w:lvl>
    <w:lvl w:ilvl="7" w:tplc="10B098C2">
      <w:start w:val="1"/>
      <w:numFmt w:val="bullet"/>
      <w:lvlText w:val="o"/>
      <w:lvlJc w:val="left"/>
      <w:pPr>
        <w:ind w:left="5760" w:hanging="360"/>
      </w:pPr>
      <w:rPr>
        <w:rFonts w:ascii="Courier New" w:hAnsi="Courier New" w:hint="default"/>
      </w:rPr>
    </w:lvl>
    <w:lvl w:ilvl="8" w:tplc="AF82A9E2">
      <w:start w:val="1"/>
      <w:numFmt w:val="bullet"/>
      <w:lvlText w:val=""/>
      <w:lvlJc w:val="left"/>
      <w:pPr>
        <w:ind w:left="6480" w:hanging="360"/>
      </w:pPr>
      <w:rPr>
        <w:rFonts w:ascii="Wingdings" w:hAnsi="Wingdings" w:hint="default"/>
      </w:rPr>
    </w:lvl>
  </w:abstractNum>
  <w:abstractNum w:abstractNumId="2" w15:restartNumberingAfterBreak="0">
    <w:nsid w:val="1CF52A8F"/>
    <w:multiLevelType w:val="hybridMultilevel"/>
    <w:tmpl w:val="51500050"/>
    <w:lvl w:ilvl="0" w:tplc="3BB292B4">
      <w:start w:val="1"/>
      <w:numFmt w:val="upperRoman"/>
      <w:lvlText w:val="%1."/>
      <w:lvlJc w:val="left"/>
      <w:pPr>
        <w:ind w:left="1440" w:hanging="360"/>
      </w:pPr>
      <w:rPr>
        <w:rFonts w:ascii="Arial" w:eastAsiaTheme="minorHAnsi" w:hAnsi="Arial" w:cs="Arial"/>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0F0A75"/>
    <w:multiLevelType w:val="hybridMultilevel"/>
    <w:tmpl w:val="562EAF2C"/>
    <w:lvl w:ilvl="0" w:tplc="F9D877F4">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15:restartNumberingAfterBreak="0">
    <w:nsid w:val="205AC233"/>
    <w:multiLevelType w:val="hybridMultilevel"/>
    <w:tmpl w:val="692AE682"/>
    <w:lvl w:ilvl="0" w:tplc="C284E29E">
      <w:start w:val="1"/>
      <w:numFmt w:val="bullet"/>
      <w:lvlText w:val=""/>
      <w:lvlJc w:val="left"/>
      <w:pPr>
        <w:ind w:left="720" w:hanging="360"/>
      </w:pPr>
      <w:rPr>
        <w:rFonts w:ascii="Symbol" w:hAnsi="Symbol" w:hint="default"/>
      </w:rPr>
    </w:lvl>
    <w:lvl w:ilvl="1" w:tplc="616C0538">
      <w:start w:val="1"/>
      <w:numFmt w:val="bullet"/>
      <w:lvlText w:val="o"/>
      <w:lvlJc w:val="left"/>
      <w:pPr>
        <w:ind w:left="1440" w:hanging="360"/>
      </w:pPr>
      <w:rPr>
        <w:rFonts w:ascii="Courier New" w:hAnsi="Courier New" w:hint="default"/>
      </w:rPr>
    </w:lvl>
    <w:lvl w:ilvl="2" w:tplc="6E0C28EA">
      <w:start w:val="1"/>
      <w:numFmt w:val="bullet"/>
      <w:lvlText w:val=""/>
      <w:lvlJc w:val="left"/>
      <w:pPr>
        <w:ind w:left="2160" w:hanging="360"/>
      </w:pPr>
      <w:rPr>
        <w:rFonts w:ascii="Symbol" w:hAnsi="Symbol" w:hint="default"/>
      </w:rPr>
    </w:lvl>
    <w:lvl w:ilvl="3" w:tplc="ED22C000">
      <w:start w:val="1"/>
      <w:numFmt w:val="bullet"/>
      <w:lvlText w:val=""/>
      <w:lvlJc w:val="left"/>
      <w:pPr>
        <w:ind w:left="2880" w:hanging="360"/>
      </w:pPr>
      <w:rPr>
        <w:rFonts w:ascii="Symbol" w:hAnsi="Symbol" w:hint="default"/>
      </w:rPr>
    </w:lvl>
    <w:lvl w:ilvl="4" w:tplc="72720306">
      <w:start w:val="1"/>
      <w:numFmt w:val="bullet"/>
      <w:lvlText w:val="o"/>
      <w:lvlJc w:val="left"/>
      <w:pPr>
        <w:ind w:left="3600" w:hanging="360"/>
      </w:pPr>
      <w:rPr>
        <w:rFonts w:ascii="Courier New" w:hAnsi="Courier New" w:hint="default"/>
      </w:rPr>
    </w:lvl>
    <w:lvl w:ilvl="5" w:tplc="541ABE3A">
      <w:start w:val="1"/>
      <w:numFmt w:val="bullet"/>
      <w:lvlText w:val=""/>
      <w:lvlJc w:val="left"/>
      <w:pPr>
        <w:ind w:left="4320" w:hanging="360"/>
      </w:pPr>
      <w:rPr>
        <w:rFonts w:ascii="Wingdings" w:hAnsi="Wingdings" w:hint="default"/>
      </w:rPr>
    </w:lvl>
    <w:lvl w:ilvl="6" w:tplc="4E52F1CA">
      <w:start w:val="1"/>
      <w:numFmt w:val="bullet"/>
      <w:lvlText w:val=""/>
      <w:lvlJc w:val="left"/>
      <w:pPr>
        <w:ind w:left="5040" w:hanging="360"/>
      </w:pPr>
      <w:rPr>
        <w:rFonts w:ascii="Symbol" w:hAnsi="Symbol" w:hint="default"/>
      </w:rPr>
    </w:lvl>
    <w:lvl w:ilvl="7" w:tplc="7F181B46">
      <w:start w:val="1"/>
      <w:numFmt w:val="bullet"/>
      <w:lvlText w:val="o"/>
      <w:lvlJc w:val="left"/>
      <w:pPr>
        <w:ind w:left="5760" w:hanging="360"/>
      </w:pPr>
      <w:rPr>
        <w:rFonts w:ascii="Courier New" w:hAnsi="Courier New" w:hint="default"/>
      </w:rPr>
    </w:lvl>
    <w:lvl w:ilvl="8" w:tplc="C53E966A">
      <w:start w:val="1"/>
      <w:numFmt w:val="bullet"/>
      <w:lvlText w:val=""/>
      <w:lvlJc w:val="left"/>
      <w:pPr>
        <w:ind w:left="6480" w:hanging="360"/>
      </w:pPr>
      <w:rPr>
        <w:rFonts w:ascii="Wingdings" w:hAnsi="Wingdings" w:hint="default"/>
      </w:rPr>
    </w:lvl>
  </w:abstractNum>
  <w:abstractNum w:abstractNumId="5" w15:restartNumberingAfterBreak="0">
    <w:nsid w:val="3A811C85"/>
    <w:multiLevelType w:val="hybridMultilevel"/>
    <w:tmpl w:val="51500050"/>
    <w:lvl w:ilvl="0" w:tplc="FFFFFFFF">
      <w:start w:val="1"/>
      <w:numFmt w:val="upperRoman"/>
      <w:lvlText w:val="%1."/>
      <w:lvlJc w:val="left"/>
      <w:pPr>
        <w:ind w:left="1440" w:hanging="360"/>
      </w:pPr>
      <w:rPr>
        <w:rFonts w:ascii="Arial" w:eastAsiaTheme="minorHAnsi" w:hAnsi="Arial" w:cs="Arial"/>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DCD2477"/>
    <w:multiLevelType w:val="hybridMultilevel"/>
    <w:tmpl w:val="69E2A26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D12111"/>
    <w:multiLevelType w:val="hybridMultilevel"/>
    <w:tmpl w:val="066E0F28"/>
    <w:lvl w:ilvl="0" w:tplc="DBB2D2F2">
      <w:start w:val="1"/>
      <w:numFmt w:val="lowerLetter"/>
      <w:lvlText w:val="%1."/>
      <w:lvlJc w:val="left"/>
      <w:pPr>
        <w:ind w:left="1440" w:hanging="360"/>
      </w:pPr>
      <w:rPr>
        <w:rFonts w:asciiTheme="minorHAnsi" w:eastAsiaTheme="minorEastAsia" w:hAnsiTheme="minorHAnsi" w:cstheme="minorBidi"/>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7E616CE"/>
    <w:multiLevelType w:val="hybridMultilevel"/>
    <w:tmpl w:val="562EAF2C"/>
    <w:lvl w:ilvl="0" w:tplc="FFFFFFFF">
      <w:start w:val="1"/>
      <w:numFmt w:val="lowerLetter"/>
      <w:lvlText w:val="(%1)"/>
      <w:lvlJc w:val="left"/>
      <w:pPr>
        <w:ind w:left="1860" w:hanging="360"/>
      </w:pPr>
      <w:rPr>
        <w:rFonts w:hint="default"/>
      </w:rPr>
    </w:lvl>
    <w:lvl w:ilvl="1" w:tplc="FFFFFFFF" w:tentative="1">
      <w:start w:val="1"/>
      <w:numFmt w:val="lowerLetter"/>
      <w:lvlText w:val="%2."/>
      <w:lvlJc w:val="left"/>
      <w:pPr>
        <w:ind w:left="2580" w:hanging="360"/>
      </w:pPr>
    </w:lvl>
    <w:lvl w:ilvl="2" w:tplc="FFFFFFFF" w:tentative="1">
      <w:start w:val="1"/>
      <w:numFmt w:val="lowerRoman"/>
      <w:lvlText w:val="%3."/>
      <w:lvlJc w:val="right"/>
      <w:pPr>
        <w:ind w:left="3300" w:hanging="180"/>
      </w:pPr>
    </w:lvl>
    <w:lvl w:ilvl="3" w:tplc="FFFFFFFF" w:tentative="1">
      <w:start w:val="1"/>
      <w:numFmt w:val="decimal"/>
      <w:lvlText w:val="%4."/>
      <w:lvlJc w:val="left"/>
      <w:pPr>
        <w:ind w:left="4020" w:hanging="360"/>
      </w:pPr>
    </w:lvl>
    <w:lvl w:ilvl="4" w:tplc="FFFFFFFF" w:tentative="1">
      <w:start w:val="1"/>
      <w:numFmt w:val="lowerLetter"/>
      <w:lvlText w:val="%5."/>
      <w:lvlJc w:val="left"/>
      <w:pPr>
        <w:ind w:left="4740" w:hanging="360"/>
      </w:pPr>
    </w:lvl>
    <w:lvl w:ilvl="5" w:tplc="FFFFFFFF" w:tentative="1">
      <w:start w:val="1"/>
      <w:numFmt w:val="lowerRoman"/>
      <w:lvlText w:val="%6."/>
      <w:lvlJc w:val="right"/>
      <w:pPr>
        <w:ind w:left="5460" w:hanging="180"/>
      </w:pPr>
    </w:lvl>
    <w:lvl w:ilvl="6" w:tplc="FFFFFFFF" w:tentative="1">
      <w:start w:val="1"/>
      <w:numFmt w:val="decimal"/>
      <w:lvlText w:val="%7."/>
      <w:lvlJc w:val="left"/>
      <w:pPr>
        <w:ind w:left="6180" w:hanging="360"/>
      </w:pPr>
    </w:lvl>
    <w:lvl w:ilvl="7" w:tplc="FFFFFFFF" w:tentative="1">
      <w:start w:val="1"/>
      <w:numFmt w:val="lowerLetter"/>
      <w:lvlText w:val="%8."/>
      <w:lvlJc w:val="left"/>
      <w:pPr>
        <w:ind w:left="6900" w:hanging="360"/>
      </w:pPr>
    </w:lvl>
    <w:lvl w:ilvl="8" w:tplc="FFFFFFFF" w:tentative="1">
      <w:start w:val="1"/>
      <w:numFmt w:val="lowerRoman"/>
      <w:lvlText w:val="%9."/>
      <w:lvlJc w:val="right"/>
      <w:pPr>
        <w:ind w:left="7620" w:hanging="180"/>
      </w:pPr>
    </w:lvl>
  </w:abstractNum>
  <w:abstractNum w:abstractNumId="9" w15:restartNumberingAfterBreak="0">
    <w:nsid w:val="53E94754"/>
    <w:multiLevelType w:val="hybridMultilevel"/>
    <w:tmpl w:val="782838C8"/>
    <w:lvl w:ilvl="0" w:tplc="A1CA4928">
      <w:start w:val="1"/>
      <w:numFmt w:val="lowerRoman"/>
      <w:lvlText w:val="%1."/>
      <w:lvlJc w:val="left"/>
      <w:pPr>
        <w:ind w:left="2160" w:hanging="360"/>
      </w:pPr>
      <w:rPr>
        <w:rFonts w:asciiTheme="minorHAnsi" w:eastAsiaTheme="minorEastAsia" w:hAnsiTheme="minorHAnsi" w:cstheme="minorBidi"/>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59710008"/>
    <w:multiLevelType w:val="multilevel"/>
    <w:tmpl w:val="3000E584"/>
    <w:lvl w:ilvl="0">
      <w:start w:val="1"/>
      <w:numFmt w:val="upperLetter"/>
      <w:lvlText w:val="%1."/>
      <w:lvlJc w:val="left"/>
      <w:pPr>
        <w:ind w:left="810" w:hanging="360"/>
      </w:pPr>
      <w:rPr>
        <w:rFonts w:ascii="Calibri" w:hAnsi="Calibri" w:hint="default"/>
        <w:b/>
        <w:bCs/>
        <w:caps/>
      </w:rPr>
    </w:lvl>
    <w:lvl w:ilvl="1">
      <w:start w:val="1"/>
      <w:numFmt w:val="lowerLetter"/>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11" w15:restartNumberingAfterBreak="0">
    <w:nsid w:val="5A467D95"/>
    <w:multiLevelType w:val="hybridMultilevel"/>
    <w:tmpl w:val="DF648D3C"/>
    <w:lvl w:ilvl="0" w:tplc="AC689C18">
      <w:start w:val="1"/>
      <w:numFmt w:val="lowerLetter"/>
      <w:lvlText w:val="%1)"/>
      <w:lvlJc w:val="left"/>
      <w:pPr>
        <w:ind w:left="1530" w:hanging="360"/>
      </w:pPr>
      <w:rPr>
        <w:rFonts w:hint="default"/>
        <w:i w:val="0"/>
        <w:iCs w:val="0"/>
        <w:u w:val="none"/>
      </w:rPr>
    </w:lvl>
    <w:lvl w:ilvl="1" w:tplc="CB6A1622">
      <w:start w:val="1"/>
      <w:numFmt w:val="lowerRoman"/>
      <w:lvlText w:val="%2."/>
      <w:lvlJc w:val="left"/>
      <w:pPr>
        <w:ind w:left="2250" w:hanging="360"/>
      </w:pPr>
      <w:rPr>
        <w:rFonts w:asciiTheme="minorHAnsi" w:eastAsiaTheme="minorEastAsia" w:hAnsiTheme="minorHAnsi" w:cstheme="minorBidi"/>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5B551767"/>
    <w:multiLevelType w:val="hybridMultilevel"/>
    <w:tmpl w:val="51500050"/>
    <w:lvl w:ilvl="0" w:tplc="FFFFFFFF">
      <w:start w:val="1"/>
      <w:numFmt w:val="upperRoman"/>
      <w:lvlText w:val="%1."/>
      <w:lvlJc w:val="left"/>
      <w:pPr>
        <w:ind w:left="1440" w:hanging="360"/>
      </w:pPr>
      <w:rPr>
        <w:rFonts w:ascii="Arial" w:eastAsiaTheme="minorHAnsi" w:hAnsi="Arial" w:cs="Arial"/>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64833AF"/>
    <w:multiLevelType w:val="hybridMultilevel"/>
    <w:tmpl w:val="75768AA6"/>
    <w:lvl w:ilvl="0" w:tplc="54A0DA28">
      <w:start w:val="1"/>
      <w:numFmt w:val="decimal"/>
      <w:lvlText w:val="%1."/>
      <w:lvlJc w:val="left"/>
      <w:pPr>
        <w:ind w:left="720" w:hanging="360"/>
      </w:pPr>
      <w:rPr>
        <w:b/>
        <w:bCs/>
      </w:rPr>
    </w:lvl>
    <w:lvl w:ilvl="1" w:tplc="5C164520">
      <w:start w:val="1"/>
      <w:numFmt w:val="lowerLetter"/>
      <w:lvlText w:val="%2."/>
      <w:lvlJc w:val="left"/>
      <w:pPr>
        <w:ind w:left="900" w:hanging="360"/>
      </w:pPr>
      <w:rPr>
        <w:b/>
        <w:bCs/>
      </w:rPr>
    </w:lvl>
    <w:lvl w:ilvl="2" w:tplc="534860DE">
      <w:start w:val="1"/>
      <w:numFmt w:val="lowerRoman"/>
      <w:lvlText w:val="%3."/>
      <w:lvlJc w:val="right"/>
      <w:pPr>
        <w:ind w:left="2160" w:hanging="180"/>
      </w:pPr>
      <w:rPr>
        <w:b/>
        <w:bCs/>
      </w:rPr>
    </w:lvl>
    <w:lvl w:ilvl="3" w:tplc="0409000F">
      <w:start w:val="1"/>
      <w:numFmt w:val="decimal"/>
      <w:lvlText w:val="%4."/>
      <w:lvlJc w:val="left"/>
      <w:pPr>
        <w:ind w:left="2880" w:hanging="360"/>
      </w:pPr>
    </w:lvl>
    <w:lvl w:ilvl="4" w:tplc="905CBF9E">
      <w:start w:val="1"/>
      <w:numFmt w:val="upperLetter"/>
      <w:lvlText w:val="%5."/>
      <w:lvlJc w:val="left"/>
      <w:pPr>
        <w:ind w:left="3600" w:hanging="360"/>
      </w:pPr>
      <w:rPr>
        <w:rFonts w:hint="default"/>
        <w:b/>
        <w:u w:val="singl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40B7C"/>
    <w:multiLevelType w:val="hybridMultilevel"/>
    <w:tmpl w:val="CC3EDE32"/>
    <w:lvl w:ilvl="0" w:tplc="B2A6014E">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3F2D58"/>
    <w:multiLevelType w:val="hybridMultilevel"/>
    <w:tmpl w:val="136EC716"/>
    <w:lvl w:ilvl="0" w:tplc="2028108A">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B41FC"/>
    <w:multiLevelType w:val="multilevel"/>
    <w:tmpl w:val="066E0F28"/>
    <w:lvl w:ilvl="0">
      <w:start w:val="1"/>
      <w:numFmt w:val="lowerLetter"/>
      <w:lvlText w:val="%1."/>
      <w:lvlJc w:val="left"/>
      <w:pPr>
        <w:ind w:left="1440" w:hanging="360"/>
      </w:pPr>
      <w:rPr>
        <w:rFonts w:asciiTheme="minorHAnsi" w:eastAsiaTheme="minorEastAsia" w:hAnsiTheme="minorHAnsi" w:cstheme="minorBidi"/>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664018598">
    <w:abstractNumId w:val="1"/>
  </w:num>
  <w:num w:numId="2" w16cid:durableId="1762143069">
    <w:abstractNumId w:val="4"/>
  </w:num>
  <w:num w:numId="3" w16cid:durableId="614796191">
    <w:abstractNumId w:val="13"/>
  </w:num>
  <w:num w:numId="4" w16cid:durableId="1682319295">
    <w:abstractNumId w:val="10"/>
  </w:num>
  <w:num w:numId="5" w16cid:durableId="291402491">
    <w:abstractNumId w:val="14"/>
  </w:num>
  <w:num w:numId="6" w16cid:durableId="2095128576">
    <w:abstractNumId w:val="2"/>
  </w:num>
  <w:num w:numId="7" w16cid:durableId="1178155304">
    <w:abstractNumId w:val="7"/>
  </w:num>
  <w:num w:numId="8" w16cid:durableId="255284479">
    <w:abstractNumId w:val="12"/>
  </w:num>
  <w:num w:numId="9" w16cid:durableId="1156147958">
    <w:abstractNumId w:val="5"/>
  </w:num>
  <w:num w:numId="10" w16cid:durableId="1669362898">
    <w:abstractNumId w:val="3"/>
  </w:num>
  <w:num w:numId="11" w16cid:durableId="360252816">
    <w:abstractNumId w:val="9"/>
  </w:num>
  <w:num w:numId="12" w16cid:durableId="625624665">
    <w:abstractNumId w:val="15"/>
  </w:num>
  <w:num w:numId="13" w16cid:durableId="467940913">
    <w:abstractNumId w:val="8"/>
  </w:num>
  <w:num w:numId="14" w16cid:durableId="1575894378">
    <w:abstractNumId w:val="6"/>
  </w:num>
  <w:num w:numId="15" w16cid:durableId="978991977">
    <w:abstractNumId w:val="11"/>
  </w:num>
  <w:num w:numId="16" w16cid:durableId="1144657422">
    <w:abstractNumId w:val="16"/>
  </w:num>
  <w:num w:numId="17" w16cid:durableId="181235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F2"/>
    <w:rsid w:val="00001727"/>
    <w:rsid w:val="0000795C"/>
    <w:rsid w:val="00014914"/>
    <w:rsid w:val="00023548"/>
    <w:rsid w:val="0004432D"/>
    <w:rsid w:val="00046C7C"/>
    <w:rsid w:val="00047320"/>
    <w:rsid w:val="00047861"/>
    <w:rsid w:val="00050BA8"/>
    <w:rsid w:val="00051A63"/>
    <w:rsid w:val="0006135D"/>
    <w:rsid w:val="00062200"/>
    <w:rsid w:val="00066138"/>
    <w:rsid w:val="00076881"/>
    <w:rsid w:val="00080345"/>
    <w:rsid w:val="00082CD5"/>
    <w:rsid w:val="000A469D"/>
    <w:rsid w:val="000A557D"/>
    <w:rsid w:val="000B7991"/>
    <w:rsid w:val="000C6DAD"/>
    <w:rsid w:val="000D3219"/>
    <w:rsid w:val="000D6102"/>
    <w:rsid w:val="000D7085"/>
    <w:rsid w:val="000F038F"/>
    <w:rsid w:val="00160EB0"/>
    <w:rsid w:val="001805E9"/>
    <w:rsid w:val="00192FA6"/>
    <w:rsid w:val="001B1D17"/>
    <w:rsid w:val="001B40DB"/>
    <w:rsid w:val="001C4EEE"/>
    <w:rsid w:val="001E035A"/>
    <w:rsid w:val="00217637"/>
    <w:rsid w:val="002262A1"/>
    <w:rsid w:val="00246AF1"/>
    <w:rsid w:val="002521BC"/>
    <w:rsid w:val="00265690"/>
    <w:rsid w:val="00271842"/>
    <w:rsid w:val="002818EF"/>
    <w:rsid w:val="002B2351"/>
    <w:rsid w:val="002B2F01"/>
    <w:rsid w:val="002D3F44"/>
    <w:rsid w:val="002F6F78"/>
    <w:rsid w:val="0030113D"/>
    <w:rsid w:val="00303CA0"/>
    <w:rsid w:val="00314B1C"/>
    <w:rsid w:val="00337BA6"/>
    <w:rsid w:val="00357EAC"/>
    <w:rsid w:val="00364218"/>
    <w:rsid w:val="00364DB9"/>
    <w:rsid w:val="0037488B"/>
    <w:rsid w:val="0038080B"/>
    <w:rsid w:val="003E116E"/>
    <w:rsid w:val="003E1777"/>
    <w:rsid w:val="00407682"/>
    <w:rsid w:val="00407F8E"/>
    <w:rsid w:val="00431042"/>
    <w:rsid w:val="00434C65"/>
    <w:rsid w:val="004475DB"/>
    <w:rsid w:val="00456544"/>
    <w:rsid w:val="00456923"/>
    <w:rsid w:val="00461CB2"/>
    <w:rsid w:val="00481F09"/>
    <w:rsid w:val="00486A9E"/>
    <w:rsid w:val="004964C0"/>
    <w:rsid w:val="00496E0F"/>
    <w:rsid w:val="004A46B5"/>
    <w:rsid w:val="004A529B"/>
    <w:rsid w:val="004A5AE0"/>
    <w:rsid w:val="004B745E"/>
    <w:rsid w:val="004C3E49"/>
    <w:rsid w:val="004C4E94"/>
    <w:rsid w:val="004C5084"/>
    <w:rsid w:val="004C75CC"/>
    <w:rsid w:val="004E5FE4"/>
    <w:rsid w:val="00503687"/>
    <w:rsid w:val="00514DAD"/>
    <w:rsid w:val="00533587"/>
    <w:rsid w:val="005446AA"/>
    <w:rsid w:val="00556F68"/>
    <w:rsid w:val="005631E6"/>
    <w:rsid w:val="0058050A"/>
    <w:rsid w:val="00587FFE"/>
    <w:rsid w:val="005A2119"/>
    <w:rsid w:val="005B62E1"/>
    <w:rsid w:val="005C530A"/>
    <w:rsid w:val="005C68F0"/>
    <w:rsid w:val="005D2FE9"/>
    <w:rsid w:val="005D5A8E"/>
    <w:rsid w:val="005E0C11"/>
    <w:rsid w:val="005E1C15"/>
    <w:rsid w:val="005F4CFC"/>
    <w:rsid w:val="005F5B5A"/>
    <w:rsid w:val="005F7238"/>
    <w:rsid w:val="0060006A"/>
    <w:rsid w:val="00612BDD"/>
    <w:rsid w:val="0063532F"/>
    <w:rsid w:val="00651DD8"/>
    <w:rsid w:val="006A390E"/>
    <w:rsid w:val="006B0284"/>
    <w:rsid w:val="006B16C0"/>
    <w:rsid w:val="00707DC3"/>
    <w:rsid w:val="00712BB4"/>
    <w:rsid w:val="007209BB"/>
    <w:rsid w:val="00723416"/>
    <w:rsid w:val="0074083F"/>
    <w:rsid w:val="007423E3"/>
    <w:rsid w:val="00747458"/>
    <w:rsid w:val="00755C8C"/>
    <w:rsid w:val="00772DB3"/>
    <w:rsid w:val="007824ED"/>
    <w:rsid w:val="0079273A"/>
    <w:rsid w:val="007D63CC"/>
    <w:rsid w:val="007E5E47"/>
    <w:rsid w:val="007E5E6F"/>
    <w:rsid w:val="007F2E91"/>
    <w:rsid w:val="00804E31"/>
    <w:rsid w:val="00832422"/>
    <w:rsid w:val="0085785A"/>
    <w:rsid w:val="00857D03"/>
    <w:rsid w:val="00863BA1"/>
    <w:rsid w:val="00877CC4"/>
    <w:rsid w:val="008820CD"/>
    <w:rsid w:val="00896B9D"/>
    <w:rsid w:val="008A59F5"/>
    <w:rsid w:val="008B31F2"/>
    <w:rsid w:val="008C0568"/>
    <w:rsid w:val="008F0863"/>
    <w:rsid w:val="00905E55"/>
    <w:rsid w:val="0091591B"/>
    <w:rsid w:val="00926B66"/>
    <w:rsid w:val="00931610"/>
    <w:rsid w:val="00932C01"/>
    <w:rsid w:val="00935521"/>
    <w:rsid w:val="009704EE"/>
    <w:rsid w:val="00980284"/>
    <w:rsid w:val="0099014B"/>
    <w:rsid w:val="009B715B"/>
    <w:rsid w:val="009E2E3F"/>
    <w:rsid w:val="009E787B"/>
    <w:rsid w:val="00A269F7"/>
    <w:rsid w:val="00A27255"/>
    <w:rsid w:val="00A31628"/>
    <w:rsid w:val="00A34A57"/>
    <w:rsid w:val="00A45353"/>
    <w:rsid w:val="00A615D7"/>
    <w:rsid w:val="00A629FA"/>
    <w:rsid w:val="00A72190"/>
    <w:rsid w:val="00A731B7"/>
    <w:rsid w:val="00A85E79"/>
    <w:rsid w:val="00A911BA"/>
    <w:rsid w:val="00AB549D"/>
    <w:rsid w:val="00AB7D8B"/>
    <w:rsid w:val="00AD3C59"/>
    <w:rsid w:val="00AE618B"/>
    <w:rsid w:val="00AF102A"/>
    <w:rsid w:val="00B00118"/>
    <w:rsid w:val="00B00DEB"/>
    <w:rsid w:val="00B3484F"/>
    <w:rsid w:val="00B42296"/>
    <w:rsid w:val="00B45C63"/>
    <w:rsid w:val="00B77251"/>
    <w:rsid w:val="00B86EFC"/>
    <w:rsid w:val="00BB02B9"/>
    <w:rsid w:val="00BC6266"/>
    <w:rsid w:val="00BD6CBC"/>
    <w:rsid w:val="00BD6F7F"/>
    <w:rsid w:val="00BE4DE5"/>
    <w:rsid w:val="00BF0DA9"/>
    <w:rsid w:val="00C00BE9"/>
    <w:rsid w:val="00C0651F"/>
    <w:rsid w:val="00C26B2B"/>
    <w:rsid w:val="00C33EA1"/>
    <w:rsid w:val="00C354C1"/>
    <w:rsid w:val="00C37CE7"/>
    <w:rsid w:val="00C92419"/>
    <w:rsid w:val="00C948C4"/>
    <w:rsid w:val="00CB115C"/>
    <w:rsid w:val="00CB1E12"/>
    <w:rsid w:val="00CB20DB"/>
    <w:rsid w:val="00CC7760"/>
    <w:rsid w:val="00CF4576"/>
    <w:rsid w:val="00CF7B13"/>
    <w:rsid w:val="00D0292D"/>
    <w:rsid w:val="00D056CE"/>
    <w:rsid w:val="00D12A18"/>
    <w:rsid w:val="00D133BE"/>
    <w:rsid w:val="00D3033C"/>
    <w:rsid w:val="00D33752"/>
    <w:rsid w:val="00D47C48"/>
    <w:rsid w:val="00D82934"/>
    <w:rsid w:val="00D83F3D"/>
    <w:rsid w:val="00D84C0C"/>
    <w:rsid w:val="00D91A8E"/>
    <w:rsid w:val="00D93171"/>
    <w:rsid w:val="00DA3395"/>
    <w:rsid w:val="00DA46E9"/>
    <w:rsid w:val="00DB2613"/>
    <w:rsid w:val="00DB58B8"/>
    <w:rsid w:val="00DD30C8"/>
    <w:rsid w:val="00DD4B92"/>
    <w:rsid w:val="00DD765E"/>
    <w:rsid w:val="00DF3187"/>
    <w:rsid w:val="00E2409F"/>
    <w:rsid w:val="00E33C46"/>
    <w:rsid w:val="00E52C21"/>
    <w:rsid w:val="00E543F2"/>
    <w:rsid w:val="00E61735"/>
    <w:rsid w:val="00E651DE"/>
    <w:rsid w:val="00E75AEC"/>
    <w:rsid w:val="00E76DC9"/>
    <w:rsid w:val="00E91D2C"/>
    <w:rsid w:val="00E93947"/>
    <w:rsid w:val="00EA275B"/>
    <w:rsid w:val="00EA71AA"/>
    <w:rsid w:val="00EE2ACA"/>
    <w:rsid w:val="00F00018"/>
    <w:rsid w:val="00F0236E"/>
    <w:rsid w:val="00F1081B"/>
    <w:rsid w:val="00F30262"/>
    <w:rsid w:val="00F41845"/>
    <w:rsid w:val="00F51F98"/>
    <w:rsid w:val="00F536C9"/>
    <w:rsid w:val="00F5393C"/>
    <w:rsid w:val="00F757F3"/>
    <w:rsid w:val="00F8028D"/>
    <w:rsid w:val="00FA0D72"/>
    <w:rsid w:val="00FB657A"/>
    <w:rsid w:val="00FD0D03"/>
    <w:rsid w:val="017EC273"/>
    <w:rsid w:val="048C4B7B"/>
    <w:rsid w:val="05830F46"/>
    <w:rsid w:val="09089384"/>
    <w:rsid w:val="09C12A62"/>
    <w:rsid w:val="0B89DF94"/>
    <w:rsid w:val="0BF6E50E"/>
    <w:rsid w:val="0C002DF2"/>
    <w:rsid w:val="0E11BF0B"/>
    <w:rsid w:val="0E8B6D0C"/>
    <w:rsid w:val="105DC849"/>
    <w:rsid w:val="130B7BB2"/>
    <w:rsid w:val="15D52F7D"/>
    <w:rsid w:val="1CCC6218"/>
    <w:rsid w:val="1E8D3B89"/>
    <w:rsid w:val="1F8B195E"/>
    <w:rsid w:val="245752D9"/>
    <w:rsid w:val="24EC94AF"/>
    <w:rsid w:val="2599D31C"/>
    <w:rsid w:val="270A3A69"/>
    <w:rsid w:val="2816EC3D"/>
    <w:rsid w:val="2BDDB51D"/>
    <w:rsid w:val="3081D0D4"/>
    <w:rsid w:val="31B0F25B"/>
    <w:rsid w:val="334CC2BC"/>
    <w:rsid w:val="3363F287"/>
    <w:rsid w:val="36D845F2"/>
    <w:rsid w:val="38A724B7"/>
    <w:rsid w:val="3A082EFF"/>
    <w:rsid w:val="3CD2C0AF"/>
    <w:rsid w:val="3FFFAADC"/>
    <w:rsid w:val="4123E226"/>
    <w:rsid w:val="4281DCCF"/>
    <w:rsid w:val="46F81B13"/>
    <w:rsid w:val="471EBF95"/>
    <w:rsid w:val="4722AC12"/>
    <w:rsid w:val="47987141"/>
    <w:rsid w:val="49F72E0A"/>
    <w:rsid w:val="4B59951A"/>
    <w:rsid w:val="4C568CB5"/>
    <w:rsid w:val="509A89DC"/>
    <w:rsid w:val="50D3CF17"/>
    <w:rsid w:val="51E3204A"/>
    <w:rsid w:val="54E87998"/>
    <w:rsid w:val="57D83C56"/>
    <w:rsid w:val="59DD84BC"/>
    <w:rsid w:val="5B09BB34"/>
    <w:rsid w:val="5CA39214"/>
    <w:rsid w:val="5DFF2BDF"/>
    <w:rsid w:val="5E88EC8C"/>
    <w:rsid w:val="5F958E3F"/>
    <w:rsid w:val="61D27C19"/>
    <w:rsid w:val="62F28484"/>
    <w:rsid w:val="648E4641"/>
    <w:rsid w:val="665BDD24"/>
    <w:rsid w:val="6667BB29"/>
    <w:rsid w:val="6881890F"/>
    <w:rsid w:val="69C60947"/>
    <w:rsid w:val="6B278A4F"/>
    <w:rsid w:val="6BFFC95D"/>
    <w:rsid w:val="6D58C612"/>
    <w:rsid w:val="700AB6A2"/>
    <w:rsid w:val="704284A0"/>
    <w:rsid w:val="749EEEBA"/>
    <w:rsid w:val="75C5F0B7"/>
    <w:rsid w:val="76A1CE26"/>
    <w:rsid w:val="76FE44F7"/>
    <w:rsid w:val="77AB5FAC"/>
    <w:rsid w:val="7A103546"/>
    <w:rsid w:val="7B89D079"/>
    <w:rsid w:val="7FF7E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DF1F"/>
  <w15:chartTrackingRefBased/>
  <w15:docId w15:val="{DD3563BE-7A32-402E-B5B8-D611CE29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E0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after="0" w:line="276" w:lineRule="auto"/>
      <w:outlineLvl w:val="0"/>
    </w:pPr>
    <w:rPr>
      <w:rFonts w:eastAsiaTheme="minorEastAsia"/>
      <w:b/>
      <w:bCs/>
      <w:caps/>
      <w:color w:val="FFFFFF"/>
    </w:rPr>
  </w:style>
  <w:style w:type="paragraph" w:styleId="Heading2">
    <w:name w:val="heading 2"/>
    <w:basedOn w:val="Normal"/>
    <w:next w:val="Normal"/>
    <w:link w:val="Heading2Char"/>
    <w:uiPriority w:val="9"/>
    <w:unhideWhenUsed/>
    <w:qFormat/>
    <w:rsid w:val="009B71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B71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B92"/>
    <w:rPr>
      <w:color w:val="0563C1" w:themeColor="hyperlink"/>
      <w:u w:val="single"/>
    </w:rPr>
  </w:style>
  <w:style w:type="character" w:styleId="UnresolvedMention">
    <w:name w:val="Unresolved Mention"/>
    <w:basedOn w:val="DefaultParagraphFont"/>
    <w:uiPriority w:val="99"/>
    <w:semiHidden/>
    <w:unhideWhenUsed/>
    <w:rsid w:val="00DD4B92"/>
    <w:rPr>
      <w:color w:val="605E5C"/>
      <w:shd w:val="clear" w:color="auto" w:fill="E1DFDD"/>
    </w:rPr>
  </w:style>
  <w:style w:type="paragraph" w:styleId="ListParagraph">
    <w:name w:val="List Paragraph"/>
    <w:basedOn w:val="Normal"/>
    <w:uiPriority w:val="34"/>
    <w:qFormat/>
    <w:rsid w:val="00C00BE9"/>
    <w:pPr>
      <w:ind w:left="720"/>
      <w:contextualSpacing/>
    </w:pPr>
  </w:style>
  <w:style w:type="character" w:styleId="CommentReference">
    <w:name w:val="annotation reference"/>
    <w:basedOn w:val="DefaultParagraphFont"/>
    <w:uiPriority w:val="99"/>
    <w:semiHidden/>
    <w:unhideWhenUsed/>
    <w:rsid w:val="00434C65"/>
    <w:rPr>
      <w:sz w:val="16"/>
      <w:szCs w:val="16"/>
    </w:rPr>
  </w:style>
  <w:style w:type="paragraph" w:styleId="CommentText">
    <w:name w:val="annotation text"/>
    <w:basedOn w:val="Normal"/>
    <w:link w:val="CommentTextChar"/>
    <w:uiPriority w:val="99"/>
    <w:unhideWhenUsed/>
    <w:rsid w:val="00434C65"/>
    <w:pPr>
      <w:spacing w:line="240" w:lineRule="auto"/>
    </w:pPr>
    <w:rPr>
      <w:sz w:val="20"/>
      <w:szCs w:val="20"/>
    </w:rPr>
  </w:style>
  <w:style w:type="character" w:customStyle="1" w:styleId="CommentTextChar">
    <w:name w:val="Comment Text Char"/>
    <w:basedOn w:val="DefaultParagraphFont"/>
    <w:link w:val="CommentText"/>
    <w:uiPriority w:val="99"/>
    <w:rsid w:val="00434C65"/>
    <w:rPr>
      <w:sz w:val="20"/>
      <w:szCs w:val="20"/>
    </w:rPr>
  </w:style>
  <w:style w:type="paragraph" w:styleId="CommentSubject">
    <w:name w:val="annotation subject"/>
    <w:basedOn w:val="CommentText"/>
    <w:next w:val="CommentText"/>
    <w:link w:val="CommentSubjectChar"/>
    <w:uiPriority w:val="99"/>
    <w:semiHidden/>
    <w:unhideWhenUsed/>
    <w:rsid w:val="00434C65"/>
    <w:rPr>
      <w:b/>
      <w:bCs/>
    </w:rPr>
  </w:style>
  <w:style w:type="character" w:customStyle="1" w:styleId="CommentSubjectChar">
    <w:name w:val="Comment Subject Char"/>
    <w:basedOn w:val="CommentTextChar"/>
    <w:link w:val="CommentSubject"/>
    <w:uiPriority w:val="99"/>
    <w:semiHidden/>
    <w:rsid w:val="00434C65"/>
    <w:rPr>
      <w:b/>
      <w:bCs/>
      <w:sz w:val="20"/>
      <w:szCs w:val="20"/>
    </w:rPr>
  </w:style>
  <w:style w:type="paragraph" w:styleId="Revision">
    <w:name w:val="Revision"/>
    <w:hidden/>
    <w:uiPriority w:val="99"/>
    <w:semiHidden/>
    <w:rsid w:val="00E33C46"/>
    <w:pPr>
      <w:spacing w:after="0" w:line="240" w:lineRule="auto"/>
    </w:pPr>
  </w:style>
  <w:style w:type="paragraph" w:styleId="Footer">
    <w:name w:val="footer"/>
    <w:basedOn w:val="Normal"/>
    <w:link w:val="FooterChar"/>
    <w:uiPriority w:val="99"/>
    <w:unhideWhenUsed/>
    <w:rsid w:val="000A5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57D"/>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281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EF"/>
  </w:style>
  <w:style w:type="character" w:customStyle="1" w:styleId="Heading1Char">
    <w:name w:val="Heading 1 Char"/>
    <w:basedOn w:val="DefaultParagraphFont"/>
    <w:link w:val="Heading1"/>
    <w:uiPriority w:val="9"/>
    <w:rsid w:val="00496E0F"/>
    <w:rPr>
      <w:rFonts w:eastAsiaTheme="minorEastAsia"/>
      <w:b/>
      <w:bCs/>
      <w:caps/>
      <w:color w:val="FFFFFF"/>
      <w:shd w:val="clear" w:color="auto" w:fill="4472C4" w:themeFill="accent1"/>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A72190"/>
    <w:pPr>
      <w:spacing w:after="100"/>
    </w:pPr>
  </w:style>
  <w:style w:type="character" w:customStyle="1" w:styleId="Heading2Char">
    <w:name w:val="Heading 2 Char"/>
    <w:basedOn w:val="DefaultParagraphFont"/>
    <w:link w:val="Heading2"/>
    <w:uiPriority w:val="9"/>
    <w:rsid w:val="009B71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B715B"/>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4B745E"/>
    <w:pPr>
      <w:keepNext/>
      <w:keepLines/>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b w:val="0"/>
      <w:bCs w:val="0"/>
      <w:caps w:val="0"/>
      <w:color w:val="2F5496" w:themeColor="accent1" w:themeShade="BF"/>
      <w:sz w:val="32"/>
      <w:szCs w:val="32"/>
    </w:rPr>
  </w:style>
  <w:style w:type="paragraph" w:styleId="TOC2">
    <w:name w:val="toc 2"/>
    <w:basedOn w:val="Normal"/>
    <w:next w:val="Normal"/>
    <w:autoRedefine/>
    <w:uiPriority w:val="39"/>
    <w:unhideWhenUsed/>
    <w:rsid w:val="004B745E"/>
    <w:pPr>
      <w:spacing w:after="100"/>
      <w:ind w:left="220"/>
    </w:pPr>
  </w:style>
  <w:style w:type="paragraph" w:styleId="TOC3">
    <w:name w:val="toc 3"/>
    <w:basedOn w:val="Normal"/>
    <w:next w:val="Normal"/>
    <w:autoRedefine/>
    <w:uiPriority w:val="39"/>
    <w:unhideWhenUsed/>
    <w:rsid w:val="004B745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public.law/rules/oar_410-141-5360"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regon.gov/oha/HSD/OHP/CCO/2024-M-CCO-Contract-Template.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2024-07-02T07:00:00+00:00</Effective_x0020_date>
    <Contract_x0020_topic xmlns="47be7094-86b6-4c75-87da-a9bfd340ff09">Financial</Contract_x0020_topic>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https://www.oregon.gov/oha/HSD/OHP/CCO/2024%20Insolvency%20Plan%20Guidance.docx</Url>
      <Description>2024 Insolvency Plan Guidance</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C6948A3A-A2C8-4354-84DE-D613DEFBBC0A}">
  <ds:schemaRefs>
    <ds:schemaRef ds:uri="http://schemas.openxmlformats.org/officeDocument/2006/bibliography"/>
  </ds:schemaRefs>
</ds:datastoreItem>
</file>

<file path=customXml/itemProps2.xml><?xml version="1.0" encoding="utf-8"?>
<ds:datastoreItem xmlns:ds="http://schemas.openxmlformats.org/officeDocument/2006/customXml" ds:itemID="{07909002-3894-43D9-9453-0201877416F2}"/>
</file>

<file path=customXml/itemProps3.xml><?xml version="1.0" encoding="utf-8"?>
<ds:datastoreItem xmlns:ds="http://schemas.openxmlformats.org/officeDocument/2006/customXml" ds:itemID="{BA3B2041-FA27-4B4E-AD03-BF2FF0A23CF9}"/>
</file>

<file path=customXml/itemProps4.xml><?xml version="1.0" encoding="utf-8"?>
<ds:datastoreItem xmlns:ds="http://schemas.openxmlformats.org/officeDocument/2006/customXml" ds:itemID="{8F20215C-AE39-47DC-96AD-CED0C559D7BA}"/>
</file>

<file path=docProps/app.xml><?xml version="1.0" encoding="utf-8"?>
<Properties xmlns="http://schemas.openxmlformats.org/officeDocument/2006/extended-properties" xmlns:vt="http://schemas.openxmlformats.org/officeDocument/2006/docPropsVTypes">
  <Template>Normal</Template>
  <TotalTime>1</TotalTime>
  <Pages>6</Pages>
  <Words>2152</Words>
  <Characters>12272</Characters>
  <Application>Microsoft Office Word</Application>
  <DocSecurity>0</DocSecurity>
  <Lines>102</Lines>
  <Paragraphs>28</Paragraphs>
  <ScaleCrop>false</ScaleCrop>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Insolvency Plan Guidance</dc:title>
  <dc:subject/>
  <dc:creator>Walker Jonathan Barrett</dc:creator>
  <cp:keywords/>
  <dc:description/>
  <cp:lastModifiedBy>Walker Jonathan Barrett</cp:lastModifiedBy>
  <cp:revision>2</cp:revision>
  <dcterms:created xsi:type="dcterms:W3CDTF">2024-07-02T21:26:00Z</dcterms:created>
  <dcterms:modified xsi:type="dcterms:W3CDTF">2024-07-02T21:26:00Z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Level 3 - Restricted</vt:lpwstr>
  </property>
  <property fmtid="{D5CDD505-2E9C-101B-9397-08002B2CF9AE}" pid="5" name="MSIP_Label_a76575b2-0a46-484c-818c-2622a2b78303_Enabled">
    <vt:lpwstr>true</vt:lpwstr>
  </property>
  <property fmtid="{D5CDD505-2E9C-101B-9397-08002B2CF9AE}" pid="6" name="MSIP_Label_a76575b2-0a46-484c-818c-2622a2b78303_SetDate">
    <vt:lpwstr>2023-12-04T22:31:15Z</vt:lpwstr>
  </property>
  <property fmtid="{D5CDD505-2E9C-101B-9397-08002B2CF9AE}" pid="7" name="MSIP_Label_a76575b2-0a46-484c-818c-2622a2b78303_Method">
    <vt:lpwstr>Privileged</vt:lpwstr>
  </property>
  <property fmtid="{D5CDD505-2E9C-101B-9397-08002B2CF9AE}" pid="8" name="MSIP_Label_a76575b2-0a46-484c-818c-2622a2b78303_Name">
    <vt:lpwstr>Level 3 - Restricted (Items)</vt:lpwstr>
  </property>
  <property fmtid="{D5CDD505-2E9C-101B-9397-08002B2CF9AE}" pid="9" name="MSIP_Label_a76575b2-0a46-484c-818c-2622a2b78303_SiteId">
    <vt:lpwstr>658e63e8-8d39-499c-8f48-13adc9452f4c</vt:lpwstr>
  </property>
  <property fmtid="{D5CDD505-2E9C-101B-9397-08002B2CF9AE}" pid="10" name="MSIP_Label_a76575b2-0a46-484c-818c-2622a2b78303_ActionId">
    <vt:lpwstr>feb72c3f-ee56-4235-9fc3-b78c2b1d38e2</vt:lpwstr>
  </property>
  <property fmtid="{D5CDD505-2E9C-101B-9397-08002B2CF9AE}" pid="11" name="MSIP_Label_a76575b2-0a46-484c-818c-2622a2b78303_ContentBits">
    <vt:lpwstr>2</vt:lpwstr>
  </property>
  <property fmtid="{D5CDD505-2E9C-101B-9397-08002B2CF9AE}" pid="12" name="ContentTypeId">
    <vt:lpwstr>0x0101004FC3AD29F9C3BA4492D9BCF45F3C0A51</vt:lpwstr>
  </property>
  <property fmtid="{D5CDD505-2E9C-101B-9397-08002B2CF9AE}" pid="13" name="WorkflowChangePath">
    <vt:lpwstr>dff07ce7-2fe0-44e5-9d33-eb01c4950507,3;dff07ce7-2fe0-44e5-9d33-eb01c4950507,5;</vt:lpwstr>
  </property>
</Properties>
</file>