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170" w:type="dxa"/>
        <w:tblBorders>
          <w:bottom w:val="single" w:sz="8" w:space="0" w:color="F79646"/>
          <w:insideH w:val="single" w:sz="4" w:space="0" w:color="F79646"/>
        </w:tblBorders>
        <w:tblLayout w:type="fixed"/>
        <w:tblLook w:val="00A0" w:firstRow="1" w:lastRow="0" w:firstColumn="1" w:lastColumn="0" w:noHBand="0" w:noVBand="0"/>
      </w:tblPr>
      <w:tblGrid>
        <w:gridCol w:w="7155"/>
        <w:gridCol w:w="3015"/>
      </w:tblGrid>
      <w:tr w:rsidR="00AC0ED1" w14:paraId="56292B2A" w14:textId="77777777" w:rsidTr="00A516B5">
        <w:trPr>
          <w:cantSplit/>
          <w:trHeight w:val="903"/>
        </w:trPr>
        <w:tc>
          <w:tcPr>
            <w:tcW w:w="7155" w:type="dxa"/>
            <w:tcBorders>
              <w:top w:val="nil"/>
              <w:bottom w:val="single" w:sz="12" w:space="0" w:color="F79646"/>
            </w:tcBorders>
            <w:tcMar>
              <w:left w:w="0" w:type="dxa"/>
              <w:right w:w="0" w:type="dxa"/>
            </w:tcMar>
            <w:vAlign w:val="center"/>
          </w:tcPr>
          <w:p w14:paraId="794C815A" w14:textId="52F133C0" w:rsidR="00AC0ED1" w:rsidRPr="00B23C5D" w:rsidRDefault="00AC0ED1" w:rsidP="000919A3">
            <w:pPr>
              <w:pStyle w:val="Office"/>
            </w:pPr>
            <w:r>
              <w:br/>
              <w:t>The Office of Payment Accuracy and Recovery</w:t>
            </w:r>
            <w:r>
              <w:br/>
            </w:r>
            <w:r w:rsidR="00216100">
              <w:t>Personal Injury Liens Unit</w:t>
            </w:r>
          </w:p>
        </w:tc>
        <w:tc>
          <w:tcPr>
            <w:tcW w:w="3015" w:type="dxa"/>
            <w:vMerge w:val="restart"/>
            <w:tcBorders>
              <w:top w:val="nil"/>
              <w:bottom w:val="nil"/>
            </w:tcBorders>
            <w:tcMar>
              <w:left w:w="0" w:type="dxa"/>
              <w:right w:w="0" w:type="dxa"/>
            </w:tcMar>
            <w:vAlign w:val="center"/>
          </w:tcPr>
          <w:p w14:paraId="070B44C6" w14:textId="77777777" w:rsidR="00AC0ED1" w:rsidRDefault="00AC0ED1" w:rsidP="000919A3">
            <w:pPr>
              <w:spacing w:line="60" w:lineRule="exact"/>
            </w:pPr>
          </w:p>
          <w:p w14:paraId="565A02C5" w14:textId="77777777" w:rsidR="00AC0ED1" w:rsidRDefault="0A920B87" w:rsidP="000919A3">
            <w:pPr>
              <w:jc w:val="right"/>
            </w:pPr>
            <w:r>
              <w:rPr>
                <w:noProof/>
                <w:color w:val="2B579A"/>
                <w:shd w:val="clear" w:color="auto" w:fill="E6E6E6"/>
              </w:rPr>
              <w:drawing>
                <wp:inline distT="0" distB="0" distL="0" distR="0" wp14:anchorId="047EF451" wp14:editId="61026CF8">
                  <wp:extent cx="1869440" cy="702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9440" cy="702945"/>
                          </a:xfrm>
                          <a:prstGeom prst="rect">
                            <a:avLst/>
                          </a:prstGeom>
                        </pic:spPr>
                      </pic:pic>
                    </a:graphicData>
                  </a:graphic>
                </wp:inline>
              </w:drawing>
            </w:r>
          </w:p>
        </w:tc>
      </w:tr>
      <w:tr w:rsidR="00AC0ED1" w14:paraId="7F323AAF" w14:textId="77777777" w:rsidTr="00A516B5">
        <w:trPr>
          <w:cantSplit/>
          <w:trHeight w:val="225"/>
        </w:trPr>
        <w:tc>
          <w:tcPr>
            <w:tcW w:w="7155" w:type="dxa"/>
            <w:tcBorders>
              <w:top w:val="single" w:sz="12" w:space="0" w:color="F79646"/>
              <w:bottom w:val="nil"/>
            </w:tcBorders>
            <w:tcMar>
              <w:left w:w="0" w:type="dxa"/>
              <w:right w:w="0" w:type="dxa"/>
            </w:tcMar>
          </w:tcPr>
          <w:p w14:paraId="0469BDCF" w14:textId="77777777" w:rsidR="00AC0ED1" w:rsidRDefault="00AC0ED1" w:rsidP="000919A3">
            <w:pPr>
              <w:pStyle w:val="Governorname"/>
              <w:framePr w:hSpace="0" w:wrap="auto" w:vAnchor="margin" w:hAnchor="text" w:xAlign="left" w:yAlign="inline"/>
              <w:ind w:left="0"/>
            </w:pPr>
          </w:p>
        </w:tc>
        <w:tc>
          <w:tcPr>
            <w:tcW w:w="3015" w:type="dxa"/>
            <w:vMerge/>
            <w:tcBorders>
              <w:top w:val="nil"/>
              <w:bottom w:val="nil"/>
            </w:tcBorders>
            <w:tcMar>
              <w:left w:w="0" w:type="dxa"/>
              <w:right w:w="0" w:type="dxa"/>
            </w:tcMar>
            <w:vAlign w:val="bottom"/>
          </w:tcPr>
          <w:p w14:paraId="67A34F9D" w14:textId="77777777" w:rsidR="00AC0ED1" w:rsidRDefault="00AC0ED1" w:rsidP="000919A3">
            <w:pPr>
              <w:jc w:val="right"/>
            </w:pPr>
          </w:p>
        </w:tc>
      </w:tr>
    </w:tbl>
    <w:p w14:paraId="60FF2FF1" w14:textId="77777777" w:rsidR="003B2C3A" w:rsidRDefault="003B2C3A" w:rsidP="002A73F3">
      <w:pPr>
        <w:pStyle w:val="Address"/>
        <w:jc w:val="left"/>
        <w:rPr>
          <w:rFonts w:ascii="Arial Bold" w:hAnsi="Arial Bold"/>
          <w:b/>
          <w:bCs/>
          <w:w w:val="100"/>
          <w:sz w:val="30"/>
          <w:szCs w:val="30"/>
        </w:rPr>
      </w:pPr>
      <w:bookmarkStart w:id="0" w:name="_Hlk25144635"/>
    </w:p>
    <w:p w14:paraId="7C0DD674" w14:textId="45DFFBCC" w:rsidR="0027458B" w:rsidRDefault="007B70E2" w:rsidP="00F828CC">
      <w:pPr>
        <w:pStyle w:val="Address"/>
        <w:jc w:val="center"/>
        <w:rPr>
          <w:rFonts w:ascii="Arial Bold" w:hAnsi="Arial Bold"/>
          <w:b/>
          <w:bCs/>
          <w:color w:val="1E5E9F" w:themeColor="accent3" w:themeShade="BF"/>
          <w:w w:val="100"/>
          <w:sz w:val="30"/>
          <w:szCs w:val="30"/>
        </w:rPr>
      </w:pPr>
      <w:r>
        <w:rPr>
          <w:rFonts w:ascii="Arial Bold" w:hAnsi="Arial Bold"/>
          <w:b/>
          <w:bCs/>
          <w:color w:val="1E5E9F" w:themeColor="accent3" w:themeShade="BF"/>
          <w:w w:val="100"/>
          <w:sz w:val="30"/>
          <w:szCs w:val="30"/>
        </w:rPr>
        <w:t xml:space="preserve">2024 </w:t>
      </w:r>
      <w:r w:rsidR="0027458B">
        <w:rPr>
          <w:rFonts w:ascii="Arial Bold" w:hAnsi="Arial Bold"/>
          <w:b/>
          <w:bCs/>
          <w:color w:val="1E5E9F" w:themeColor="accent3" w:themeShade="BF"/>
          <w:w w:val="100"/>
          <w:sz w:val="30"/>
          <w:szCs w:val="30"/>
        </w:rPr>
        <w:t xml:space="preserve">CCO </w:t>
      </w:r>
      <w:r w:rsidR="007C7794">
        <w:rPr>
          <w:rFonts w:ascii="Arial Bold" w:hAnsi="Arial Bold"/>
          <w:b/>
          <w:bCs/>
          <w:color w:val="1E5E9F" w:themeColor="accent3" w:themeShade="BF"/>
          <w:w w:val="100"/>
          <w:sz w:val="30"/>
          <w:szCs w:val="30"/>
        </w:rPr>
        <w:t>Personal Injury Liens</w:t>
      </w:r>
      <w:r w:rsidR="21174958" w:rsidRPr="006E17F5">
        <w:rPr>
          <w:rFonts w:ascii="Arial Bold" w:hAnsi="Arial Bold"/>
          <w:b/>
          <w:bCs/>
          <w:color w:val="1E5E9F" w:themeColor="accent3" w:themeShade="BF"/>
          <w:w w:val="100"/>
          <w:sz w:val="30"/>
          <w:szCs w:val="30"/>
        </w:rPr>
        <w:t xml:space="preserve"> </w:t>
      </w:r>
      <w:r w:rsidR="59B31E1E" w:rsidRPr="006E17F5">
        <w:rPr>
          <w:rFonts w:ascii="Arial Bold" w:hAnsi="Arial Bold"/>
          <w:b/>
          <w:bCs/>
          <w:color w:val="1E5E9F" w:themeColor="accent3" w:themeShade="BF"/>
          <w:w w:val="100"/>
          <w:sz w:val="30"/>
          <w:szCs w:val="30"/>
        </w:rPr>
        <w:t xml:space="preserve">Policies </w:t>
      </w:r>
      <w:r w:rsidR="21174958" w:rsidRPr="006E17F5">
        <w:rPr>
          <w:rFonts w:ascii="Arial Bold" w:hAnsi="Arial Bold"/>
          <w:b/>
          <w:bCs/>
          <w:color w:val="1E5E9F" w:themeColor="accent3" w:themeShade="BF"/>
          <w:w w:val="100"/>
          <w:sz w:val="30"/>
          <w:szCs w:val="30"/>
        </w:rPr>
        <w:t>&amp; Procedure</w:t>
      </w:r>
      <w:r w:rsidR="59B31E1E" w:rsidRPr="006E17F5">
        <w:rPr>
          <w:rFonts w:ascii="Arial Bold" w:hAnsi="Arial Bold"/>
          <w:b/>
          <w:bCs/>
          <w:color w:val="1E5E9F" w:themeColor="accent3" w:themeShade="BF"/>
          <w:w w:val="100"/>
          <w:sz w:val="30"/>
          <w:szCs w:val="30"/>
        </w:rPr>
        <w:t>s</w:t>
      </w:r>
    </w:p>
    <w:p w14:paraId="0A2A918B" w14:textId="35BEEA36" w:rsidR="002A73F3" w:rsidRPr="00496691" w:rsidRDefault="007B70E2" w:rsidP="00F828CC">
      <w:pPr>
        <w:pStyle w:val="Address"/>
        <w:jc w:val="center"/>
        <w:rPr>
          <w:rFonts w:ascii="Arial Bold" w:hAnsi="Arial Bold"/>
          <w:b/>
          <w:bCs/>
          <w:color w:val="1E5E9F" w:themeColor="accent3" w:themeShade="BF"/>
          <w:w w:val="100"/>
          <w:sz w:val="30"/>
          <w:szCs w:val="30"/>
        </w:rPr>
      </w:pPr>
      <w:r>
        <w:rPr>
          <w:rFonts w:ascii="Arial Bold" w:hAnsi="Arial Bold"/>
          <w:b/>
          <w:bCs/>
          <w:color w:val="1E5E9F" w:themeColor="accent3" w:themeShade="BF"/>
          <w:w w:val="100"/>
          <w:sz w:val="30"/>
          <w:szCs w:val="30"/>
        </w:rPr>
        <w:t>Self-</w:t>
      </w:r>
      <w:r w:rsidR="21174958" w:rsidRPr="006E17F5">
        <w:rPr>
          <w:rFonts w:ascii="Arial Bold" w:hAnsi="Arial Bold"/>
          <w:b/>
          <w:bCs/>
          <w:color w:val="1E5E9F" w:themeColor="accent3" w:themeShade="BF"/>
          <w:w w:val="100"/>
          <w:sz w:val="30"/>
          <w:szCs w:val="30"/>
        </w:rPr>
        <w:t xml:space="preserve">Evaluation </w:t>
      </w:r>
      <w:r>
        <w:rPr>
          <w:rFonts w:ascii="Arial Bold" w:hAnsi="Arial Bold"/>
          <w:b/>
          <w:bCs/>
          <w:color w:val="1E5E9F" w:themeColor="accent3" w:themeShade="BF"/>
          <w:w w:val="100"/>
          <w:sz w:val="30"/>
          <w:szCs w:val="30"/>
        </w:rPr>
        <w:t>Checklist &amp; Att</w:t>
      </w:r>
      <w:r w:rsidR="0027458B">
        <w:rPr>
          <w:rFonts w:ascii="Arial Bold" w:hAnsi="Arial Bold"/>
          <w:b/>
          <w:bCs/>
          <w:color w:val="1E5E9F" w:themeColor="accent3" w:themeShade="BF"/>
          <w:w w:val="100"/>
          <w:sz w:val="30"/>
          <w:szCs w:val="30"/>
        </w:rPr>
        <w:t>estation</w:t>
      </w:r>
    </w:p>
    <w:bookmarkEnd w:id="0"/>
    <w:p w14:paraId="5A028B51" w14:textId="77777777" w:rsidR="007C4B26" w:rsidRPr="00496691" w:rsidRDefault="007C4B26" w:rsidP="006E209F">
      <w:pPr>
        <w:pStyle w:val="NoSpacing"/>
        <w:spacing w:line="360" w:lineRule="auto"/>
        <w:rPr>
          <w:rFonts w:ascii="Arial" w:hAnsi="Arial" w:cs="Arial"/>
        </w:rPr>
      </w:pPr>
    </w:p>
    <w:p w14:paraId="25A474D1" w14:textId="4648E004" w:rsidR="0027458B" w:rsidRPr="0027458B" w:rsidRDefault="0027458B" w:rsidP="00BE27B0">
      <w:pPr>
        <w:pStyle w:val="NoSpacing"/>
        <w:rPr>
          <w:rFonts w:ascii="Arial" w:hAnsi="Arial" w:cs="Arial"/>
        </w:rPr>
      </w:pPr>
      <w:r w:rsidRPr="00F828CC">
        <w:rPr>
          <w:rFonts w:ascii="Arial" w:hAnsi="Arial" w:cs="Arial"/>
          <w:b/>
          <w:bCs/>
          <w:i/>
          <w:iCs/>
        </w:rPr>
        <w:t>Background:</w:t>
      </w:r>
      <w:r w:rsidRPr="0027458B">
        <w:rPr>
          <w:rFonts w:ascii="Arial" w:hAnsi="Arial" w:cs="Arial"/>
        </w:rPr>
        <w:t xml:space="preserve"> The Coordinated Care Organization (CCO) must have written policies and procedures (P&amp;Ps) regarding Personal Injury Liens (PIL), as specified in Exh B, Pt 8, Sec 18, Para b of the </w:t>
      </w:r>
      <w:hyperlink r:id="rId9" w:anchor="page=142" w:history="1">
        <w:r w:rsidRPr="00F828CC">
          <w:rPr>
            <w:rStyle w:val="Hyperlink"/>
            <w:rFonts w:ascii="Arial" w:hAnsi="Arial" w:cs="Arial"/>
            <w:color w:val="0070C0"/>
          </w:rPr>
          <w:t>2024</w:t>
        </w:r>
      </w:hyperlink>
      <w:r w:rsidRPr="0027458B">
        <w:rPr>
          <w:rFonts w:ascii="Arial" w:hAnsi="Arial" w:cs="Arial"/>
        </w:rPr>
        <w:t xml:space="preserve"> CCO contract.</w:t>
      </w:r>
    </w:p>
    <w:p w14:paraId="4710B904" w14:textId="1E039C99" w:rsidR="0027458B" w:rsidRPr="0027458B" w:rsidRDefault="0027458B" w:rsidP="00BE27B0">
      <w:pPr>
        <w:pStyle w:val="NoSpacing"/>
        <w:rPr>
          <w:rFonts w:ascii="Arial" w:hAnsi="Arial" w:cs="Arial"/>
        </w:rPr>
      </w:pPr>
    </w:p>
    <w:p w14:paraId="3F42609B" w14:textId="6CBB8055" w:rsidR="0027458B" w:rsidRPr="00F828CC" w:rsidRDefault="0027458B" w:rsidP="0027458B">
      <w:pPr>
        <w:pStyle w:val="Default"/>
        <w:rPr>
          <w:rFonts w:ascii="Arial" w:hAnsi="Arial" w:cs="Arial"/>
          <w:sz w:val="22"/>
          <w:szCs w:val="22"/>
        </w:rPr>
      </w:pPr>
      <w:r w:rsidRPr="00F828CC">
        <w:rPr>
          <w:rFonts w:ascii="Arial" w:hAnsi="Arial" w:cs="Arial"/>
          <w:b/>
          <w:bCs/>
          <w:i/>
          <w:iCs/>
          <w:sz w:val="22"/>
          <w:szCs w:val="22"/>
        </w:rPr>
        <w:t xml:space="preserve">Instructions: </w:t>
      </w:r>
      <w:r w:rsidRPr="00F828CC">
        <w:rPr>
          <w:rFonts w:ascii="Arial" w:hAnsi="Arial" w:cs="Arial"/>
          <w:sz w:val="22"/>
          <w:szCs w:val="22"/>
        </w:rPr>
        <w:t xml:space="preserve">This </w:t>
      </w:r>
      <w:r w:rsidR="00E823C1">
        <w:rPr>
          <w:rFonts w:ascii="Arial" w:hAnsi="Arial" w:cs="Arial"/>
          <w:sz w:val="22"/>
          <w:szCs w:val="22"/>
        </w:rPr>
        <w:t>Word</w:t>
      </w:r>
      <w:r w:rsidRPr="00F828CC">
        <w:rPr>
          <w:rFonts w:ascii="Arial" w:hAnsi="Arial" w:cs="Arial"/>
          <w:sz w:val="22"/>
          <w:szCs w:val="22"/>
        </w:rPr>
        <w:t xml:space="preserve"> file contains the 2024 </w:t>
      </w:r>
      <w:r w:rsidR="00E823C1">
        <w:rPr>
          <w:rFonts w:ascii="Arial" w:hAnsi="Arial" w:cs="Arial"/>
          <w:sz w:val="22"/>
          <w:szCs w:val="22"/>
        </w:rPr>
        <w:t>PIL</w:t>
      </w:r>
      <w:r w:rsidRPr="00F828CC">
        <w:rPr>
          <w:rFonts w:ascii="Arial" w:hAnsi="Arial" w:cs="Arial"/>
          <w:sz w:val="22"/>
          <w:szCs w:val="22"/>
        </w:rPr>
        <w:t xml:space="preserve"> P&amp;Ps content requirements. The requirements are provided in the form of a self-evaluation checklist. The CCO should use the checklist to determine whether its </w:t>
      </w:r>
      <w:r w:rsidR="00E823C1">
        <w:rPr>
          <w:rFonts w:ascii="Arial" w:hAnsi="Arial" w:cs="Arial"/>
          <w:sz w:val="22"/>
          <w:szCs w:val="22"/>
        </w:rPr>
        <w:t>PIL</w:t>
      </w:r>
      <w:r w:rsidRPr="00F828CC">
        <w:rPr>
          <w:rFonts w:ascii="Arial" w:hAnsi="Arial" w:cs="Arial"/>
          <w:sz w:val="22"/>
          <w:szCs w:val="22"/>
        </w:rPr>
        <w:t xml:space="preserve"> P&amp;Ps meet the 2024 requirements and then resolve any deficiencies prior to submitting the annual Attestation as specified above.</w:t>
      </w:r>
    </w:p>
    <w:p w14:paraId="7080F797" w14:textId="77777777" w:rsidR="0027458B" w:rsidRPr="00F828CC" w:rsidRDefault="0027458B" w:rsidP="0027458B">
      <w:pPr>
        <w:pStyle w:val="Default"/>
        <w:rPr>
          <w:rFonts w:ascii="Arial" w:hAnsi="Arial" w:cs="Arial"/>
          <w:sz w:val="22"/>
          <w:szCs w:val="22"/>
        </w:rPr>
      </w:pPr>
    </w:p>
    <w:p w14:paraId="1EA76188" w14:textId="5441244B" w:rsidR="0027458B" w:rsidRPr="00F828CC" w:rsidRDefault="0027458B" w:rsidP="0027458B">
      <w:pPr>
        <w:pStyle w:val="Default"/>
        <w:rPr>
          <w:rFonts w:ascii="Arial" w:hAnsi="Arial" w:cs="Arial"/>
          <w:sz w:val="22"/>
          <w:szCs w:val="22"/>
        </w:rPr>
      </w:pPr>
      <w:r w:rsidRPr="00F828CC">
        <w:rPr>
          <w:rFonts w:ascii="Arial" w:hAnsi="Arial" w:cs="Arial"/>
          <w:sz w:val="22"/>
          <w:szCs w:val="22"/>
        </w:rPr>
        <w:t xml:space="preserve">The checklist is primarily for internal use by the CCO. However, in the event OHA requests to review the CCO’s </w:t>
      </w:r>
      <w:r w:rsidR="00E823C1">
        <w:rPr>
          <w:rFonts w:ascii="Arial" w:hAnsi="Arial" w:cs="Arial"/>
          <w:sz w:val="22"/>
          <w:szCs w:val="22"/>
        </w:rPr>
        <w:t xml:space="preserve">PIL </w:t>
      </w:r>
      <w:r w:rsidRPr="00F828CC">
        <w:rPr>
          <w:rFonts w:ascii="Arial" w:hAnsi="Arial" w:cs="Arial"/>
          <w:sz w:val="22"/>
          <w:szCs w:val="22"/>
        </w:rPr>
        <w:t>P&amp;Ps, the CCO will be required to submit the completed checklist along with its P&amp;Ps.</w:t>
      </w:r>
    </w:p>
    <w:p w14:paraId="165553AF" w14:textId="77777777" w:rsidR="0027458B" w:rsidRPr="00F828CC" w:rsidRDefault="0027458B" w:rsidP="0027458B">
      <w:pPr>
        <w:pStyle w:val="Default"/>
        <w:rPr>
          <w:rFonts w:ascii="Arial" w:hAnsi="Arial" w:cs="Arial"/>
          <w:sz w:val="22"/>
          <w:szCs w:val="22"/>
        </w:rPr>
      </w:pPr>
    </w:p>
    <w:p w14:paraId="627819AB" w14:textId="7618F317" w:rsidR="0027458B" w:rsidRPr="00F828CC" w:rsidRDefault="0027458B" w:rsidP="0027458B">
      <w:pPr>
        <w:spacing w:after="120"/>
        <w:rPr>
          <w:rFonts w:ascii="Arial" w:hAnsi="Arial" w:cs="Arial"/>
        </w:rPr>
      </w:pPr>
      <w:r w:rsidRPr="00F828CC">
        <w:rPr>
          <w:rFonts w:ascii="Arial" w:hAnsi="Arial" w:cs="Arial"/>
          <w:b/>
          <w:bCs/>
          <w:i/>
          <w:iCs/>
        </w:rPr>
        <w:t>Due Date:</w:t>
      </w:r>
      <w:r w:rsidRPr="00F828CC">
        <w:rPr>
          <w:rFonts w:ascii="Arial" w:hAnsi="Arial" w:cs="Arial"/>
          <w:b/>
          <w:bCs/>
        </w:rPr>
        <w:t xml:space="preserve"> </w:t>
      </w:r>
      <w:r w:rsidRPr="00F828CC">
        <w:rPr>
          <w:rFonts w:ascii="Arial" w:hAnsi="Arial" w:cs="Arial"/>
        </w:rPr>
        <w:t xml:space="preserve">The Attestation for the 2024 </w:t>
      </w:r>
      <w:r w:rsidR="00E823C1">
        <w:rPr>
          <w:rFonts w:ascii="Arial" w:hAnsi="Arial" w:cs="Arial"/>
        </w:rPr>
        <w:t>PIL</w:t>
      </w:r>
      <w:r w:rsidRPr="00F828CC">
        <w:rPr>
          <w:rFonts w:ascii="Arial" w:hAnsi="Arial" w:cs="Arial"/>
        </w:rPr>
        <w:t xml:space="preserve"> P&amp;Ps is due to OHA </w:t>
      </w:r>
      <w:r w:rsidRPr="00F828CC">
        <w:rPr>
          <w:rFonts w:ascii="Arial" w:hAnsi="Arial" w:cs="Arial"/>
          <w:b/>
          <w:bCs/>
        </w:rPr>
        <w:t>by January 31, 2024,</w:t>
      </w:r>
      <w:r w:rsidRPr="00F828CC">
        <w:rPr>
          <w:rFonts w:ascii="Arial" w:hAnsi="Arial" w:cs="Arial"/>
        </w:rPr>
        <w:t xml:space="preserve"> via the Contract Deliverables portal located at </w:t>
      </w:r>
      <w:hyperlink r:id="rId10" w:history="1">
        <w:r w:rsidRPr="00F828CC">
          <w:rPr>
            <w:rStyle w:val="Hyperlink"/>
            <w:rFonts w:ascii="Arial" w:hAnsi="Arial" w:cs="Arial"/>
            <w:color w:val="0070C0"/>
          </w:rPr>
          <w:t>https://oha-cco.powerappsportals.us/</w:t>
        </w:r>
      </w:hyperlink>
      <w:r w:rsidRPr="00F828CC">
        <w:rPr>
          <w:rFonts w:ascii="Arial" w:hAnsi="Arial" w:cs="Arial"/>
        </w:rPr>
        <w:t>. (The submitter must have an OHA account to access the portal.)</w:t>
      </w:r>
    </w:p>
    <w:p w14:paraId="347D9EB2" w14:textId="77777777" w:rsidR="0027458B" w:rsidRPr="00F828CC" w:rsidRDefault="0027458B" w:rsidP="0027458B">
      <w:pPr>
        <w:pStyle w:val="ListParagraph"/>
        <w:numPr>
          <w:ilvl w:val="1"/>
          <w:numId w:val="35"/>
        </w:numPr>
        <w:tabs>
          <w:tab w:val="clear" w:pos="7740"/>
        </w:tabs>
        <w:spacing w:after="0"/>
        <w:rPr>
          <w:sz w:val="22"/>
          <w:szCs w:val="22"/>
        </w:rPr>
      </w:pPr>
      <w:r w:rsidRPr="00F828CC">
        <w:rPr>
          <w:sz w:val="22"/>
          <w:szCs w:val="22"/>
        </w:rPr>
        <w:t xml:space="preserve">The Attestation form is located on the CCO Contract Forms webpage at </w:t>
      </w:r>
      <w:hyperlink r:id="rId11" w:history="1">
        <w:r w:rsidRPr="00F828CC">
          <w:rPr>
            <w:rStyle w:val="Hyperlink"/>
            <w:color w:val="0070C0"/>
            <w:sz w:val="22"/>
            <w:szCs w:val="22"/>
          </w:rPr>
          <w:t>https://www.oregon.gov/oha/HSD/OHP/Pages/CCO-Contract-Forms.aspx</w:t>
        </w:r>
      </w:hyperlink>
      <w:r w:rsidRPr="00F828CC">
        <w:rPr>
          <w:sz w:val="22"/>
          <w:szCs w:val="22"/>
        </w:rPr>
        <w:t xml:space="preserve">. </w:t>
      </w:r>
    </w:p>
    <w:p w14:paraId="523DE9E1" w14:textId="77777777" w:rsidR="0027458B" w:rsidRPr="00F828CC" w:rsidRDefault="0027458B" w:rsidP="0027458B">
      <w:pPr>
        <w:pStyle w:val="ListParagraph"/>
        <w:numPr>
          <w:ilvl w:val="1"/>
          <w:numId w:val="35"/>
        </w:numPr>
        <w:tabs>
          <w:tab w:val="clear" w:pos="7740"/>
        </w:tabs>
        <w:spacing w:after="0"/>
        <w:rPr>
          <w:sz w:val="22"/>
          <w:szCs w:val="22"/>
        </w:rPr>
      </w:pPr>
      <w:r w:rsidRPr="00F828CC">
        <w:rPr>
          <w:sz w:val="22"/>
          <w:szCs w:val="22"/>
        </w:rPr>
        <w:t xml:space="preserve">Submit only the signed Attestation by the due date. Do </w:t>
      </w:r>
      <w:r w:rsidRPr="00F828CC">
        <w:rPr>
          <w:sz w:val="22"/>
          <w:szCs w:val="22"/>
          <w:u w:val="single"/>
        </w:rPr>
        <w:t>not</w:t>
      </w:r>
      <w:r w:rsidRPr="00F828CC">
        <w:rPr>
          <w:sz w:val="22"/>
          <w:szCs w:val="22"/>
        </w:rPr>
        <w:t xml:space="preserve"> submit the checklist.</w:t>
      </w:r>
    </w:p>
    <w:p w14:paraId="2C424710" w14:textId="77777777" w:rsidR="0027458B" w:rsidRPr="00F828CC" w:rsidRDefault="0027458B" w:rsidP="0027458B">
      <w:pPr>
        <w:pStyle w:val="ListParagraph"/>
        <w:numPr>
          <w:ilvl w:val="1"/>
          <w:numId w:val="35"/>
        </w:numPr>
        <w:tabs>
          <w:tab w:val="clear" w:pos="7740"/>
        </w:tabs>
        <w:spacing w:after="0"/>
        <w:rPr>
          <w:sz w:val="22"/>
          <w:szCs w:val="22"/>
        </w:rPr>
      </w:pPr>
      <w:r w:rsidRPr="00F828CC">
        <w:rPr>
          <w:sz w:val="22"/>
          <w:szCs w:val="22"/>
        </w:rPr>
        <w:t>Make sure the Attestation is signed by the CCO’s Chief Executive Officer, Chief Financial Officer, or employee with delegated authority as designated by the “Delegation Authorization and Signature Form.”</w:t>
      </w:r>
    </w:p>
    <w:p w14:paraId="05AD00FD" w14:textId="77777777" w:rsidR="0027458B" w:rsidRPr="00F828CC" w:rsidRDefault="0027458B" w:rsidP="0027458B">
      <w:pPr>
        <w:pStyle w:val="Default"/>
        <w:rPr>
          <w:rFonts w:ascii="Arial" w:hAnsi="Arial" w:cs="Arial"/>
          <w:sz w:val="22"/>
          <w:szCs w:val="22"/>
        </w:rPr>
      </w:pPr>
    </w:p>
    <w:p w14:paraId="7A1F2993" w14:textId="354988E5" w:rsidR="00590135" w:rsidRPr="0027458B" w:rsidRDefault="00590135" w:rsidP="00590135">
      <w:pPr>
        <w:pStyle w:val="NoSpacing"/>
        <w:rPr>
          <w:rFonts w:ascii="Arial" w:hAnsi="Arial" w:cs="Arial"/>
        </w:rPr>
      </w:pPr>
      <w:r w:rsidRPr="00166267">
        <w:rPr>
          <w:rFonts w:ascii="Arial" w:hAnsi="Arial" w:cs="Arial"/>
          <w:b/>
          <w:bCs/>
          <w:i/>
          <w:iCs/>
        </w:rPr>
        <w:t>Guidance:</w:t>
      </w:r>
      <w:r>
        <w:rPr>
          <w:rFonts w:ascii="Arial" w:hAnsi="Arial" w:cs="Arial"/>
        </w:rPr>
        <w:t xml:space="preserve"> There are no </w:t>
      </w:r>
      <w:r w:rsidR="006B7179">
        <w:rPr>
          <w:rFonts w:ascii="Arial" w:hAnsi="Arial" w:cs="Arial"/>
        </w:rPr>
        <w:t>substantive differences in</w:t>
      </w:r>
      <w:r>
        <w:rPr>
          <w:rFonts w:ascii="Arial" w:hAnsi="Arial" w:cs="Arial"/>
        </w:rPr>
        <w:t xml:space="preserve"> the content requirements for </w:t>
      </w:r>
      <w:r w:rsidR="006B7179">
        <w:rPr>
          <w:rFonts w:ascii="Arial" w:hAnsi="Arial" w:cs="Arial"/>
        </w:rPr>
        <w:t xml:space="preserve">the 2024 </w:t>
      </w:r>
      <w:r>
        <w:rPr>
          <w:rFonts w:ascii="Arial" w:hAnsi="Arial" w:cs="Arial"/>
        </w:rPr>
        <w:t xml:space="preserve">PIL P&amp;Ps </w:t>
      </w:r>
      <w:r w:rsidR="006B7179">
        <w:rPr>
          <w:rFonts w:ascii="Arial" w:hAnsi="Arial" w:cs="Arial"/>
        </w:rPr>
        <w:t xml:space="preserve">as compared to </w:t>
      </w:r>
      <w:r>
        <w:rPr>
          <w:rFonts w:ascii="Arial" w:hAnsi="Arial" w:cs="Arial"/>
        </w:rPr>
        <w:t xml:space="preserve">2023; refer to the </w:t>
      </w:r>
      <w:hyperlink r:id="rId12" w:anchor="page=158" w:history="1">
        <w:r w:rsidRPr="00166267">
          <w:rPr>
            <w:rStyle w:val="Hyperlink"/>
            <w:rFonts w:ascii="Arial" w:hAnsi="Arial" w:cs="Arial"/>
            <w:color w:val="0070C0"/>
          </w:rPr>
          <w:t>redline</w:t>
        </w:r>
      </w:hyperlink>
      <w:r>
        <w:rPr>
          <w:rFonts w:ascii="Arial" w:hAnsi="Arial" w:cs="Arial"/>
        </w:rPr>
        <w:t xml:space="preserve"> comparison of the </w:t>
      </w:r>
      <w:r w:rsidR="006B7179">
        <w:rPr>
          <w:rFonts w:ascii="Arial" w:hAnsi="Arial" w:cs="Arial"/>
        </w:rPr>
        <w:t xml:space="preserve">2023 and 2024 </w:t>
      </w:r>
      <w:r>
        <w:rPr>
          <w:rFonts w:ascii="Arial" w:hAnsi="Arial" w:cs="Arial"/>
        </w:rPr>
        <w:t xml:space="preserve">contracts. As a result, the </w:t>
      </w:r>
      <w:r w:rsidR="006B7179">
        <w:rPr>
          <w:rFonts w:ascii="Arial" w:hAnsi="Arial" w:cs="Arial"/>
        </w:rPr>
        <w:t xml:space="preserve">CCO guidance for the </w:t>
      </w:r>
      <w:hyperlink r:id="rId13" w:history="1">
        <w:r w:rsidR="006B7179" w:rsidRPr="00F828CC">
          <w:rPr>
            <w:rStyle w:val="Hyperlink"/>
            <w:rFonts w:ascii="Arial" w:hAnsi="Arial" w:cs="Arial"/>
            <w:color w:val="0070C0"/>
          </w:rPr>
          <w:t>2023</w:t>
        </w:r>
      </w:hyperlink>
      <w:r w:rsidR="006B7179">
        <w:rPr>
          <w:rFonts w:ascii="Arial" w:hAnsi="Arial" w:cs="Arial"/>
        </w:rPr>
        <w:t xml:space="preserve"> P&amp;Ps also applies to 2024.</w:t>
      </w:r>
    </w:p>
    <w:p w14:paraId="6F3F7D36" w14:textId="77777777" w:rsidR="00590135" w:rsidRDefault="00590135" w:rsidP="0027458B">
      <w:pPr>
        <w:pStyle w:val="NoSpacing"/>
        <w:rPr>
          <w:rFonts w:ascii="Arial" w:hAnsi="Arial" w:cs="Arial"/>
          <w:b/>
          <w:bCs/>
          <w:i/>
          <w:iCs/>
        </w:rPr>
      </w:pPr>
    </w:p>
    <w:p w14:paraId="0B9B5514" w14:textId="039E4E71" w:rsidR="0027458B" w:rsidRDefault="0027458B" w:rsidP="0027458B">
      <w:pPr>
        <w:pStyle w:val="NoSpacing"/>
        <w:rPr>
          <w:rFonts w:ascii="Arial" w:hAnsi="Arial" w:cs="Arial"/>
        </w:rPr>
      </w:pPr>
      <w:r w:rsidRPr="00F828CC">
        <w:rPr>
          <w:rFonts w:ascii="Arial" w:hAnsi="Arial" w:cs="Arial"/>
          <w:b/>
          <w:bCs/>
          <w:i/>
          <w:iCs/>
        </w:rPr>
        <w:t>Technical Assistance:</w:t>
      </w:r>
      <w:r w:rsidRPr="00F828CC">
        <w:rPr>
          <w:rFonts w:ascii="Arial" w:hAnsi="Arial" w:cs="Arial"/>
          <w:b/>
          <w:bCs/>
        </w:rPr>
        <w:t xml:space="preserve"> </w:t>
      </w:r>
      <w:r w:rsidR="00E823C1">
        <w:rPr>
          <w:rFonts w:ascii="Arial" w:hAnsi="Arial" w:cs="Arial"/>
        </w:rPr>
        <w:t>The PIL Unit</w:t>
      </w:r>
      <w:r w:rsidRPr="00F828CC">
        <w:rPr>
          <w:rFonts w:ascii="Arial" w:hAnsi="Arial" w:cs="Arial"/>
        </w:rPr>
        <w:t xml:space="preserve"> is available for technical assistance prior to submission of the Attestation. The CCO should contact </w:t>
      </w:r>
      <w:r w:rsidR="00E823C1">
        <w:rPr>
          <w:rFonts w:ascii="Arial" w:hAnsi="Arial" w:cs="Arial"/>
        </w:rPr>
        <w:t xml:space="preserve">the PIL Unit </w:t>
      </w:r>
      <w:r w:rsidRPr="00F828CC">
        <w:rPr>
          <w:rFonts w:ascii="Arial" w:hAnsi="Arial" w:cs="Arial"/>
        </w:rPr>
        <w:t xml:space="preserve">for assistance as early as possible. The due date for the Attestation will </w:t>
      </w:r>
      <w:r w:rsidRPr="00F828CC">
        <w:rPr>
          <w:rFonts w:ascii="Arial" w:hAnsi="Arial" w:cs="Arial"/>
          <w:u w:val="single"/>
        </w:rPr>
        <w:t>not</w:t>
      </w:r>
      <w:r w:rsidRPr="00F828CC">
        <w:rPr>
          <w:rFonts w:ascii="Arial" w:hAnsi="Arial" w:cs="Arial"/>
        </w:rPr>
        <w:t xml:space="preserve"> be extended because the CCO is awaiting assistance. Please email all technical assistance requests to</w:t>
      </w:r>
      <w:r w:rsidR="009864A8">
        <w:rPr>
          <w:rFonts w:ascii="Arial" w:hAnsi="Arial" w:cs="Arial"/>
        </w:rPr>
        <w:t xml:space="preserve"> Jake Jensen, </w:t>
      </w:r>
      <w:r w:rsidR="009864A8" w:rsidRPr="009864A8">
        <w:rPr>
          <w:rFonts w:ascii="Arial" w:hAnsi="Arial" w:cs="Arial"/>
        </w:rPr>
        <w:t>Manager – Personal Injury Liens Unit</w:t>
      </w:r>
      <w:r w:rsidR="009864A8">
        <w:rPr>
          <w:rFonts w:ascii="Arial" w:hAnsi="Arial" w:cs="Arial"/>
        </w:rPr>
        <w:t xml:space="preserve">, at </w:t>
      </w:r>
      <w:r w:rsidR="00E823C1">
        <w:rPr>
          <w:rFonts w:ascii="Arial" w:hAnsi="Arial" w:cs="Arial"/>
        </w:rPr>
        <w:t xml:space="preserve"> </w:t>
      </w:r>
      <w:hyperlink r:id="rId14" w:history="1">
        <w:r w:rsidR="009864A8" w:rsidRPr="00F828CC">
          <w:rPr>
            <w:rStyle w:val="Hyperlink"/>
            <w:rFonts w:ascii="Arial" w:hAnsi="Arial" w:cs="Arial"/>
            <w:color w:val="0070C0"/>
          </w:rPr>
          <w:t>Jake.M.Jensen@odhsoha.oregon.gov</w:t>
        </w:r>
      </w:hyperlink>
      <w:r w:rsidRPr="00F828CC">
        <w:rPr>
          <w:rFonts w:ascii="Arial" w:hAnsi="Arial" w:cs="Arial"/>
        </w:rPr>
        <w:t>.</w:t>
      </w:r>
    </w:p>
    <w:p w14:paraId="310AB3C2" w14:textId="78C3DFEA" w:rsidR="0027458B" w:rsidRPr="00665DDC" w:rsidRDefault="0027458B" w:rsidP="00F828CC">
      <w:pPr>
        <w:pStyle w:val="NoSpacing"/>
        <w:rPr>
          <w:rFonts w:ascii="Arial" w:hAnsi="Arial" w:cs="Arial"/>
        </w:rPr>
      </w:pPr>
    </w:p>
    <w:tbl>
      <w:tblPr>
        <w:tblStyle w:val="TableGrid"/>
        <w:tblW w:w="10080" w:type="dxa"/>
        <w:tblCellMar>
          <w:left w:w="115" w:type="dxa"/>
          <w:right w:w="115" w:type="dxa"/>
        </w:tblCellMar>
        <w:tblLook w:val="04A0" w:firstRow="1" w:lastRow="0" w:firstColumn="1" w:lastColumn="0" w:noHBand="0" w:noVBand="1"/>
      </w:tblPr>
      <w:tblGrid>
        <w:gridCol w:w="5125"/>
        <w:gridCol w:w="2477"/>
        <w:gridCol w:w="2478"/>
      </w:tblGrid>
      <w:tr w:rsidR="006E209F" w:rsidRPr="006E209F" w14:paraId="1A95F7B3" w14:textId="77777777" w:rsidTr="00F828CC">
        <w:trPr>
          <w:trHeight w:val="432"/>
          <w:tblHeader/>
        </w:trPr>
        <w:tc>
          <w:tcPr>
            <w:tcW w:w="5125" w:type="dxa"/>
            <w:tcBorders>
              <w:bottom w:val="single" w:sz="4" w:space="0" w:color="auto"/>
            </w:tcBorders>
            <w:shd w:val="clear" w:color="auto" w:fill="1E5E9F" w:themeFill="accent3" w:themeFillShade="BF"/>
            <w:vAlign w:val="center"/>
          </w:tcPr>
          <w:p w14:paraId="407A777E" w14:textId="5A65948A" w:rsidR="007C4071" w:rsidRPr="006E209F" w:rsidRDefault="00663830" w:rsidP="00CB6218">
            <w:pPr>
              <w:pStyle w:val="NoSpacing"/>
              <w:jc w:val="center"/>
              <w:rPr>
                <w:rFonts w:ascii="Arial" w:hAnsi="Arial" w:cs="Arial"/>
                <w:b/>
                <w:bCs/>
                <w:i/>
                <w:iCs/>
                <w:color w:val="FFFFFF" w:themeColor="background1"/>
              </w:rPr>
            </w:pPr>
            <w:r>
              <w:rPr>
                <w:rFonts w:ascii="Arial" w:hAnsi="Arial" w:cs="Arial"/>
                <w:b/>
                <w:bCs/>
                <w:i/>
                <w:iCs/>
                <w:color w:val="FFFFFF" w:themeColor="background1"/>
              </w:rPr>
              <w:t>Required Content</w:t>
            </w:r>
          </w:p>
        </w:tc>
        <w:tc>
          <w:tcPr>
            <w:tcW w:w="2477" w:type="dxa"/>
            <w:shd w:val="clear" w:color="auto" w:fill="1E5E9F" w:themeFill="accent3" w:themeFillShade="BF"/>
            <w:vAlign w:val="center"/>
          </w:tcPr>
          <w:p w14:paraId="3546FFD4" w14:textId="139CFB69" w:rsidR="007C4071" w:rsidRPr="006E209F" w:rsidRDefault="007C4071" w:rsidP="00CB6218">
            <w:pPr>
              <w:pStyle w:val="NoSpacing"/>
              <w:jc w:val="center"/>
              <w:rPr>
                <w:rFonts w:ascii="Arial" w:hAnsi="Arial" w:cs="Arial"/>
                <w:b/>
                <w:bCs/>
                <w:i/>
                <w:iCs/>
                <w:color w:val="FFFFFF" w:themeColor="background1"/>
              </w:rPr>
            </w:pPr>
            <w:r w:rsidRPr="006E209F">
              <w:rPr>
                <w:rFonts w:ascii="Arial" w:hAnsi="Arial" w:cs="Arial"/>
                <w:b/>
                <w:bCs/>
                <w:i/>
                <w:iCs/>
                <w:color w:val="FFFFFF" w:themeColor="background1"/>
              </w:rPr>
              <w:t>Reference</w:t>
            </w:r>
          </w:p>
        </w:tc>
        <w:tc>
          <w:tcPr>
            <w:tcW w:w="2478" w:type="dxa"/>
            <w:tcBorders>
              <w:bottom w:val="single" w:sz="4" w:space="0" w:color="auto"/>
            </w:tcBorders>
            <w:shd w:val="clear" w:color="auto" w:fill="1E5E9F" w:themeFill="accent3" w:themeFillShade="BF"/>
            <w:vAlign w:val="center"/>
          </w:tcPr>
          <w:p w14:paraId="7FD146CC" w14:textId="6AE18E98" w:rsidR="007C4071" w:rsidRPr="006E209F" w:rsidRDefault="00663830" w:rsidP="00CB6218">
            <w:pPr>
              <w:pStyle w:val="NoSpacing"/>
              <w:jc w:val="center"/>
              <w:rPr>
                <w:rFonts w:ascii="Arial" w:hAnsi="Arial" w:cs="Arial"/>
                <w:b/>
                <w:bCs/>
                <w:i/>
                <w:iCs/>
                <w:color w:val="FFFFFF" w:themeColor="background1"/>
              </w:rPr>
            </w:pPr>
            <w:r>
              <w:rPr>
                <w:rFonts w:ascii="Arial" w:hAnsi="Arial" w:cs="Arial"/>
                <w:b/>
                <w:bCs/>
                <w:i/>
                <w:iCs/>
                <w:color w:val="FFFFFF" w:themeColor="background1"/>
              </w:rPr>
              <w:t>For CCO Use</w:t>
            </w:r>
            <w:r>
              <w:rPr>
                <w:rStyle w:val="FootnoteReference"/>
                <w:rFonts w:ascii="Arial" w:hAnsi="Arial" w:cs="Arial"/>
                <w:b/>
                <w:bCs/>
                <w:i/>
                <w:iCs/>
                <w:color w:val="FFFFFF" w:themeColor="background1"/>
              </w:rPr>
              <w:footnoteReference w:id="2"/>
            </w:r>
          </w:p>
        </w:tc>
      </w:tr>
      <w:tr w:rsidR="00496691" w:rsidRPr="00496691" w14:paraId="44F5ECD0" w14:textId="77777777" w:rsidTr="00F828CC">
        <w:trPr>
          <w:trHeight w:val="432"/>
        </w:trPr>
        <w:tc>
          <w:tcPr>
            <w:tcW w:w="5125" w:type="dxa"/>
          </w:tcPr>
          <w:p w14:paraId="3873A47C" w14:textId="29E41336" w:rsidR="007C4071" w:rsidRPr="00496691" w:rsidRDefault="00E062AB" w:rsidP="00666965">
            <w:pPr>
              <w:pStyle w:val="NoSpacing"/>
              <w:numPr>
                <w:ilvl w:val="0"/>
                <w:numId w:val="36"/>
              </w:numPr>
              <w:rPr>
                <w:rFonts w:ascii="Arial" w:hAnsi="Arial" w:cs="Arial"/>
              </w:rPr>
            </w:pPr>
            <w:r w:rsidRPr="006E17F5">
              <w:rPr>
                <w:rFonts w:ascii="Arial" w:hAnsi="Arial" w:cs="Arial"/>
              </w:rPr>
              <w:t xml:space="preserve">The P&amp;Ps related to </w:t>
            </w:r>
            <w:r w:rsidR="009474E6">
              <w:rPr>
                <w:rFonts w:ascii="Arial" w:hAnsi="Arial" w:cs="Arial"/>
              </w:rPr>
              <w:t>P</w:t>
            </w:r>
            <w:r w:rsidR="009474E6" w:rsidRPr="006E17F5">
              <w:rPr>
                <w:rFonts w:ascii="Arial" w:hAnsi="Arial" w:cs="Arial"/>
              </w:rPr>
              <w:t xml:space="preserve">ersonal </w:t>
            </w:r>
            <w:r w:rsidR="009474E6">
              <w:rPr>
                <w:rFonts w:ascii="Arial" w:hAnsi="Arial" w:cs="Arial"/>
              </w:rPr>
              <w:t>I</w:t>
            </w:r>
            <w:r w:rsidR="009474E6" w:rsidRPr="006E17F5">
              <w:rPr>
                <w:rFonts w:ascii="Arial" w:hAnsi="Arial" w:cs="Arial"/>
              </w:rPr>
              <w:t xml:space="preserve">njury </w:t>
            </w:r>
            <w:r w:rsidRPr="006E17F5">
              <w:rPr>
                <w:rFonts w:ascii="Arial" w:hAnsi="Arial" w:cs="Arial"/>
              </w:rPr>
              <w:t>Liens</w:t>
            </w:r>
            <w:r w:rsidR="00F828CC">
              <w:rPr>
                <w:rFonts w:ascii="Arial" w:hAnsi="Arial" w:cs="Arial"/>
              </w:rPr>
              <w:t xml:space="preserve"> </w:t>
            </w:r>
            <w:r w:rsidRPr="006E17F5">
              <w:rPr>
                <w:rFonts w:ascii="Arial" w:hAnsi="Arial" w:cs="Arial"/>
              </w:rPr>
              <w:t>comply with ORS 416.510 through 416.610 and OAR 461-195-0301 through 461-195-0350.</w:t>
            </w:r>
          </w:p>
        </w:tc>
        <w:tc>
          <w:tcPr>
            <w:tcW w:w="2477" w:type="dxa"/>
          </w:tcPr>
          <w:p w14:paraId="4779F1F4" w14:textId="0A557133" w:rsidR="007C4071" w:rsidRPr="00496691" w:rsidRDefault="00E062AB" w:rsidP="00BE27B0">
            <w:pPr>
              <w:pStyle w:val="NoSpacing"/>
              <w:rPr>
                <w:rFonts w:ascii="Arial" w:hAnsi="Arial" w:cs="Arial"/>
              </w:rPr>
            </w:pPr>
            <w:r w:rsidRPr="00496691">
              <w:rPr>
                <w:rFonts w:ascii="Arial" w:hAnsi="Arial" w:cs="Arial"/>
              </w:rPr>
              <w:t>Exh B, Pt 8, Sec 1</w:t>
            </w:r>
            <w:r w:rsidR="00CB26A3">
              <w:rPr>
                <w:rFonts w:ascii="Arial" w:hAnsi="Arial" w:cs="Arial"/>
              </w:rPr>
              <w:t>8</w:t>
            </w:r>
            <w:r w:rsidRPr="00496691">
              <w:rPr>
                <w:rFonts w:ascii="Arial" w:hAnsi="Arial" w:cs="Arial"/>
              </w:rPr>
              <w:t xml:space="preserve">, Para </w:t>
            </w:r>
            <w:proofErr w:type="gramStart"/>
            <w:r w:rsidR="00CB26A3">
              <w:rPr>
                <w:rFonts w:ascii="Arial" w:hAnsi="Arial" w:cs="Arial"/>
              </w:rPr>
              <w:t>b</w:t>
            </w:r>
            <w:r w:rsidRPr="00496691">
              <w:rPr>
                <w:rFonts w:ascii="Arial" w:hAnsi="Arial" w:cs="Arial"/>
              </w:rPr>
              <w:t>(</w:t>
            </w:r>
            <w:proofErr w:type="gramEnd"/>
            <w:r w:rsidR="00CB26A3">
              <w:rPr>
                <w:rFonts w:ascii="Arial" w:hAnsi="Arial" w:cs="Arial"/>
              </w:rPr>
              <w:t>1</w:t>
            </w:r>
            <w:r w:rsidRPr="00496691">
              <w:rPr>
                <w:rFonts w:ascii="Arial" w:hAnsi="Arial" w:cs="Arial"/>
              </w:rPr>
              <w:t>)</w:t>
            </w:r>
          </w:p>
        </w:tc>
        <w:tc>
          <w:tcPr>
            <w:tcW w:w="2478" w:type="dxa"/>
          </w:tcPr>
          <w:p w14:paraId="2C43ED5E" w14:textId="255797EA" w:rsidR="007C4071" w:rsidRPr="00496691" w:rsidRDefault="007C4071" w:rsidP="00F828CC">
            <w:pPr>
              <w:pStyle w:val="NoSpacing"/>
              <w:rPr>
                <w:rFonts w:ascii="Arial" w:hAnsi="Arial" w:cs="Arial"/>
              </w:rPr>
            </w:pPr>
          </w:p>
        </w:tc>
      </w:tr>
      <w:tr w:rsidR="00E062AB" w:rsidRPr="00496691" w14:paraId="0C4FFBE2" w14:textId="77777777" w:rsidTr="00F828CC">
        <w:trPr>
          <w:trHeight w:val="432"/>
        </w:trPr>
        <w:tc>
          <w:tcPr>
            <w:tcW w:w="5125" w:type="dxa"/>
          </w:tcPr>
          <w:p w14:paraId="48C514AD" w14:textId="4A299E52" w:rsidR="00E062AB" w:rsidRPr="00496691" w:rsidRDefault="00E062AB" w:rsidP="00666965">
            <w:pPr>
              <w:pStyle w:val="NoSpacing"/>
              <w:numPr>
                <w:ilvl w:val="0"/>
                <w:numId w:val="36"/>
              </w:numPr>
              <w:rPr>
                <w:rFonts w:ascii="Arial" w:hAnsi="Arial" w:cs="Arial"/>
              </w:rPr>
            </w:pPr>
            <w:r w:rsidRPr="006E17F5">
              <w:rPr>
                <w:rFonts w:ascii="Arial" w:hAnsi="Arial" w:cs="Arial"/>
              </w:rPr>
              <w:t>The P&amp;Ps outline the process for requesting lien assignments from PIL.</w:t>
            </w:r>
            <w:r w:rsidRPr="00496691">
              <w:rPr>
                <w:rFonts w:ascii="Arial" w:hAnsi="Arial" w:cs="Arial"/>
                <w:shd w:val="clear" w:color="auto" w:fill="E6E6E6"/>
              </w:rPr>
              <w:t xml:space="preserve"> </w:t>
            </w:r>
          </w:p>
        </w:tc>
        <w:tc>
          <w:tcPr>
            <w:tcW w:w="2477" w:type="dxa"/>
          </w:tcPr>
          <w:p w14:paraId="4BB6F9AD" w14:textId="2EB1248D" w:rsidR="00E062AB" w:rsidRPr="00496691" w:rsidRDefault="00E062AB" w:rsidP="00E062AB">
            <w:pPr>
              <w:pStyle w:val="NoSpacing"/>
              <w:rPr>
                <w:rFonts w:ascii="Arial" w:hAnsi="Arial" w:cs="Arial"/>
              </w:rPr>
            </w:pPr>
            <w:r w:rsidRPr="00496691">
              <w:rPr>
                <w:rFonts w:ascii="Arial" w:hAnsi="Arial" w:cs="Arial"/>
              </w:rPr>
              <w:t xml:space="preserve">Exh B, </w:t>
            </w:r>
            <w:r w:rsidRPr="006E17F5">
              <w:rPr>
                <w:rFonts w:ascii="Arial" w:hAnsi="Arial" w:cs="Arial"/>
              </w:rPr>
              <w:t>Pt 8, Sec 1</w:t>
            </w:r>
            <w:r w:rsidR="00CB26A3">
              <w:rPr>
                <w:rFonts w:ascii="Arial" w:hAnsi="Arial" w:cs="Arial"/>
              </w:rPr>
              <w:t>8</w:t>
            </w:r>
            <w:r w:rsidRPr="006E17F5">
              <w:rPr>
                <w:rFonts w:ascii="Arial" w:hAnsi="Arial" w:cs="Arial"/>
              </w:rPr>
              <w:t xml:space="preserve">, Para </w:t>
            </w:r>
            <w:r w:rsidR="00CB26A3">
              <w:rPr>
                <w:rFonts w:ascii="Arial" w:hAnsi="Arial" w:cs="Arial"/>
              </w:rPr>
              <w:t>i</w:t>
            </w:r>
            <w:r w:rsidRPr="006E17F5">
              <w:rPr>
                <w:rFonts w:ascii="Arial" w:hAnsi="Arial" w:cs="Arial"/>
              </w:rPr>
              <w:t xml:space="preserve">; ORS </w:t>
            </w:r>
            <w:r w:rsidRPr="006E17F5">
              <w:rPr>
                <w:rFonts w:ascii="Arial" w:hAnsi="Arial" w:cs="Arial"/>
              </w:rPr>
              <w:lastRenderedPageBreak/>
              <w:t>416.540(3); OAR 461-195-0321(1-10)</w:t>
            </w:r>
          </w:p>
        </w:tc>
        <w:tc>
          <w:tcPr>
            <w:tcW w:w="2478" w:type="dxa"/>
          </w:tcPr>
          <w:p w14:paraId="459550F7" w14:textId="2C6BAD92" w:rsidR="00E062AB" w:rsidRPr="00496691" w:rsidRDefault="00E062AB" w:rsidP="003458CC">
            <w:pPr>
              <w:pStyle w:val="NoSpacing"/>
              <w:rPr>
                <w:rFonts w:ascii="Arial" w:hAnsi="Arial" w:cs="Arial"/>
              </w:rPr>
            </w:pPr>
          </w:p>
        </w:tc>
      </w:tr>
      <w:tr w:rsidR="00E062AB" w:rsidRPr="00496691" w14:paraId="3A619D75" w14:textId="77777777" w:rsidTr="00F828CC">
        <w:trPr>
          <w:trHeight w:val="432"/>
        </w:trPr>
        <w:tc>
          <w:tcPr>
            <w:tcW w:w="5125" w:type="dxa"/>
          </w:tcPr>
          <w:p w14:paraId="501E3EE0" w14:textId="1089CD18" w:rsidR="00E062AB" w:rsidRPr="00496691" w:rsidRDefault="00E062AB" w:rsidP="00666965">
            <w:pPr>
              <w:pStyle w:val="NoSpacing"/>
              <w:numPr>
                <w:ilvl w:val="0"/>
                <w:numId w:val="36"/>
              </w:numPr>
              <w:rPr>
                <w:rFonts w:ascii="Arial" w:hAnsi="Arial" w:cs="Arial"/>
              </w:rPr>
            </w:pPr>
            <w:r w:rsidRPr="006E17F5">
              <w:rPr>
                <w:rFonts w:ascii="Arial" w:hAnsi="Arial" w:cs="Arial"/>
              </w:rPr>
              <w:t>The P&amp;Ps require the CCO to utilize lien filing and release templates approved by OHA and to submit them for approval by January 31 of each Contract Year and upon any material change.</w:t>
            </w:r>
          </w:p>
        </w:tc>
        <w:tc>
          <w:tcPr>
            <w:tcW w:w="2477" w:type="dxa"/>
          </w:tcPr>
          <w:p w14:paraId="335F0213" w14:textId="3C68F0BF" w:rsidR="00E062AB" w:rsidRPr="00496691" w:rsidRDefault="00E062AB" w:rsidP="00E062AB">
            <w:pPr>
              <w:pStyle w:val="NoSpacing"/>
              <w:rPr>
                <w:rFonts w:ascii="Arial" w:hAnsi="Arial" w:cs="Arial"/>
              </w:rPr>
            </w:pPr>
            <w:r w:rsidRPr="00496691">
              <w:rPr>
                <w:rFonts w:ascii="Arial" w:hAnsi="Arial" w:cs="Arial"/>
              </w:rPr>
              <w:t>Exh B, Pt 8, Sec 1</w:t>
            </w:r>
            <w:r w:rsidR="00CB26A3">
              <w:rPr>
                <w:rFonts w:ascii="Arial" w:hAnsi="Arial" w:cs="Arial"/>
              </w:rPr>
              <w:t>8</w:t>
            </w:r>
            <w:r w:rsidRPr="00496691">
              <w:rPr>
                <w:rFonts w:ascii="Arial" w:hAnsi="Arial" w:cs="Arial"/>
              </w:rPr>
              <w:t xml:space="preserve">, Para </w:t>
            </w:r>
            <w:r w:rsidR="008331AA">
              <w:rPr>
                <w:rFonts w:ascii="Arial" w:hAnsi="Arial" w:cs="Arial"/>
              </w:rPr>
              <w:t>l-n</w:t>
            </w:r>
            <w:r w:rsidRPr="006E17F5">
              <w:rPr>
                <w:rFonts w:ascii="Arial" w:hAnsi="Arial" w:cs="Arial"/>
              </w:rPr>
              <w:t>; ORS 416.560</w:t>
            </w:r>
          </w:p>
        </w:tc>
        <w:tc>
          <w:tcPr>
            <w:tcW w:w="2478" w:type="dxa"/>
          </w:tcPr>
          <w:p w14:paraId="7198F191" w14:textId="74F040D7" w:rsidR="00E062AB" w:rsidRDefault="00E062AB" w:rsidP="00D852E0">
            <w:pPr>
              <w:pStyle w:val="NoSpacing"/>
              <w:jc w:val="center"/>
              <w:rPr>
                <w:rFonts w:ascii="Arial" w:hAnsi="Arial" w:cs="Arial"/>
              </w:rPr>
            </w:pPr>
          </w:p>
          <w:p w14:paraId="5EDF5F8D" w14:textId="39EE9168" w:rsidR="00E062AB" w:rsidRPr="00496691" w:rsidRDefault="00E062AB" w:rsidP="00D852E0">
            <w:pPr>
              <w:pStyle w:val="NoSpacing"/>
              <w:jc w:val="center"/>
              <w:rPr>
                <w:rFonts w:ascii="Arial" w:hAnsi="Arial" w:cs="Arial"/>
              </w:rPr>
            </w:pPr>
          </w:p>
        </w:tc>
      </w:tr>
      <w:tr w:rsidR="00E062AB" w:rsidRPr="00496691" w14:paraId="4F43E3F8" w14:textId="77777777" w:rsidTr="00F828CC">
        <w:trPr>
          <w:trHeight w:val="432"/>
        </w:trPr>
        <w:tc>
          <w:tcPr>
            <w:tcW w:w="5125" w:type="dxa"/>
            <w:tcBorders>
              <w:bottom w:val="single" w:sz="4" w:space="0" w:color="auto"/>
            </w:tcBorders>
            <w:shd w:val="clear" w:color="auto" w:fill="auto"/>
          </w:tcPr>
          <w:p w14:paraId="69FD3914" w14:textId="1B86612A" w:rsidR="00E062AB" w:rsidRPr="00496691" w:rsidRDefault="00E062AB" w:rsidP="00666965">
            <w:pPr>
              <w:pStyle w:val="NoSpacing"/>
              <w:numPr>
                <w:ilvl w:val="0"/>
                <w:numId w:val="36"/>
              </w:numPr>
              <w:rPr>
                <w:rFonts w:ascii="Arial" w:hAnsi="Arial" w:cs="Arial"/>
              </w:rPr>
            </w:pPr>
            <w:r w:rsidRPr="006E17F5">
              <w:rPr>
                <w:rFonts w:ascii="Arial" w:hAnsi="Arial" w:cs="Arial"/>
              </w:rPr>
              <w:t>The P&amp;Ps outline the process for filing and releasing liens with the appropriate county clerk.</w:t>
            </w:r>
          </w:p>
        </w:tc>
        <w:tc>
          <w:tcPr>
            <w:tcW w:w="2477" w:type="dxa"/>
            <w:shd w:val="clear" w:color="auto" w:fill="FFFFFF" w:themeFill="background1"/>
          </w:tcPr>
          <w:p w14:paraId="32839C91" w14:textId="1B64755E" w:rsidR="00E062AB" w:rsidRPr="00496691" w:rsidRDefault="00E062AB" w:rsidP="00E062AB">
            <w:pPr>
              <w:pStyle w:val="NoSpacing"/>
              <w:rPr>
                <w:rFonts w:ascii="Arial" w:hAnsi="Arial" w:cs="Arial"/>
              </w:rPr>
            </w:pPr>
            <w:r w:rsidRPr="00496691">
              <w:rPr>
                <w:rFonts w:ascii="Arial" w:hAnsi="Arial" w:cs="Arial"/>
              </w:rPr>
              <w:t>Exh B, Pt 8, Sec 1</w:t>
            </w:r>
            <w:r w:rsidR="00CB26A3">
              <w:rPr>
                <w:rFonts w:ascii="Arial" w:hAnsi="Arial" w:cs="Arial"/>
              </w:rPr>
              <w:t>8</w:t>
            </w:r>
            <w:r w:rsidRPr="00496691">
              <w:rPr>
                <w:rFonts w:ascii="Arial" w:hAnsi="Arial" w:cs="Arial"/>
              </w:rPr>
              <w:t xml:space="preserve"> Para </w:t>
            </w:r>
            <w:r w:rsidR="008331AA">
              <w:rPr>
                <w:rFonts w:ascii="Arial" w:hAnsi="Arial" w:cs="Arial"/>
              </w:rPr>
              <w:t>l-n</w:t>
            </w:r>
            <w:r w:rsidRPr="006E17F5">
              <w:rPr>
                <w:rFonts w:ascii="Arial" w:hAnsi="Arial" w:cs="Arial"/>
              </w:rPr>
              <w:t>; ORS 416.540(4); ORS 416.550(1)(a)(b)(2)</w:t>
            </w:r>
          </w:p>
        </w:tc>
        <w:tc>
          <w:tcPr>
            <w:tcW w:w="2478" w:type="dxa"/>
          </w:tcPr>
          <w:p w14:paraId="76FEA5A8" w14:textId="77777777" w:rsidR="00E062AB" w:rsidRDefault="00E062AB" w:rsidP="00F828CC">
            <w:pPr>
              <w:pStyle w:val="NoSpacing"/>
              <w:rPr>
                <w:rFonts w:ascii="Arial" w:hAnsi="Arial" w:cs="Arial"/>
              </w:rPr>
            </w:pPr>
          </w:p>
          <w:p w14:paraId="7E1A3A84" w14:textId="18723590" w:rsidR="00E062AB" w:rsidRPr="00496691" w:rsidRDefault="00E062AB" w:rsidP="00F828CC">
            <w:pPr>
              <w:pStyle w:val="NoSpacing"/>
              <w:rPr>
                <w:rFonts w:ascii="Arial" w:hAnsi="Arial" w:cs="Arial"/>
              </w:rPr>
            </w:pPr>
          </w:p>
        </w:tc>
      </w:tr>
      <w:tr w:rsidR="00E062AB" w:rsidRPr="00496691" w14:paraId="619DC171" w14:textId="77777777" w:rsidTr="00F828CC">
        <w:trPr>
          <w:trHeight w:val="432"/>
        </w:trPr>
        <w:tc>
          <w:tcPr>
            <w:tcW w:w="5125" w:type="dxa"/>
            <w:tcBorders>
              <w:bottom w:val="single" w:sz="4" w:space="0" w:color="auto"/>
            </w:tcBorders>
            <w:shd w:val="clear" w:color="auto" w:fill="auto"/>
          </w:tcPr>
          <w:p w14:paraId="3D4085BE" w14:textId="7FD43882" w:rsidR="00E062AB" w:rsidRPr="00496691" w:rsidRDefault="00E062AB" w:rsidP="00666965">
            <w:pPr>
              <w:pStyle w:val="NoSpacing"/>
              <w:numPr>
                <w:ilvl w:val="0"/>
                <w:numId w:val="36"/>
              </w:numPr>
              <w:rPr>
                <w:rFonts w:ascii="Arial" w:hAnsi="Arial" w:cs="Arial"/>
              </w:rPr>
            </w:pPr>
            <w:r w:rsidRPr="006E17F5">
              <w:rPr>
                <w:rFonts w:ascii="Arial" w:hAnsi="Arial" w:cs="Arial"/>
                <w:shd w:val="clear" w:color="auto" w:fill="FFFFFF" w:themeFill="background1"/>
              </w:rPr>
              <w:t>The P&amp;Ps identify the process for requesting a written lien compromise approval from PIL.</w:t>
            </w:r>
            <w:r w:rsidRPr="0099038D">
              <w:rPr>
                <w:rFonts w:ascii="Arial" w:hAnsi="Arial" w:cs="Arial"/>
              </w:rPr>
              <w:t xml:space="preserve"> </w:t>
            </w:r>
          </w:p>
        </w:tc>
        <w:tc>
          <w:tcPr>
            <w:tcW w:w="2477" w:type="dxa"/>
            <w:shd w:val="clear" w:color="auto" w:fill="FFFFFF" w:themeFill="background1"/>
          </w:tcPr>
          <w:p w14:paraId="6F579001" w14:textId="2A6E5024" w:rsidR="00E062AB" w:rsidRPr="00496691" w:rsidRDefault="00E062AB" w:rsidP="00E062AB">
            <w:pPr>
              <w:pStyle w:val="NoSpacing"/>
              <w:rPr>
                <w:rFonts w:ascii="Arial" w:hAnsi="Arial" w:cs="Arial"/>
              </w:rPr>
            </w:pPr>
            <w:r w:rsidRPr="00496691">
              <w:rPr>
                <w:rFonts w:ascii="Arial" w:hAnsi="Arial" w:cs="Arial"/>
              </w:rPr>
              <w:t>Exh B, Pt 8, Sec 1</w:t>
            </w:r>
            <w:r w:rsidR="00CB26A3">
              <w:rPr>
                <w:rFonts w:ascii="Arial" w:hAnsi="Arial" w:cs="Arial"/>
              </w:rPr>
              <w:t>8</w:t>
            </w:r>
            <w:r w:rsidRPr="00496691">
              <w:rPr>
                <w:rFonts w:ascii="Arial" w:hAnsi="Arial" w:cs="Arial"/>
              </w:rPr>
              <w:t xml:space="preserve">, Para </w:t>
            </w:r>
            <w:r w:rsidR="008331AA">
              <w:rPr>
                <w:rFonts w:ascii="Arial" w:hAnsi="Arial" w:cs="Arial"/>
              </w:rPr>
              <w:t>p</w:t>
            </w:r>
            <w:r w:rsidRPr="006E17F5">
              <w:rPr>
                <w:rFonts w:ascii="Arial" w:hAnsi="Arial" w:cs="Arial"/>
              </w:rPr>
              <w:t>; OAR 461-195-0320(</w:t>
            </w:r>
            <w:proofErr w:type="gramStart"/>
            <w:r w:rsidRPr="006E17F5">
              <w:rPr>
                <w:rFonts w:ascii="Arial" w:hAnsi="Arial" w:cs="Arial"/>
              </w:rPr>
              <w:t>2)(</w:t>
            </w:r>
            <w:proofErr w:type="gramEnd"/>
            <w:r w:rsidRPr="006E17F5">
              <w:rPr>
                <w:rFonts w:ascii="Arial" w:hAnsi="Arial" w:cs="Arial"/>
              </w:rPr>
              <w:t>1-5)</w:t>
            </w:r>
          </w:p>
        </w:tc>
        <w:tc>
          <w:tcPr>
            <w:tcW w:w="2478" w:type="dxa"/>
          </w:tcPr>
          <w:p w14:paraId="0D3C693B" w14:textId="77777777" w:rsidR="00E062AB" w:rsidRDefault="00E062AB" w:rsidP="00F828CC">
            <w:pPr>
              <w:pStyle w:val="NoSpacing"/>
              <w:rPr>
                <w:rFonts w:ascii="Arial" w:hAnsi="Arial" w:cs="Arial"/>
              </w:rPr>
            </w:pPr>
          </w:p>
        </w:tc>
      </w:tr>
      <w:tr w:rsidR="00E062AB" w:rsidRPr="00496691" w14:paraId="0E997F6C" w14:textId="77777777" w:rsidTr="00F828CC">
        <w:trPr>
          <w:trHeight w:val="432"/>
        </w:trPr>
        <w:tc>
          <w:tcPr>
            <w:tcW w:w="5125" w:type="dxa"/>
            <w:tcBorders>
              <w:bottom w:val="single" w:sz="4" w:space="0" w:color="auto"/>
            </w:tcBorders>
            <w:shd w:val="clear" w:color="auto" w:fill="auto"/>
          </w:tcPr>
          <w:p w14:paraId="56E213E1" w14:textId="70A4961D" w:rsidR="00E062AB" w:rsidRPr="00496691" w:rsidRDefault="00E062AB" w:rsidP="00666965">
            <w:pPr>
              <w:pStyle w:val="NoSpacing"/>
              <w:numPr>
                <w:ilvl w:val="0"/>
                <w:numId w:val="36"/>
              </w:numPr>
              <w:rPr>
                <w:rFonts w:ascii="Arial" w:hAnsi="Arial" w:cs="Arial"/>
              </w:rPr>
            </w:pPr>
            <w:r w:rsidRPr="006E17F5">
              <w:rPr>
                <w:rFonts w:ascii="Arial" w:hAnsi="Arial" w:cs="Arial"/>
              </w:rPr>
              <w:t>The P&amp;Ps outline the process for reviewing offset payments from PIL and the payment to PIL’s for the offset payment recovery process.</w:t>
            </w:r>
          </w:p>
        </w:tc>
        <w:tc>
          <w:tcPr>
            <w:tcW w:w="2477" w:type="dxa"/>
            <w:shd w:val="clear" w:color="auto" w:fill="FFFFFF" w:themeFill="background1"/>
          </w:tcPr>
          <w:p w14:paraId="3A21743B" w14:textId="14DA1FC4" w:rsidR="00E062AB" w:rsidRPr="00496691" w:rsidRDefault="00E062AB" w:rsidP="00E062AB">
            <w:pPr>
              <w:pStyle w:val="NoSpacing"/>
              <w:rPr>
                <w:rFonts w:ascii="Arial" w:hAnsi="Arial" w:cs="Arial"/>
              </w:rPr>
            </w:pPr>
            <w:r w:rsidRPr="00496691">
              <w:rPr>
                <w:rFonts w:ascii="Arial" w:hAnsi="Arial" w:cs="Arial"/>
              </w:rPr>
              <w:t>Exh B, Pt 8, Sec 1</w:t>
            </w:r>
            <w:r w:rsidR="00CB26A3">
              <w:rPr>
                <w:rFonts w:ascii="Arial" w:hAnsi="Arial" w:cs="Arial"/>
              </w:rPr>
              <w:t>8</w:t>
            </w:r>
            <w:r w:rsidRPr="00496691">
              <w:rPr>
                <w:rFonts w:ascii="Arial" w:hAnsi="Arial" w:cs="Arial"/>
              </w:rPr>
              <w:t xml:space="preserve">, Para </w:t>
            </w:r>
            <w:r w:rsidR="008331AA">
              <w:rPr>
                <w:rFonts w:ascii="Arial" w:hAnsi="Arial" w:cs="Arial"/>
              </w:rPr>
              <w:t>q</w:t>
            </w:r>
            <w:r w:rsidRPr="006E17F5">
              <w:rPr>
                <w:rFonts w:ascii="Arial" w:hAnsi="Arial" w:cs="Arial"/>
                <w:shd w:val="clear" w:color="auto" w:fill="FFFFFF" w:themeFill="background1"/>
              </w:rPr>
              <w:t>; ORS 416.540(6); OAR 461-195-0325(2)(e</w:t>
            </w:r>
            <w:r w:rsidRPr="00496691">
              <w:rPr>
                <w:rFonts w:ascii="Arial" w:hAnsi="Arial" w:cs="Arial"/>
                <w:shd w:val="clear" w:color="auto" w:fill="E6E6E6"/>
              </w:rPr>
              <w:t>)</w:t>
            </w:r>
          </w:p>
        </w:tc>
        <w:tc>
          <w:tcPr>
            <w:tcW w:w="2478" w:type="dxa"/>
          </w:tcPr>
          <w:p w14:paraId="3074DEF1" w14:textId="77777777" w:rsidR="00E062AB" w:rsidRDefault="00E062AB" w:rsidP="00F828CC">
            <w:pPr>
              <w:pStyle w:val="NoSpacing"/>
              <w:rPr>
                <w:rFonts w:ascii="Arial" w:hAnsi="Arial" w:cs="Arial"/>
              </w:rPr>
            </w:pPr>
          </w:p>
        </w:tc>
      </w:tr>
      <w:tr w:rsidR="00E062AB" w:rsidRPr="00496691" w14:paraId="42DF9943" w14:textId="77777777" w:rsidTr="00F828CC">
        <w:trPr>
          <w:trHeight w:val="432"/>
        </w:trPr>
        <w:tc>
          <w:tcPr>
            <w:tcW w:w="5125" w:type="dxa"/>
            <w:shd w:val="clear" w:color="auto" w:fill="FFFFFF" w:themeFill="background1"/>
          </w:tcPr>
          <w:p w14:paraId="343BDF19" w14:textId="62D5A52E" w:rsidR="00E062AB" w:rsidRPr="00496691" w:rsidRDefault="00E062AB" w:rsidP="00666965">
            <w:pPr>
              <w:pStyle w:val="NoSpacing"/>
              <w:numPr>
                <w:ilvl w:val="0"/>
                <w:numId w:val="36"/>
              </w:numPr>
              <w:rPr>
                <w:rFonts w:ascii="Arial" w:hAnsi="Arial" w:cs="Arial"/>
              </w:rPr>
            </w:pPr>
            <w:r w:rsidRPr="006E17F5">
              <w:rPr>
                <w:rFonts w:ascii="Arial" w:hAnsi="Arial" w:cs="Arial"/>
                <w:shd w:val="clear" w:color="auto" w:fill="FFFFFF" w:themeFill="background1"/>
              </w:rPr>
              <w:t xml:space="preserve">The </w:t>
            </w:r>
            <w:r w:rsidRPr="00496691">
              <w:rPr>
                <w:rFonts w:ascii="Arial" w:hAnsi="Arial" w:cs="Arial"/>
              </w:rPr>
              <w:t xml:space="preserve">P&amp;Ps </w:t>
            </w:r>
            <w:r w:rsidRPr="006E17F5">
              <w:rPr>
                <w:rFonts w:ascii="Arial" w:hAnsi="Arial" w:cs="Arial"/>
                <w:shd w:val="clear" w:color="auto" w:fill="FFFFFF" w:themeFill="background1"/>
              </w:rPr>
              <w:t>detail any thresholds for determining whether to obtain a lien assignment</w:t>
            </w:r>
            <w:r w:rsidRPr="00496691">
              <w:rPr>
                <w:rFonts w:ascii="Arial" w:hAnsi="Arial" w:cs="Arial"/>
              </w:rPr>
              <w:t>.</w:t>
            </w:r>
          </w:p>
        </w:tc>
        <w:tc>
          <w:tcPr>
            <w:tcW w:w="2477" w:type="dxa"/>
            <w:shd w:val="clear" w:color="auto" w:fill="FFFFFF" w:themeFill="background1"/>
          </w:tcPr>
          <w:p w14:paraId="77EA9660" w14:textId="0D3BF00A" w:rsidR="00E062AB" w:rsidRPr="00496691" w:rsidRDefault="00E062AB" w:rsidP="00E062AB">
            <w:pPr>
              <w:pStyle w:val="NoSpacing"/>
              <w:rPr>
                <w:rFonts w:ascii="Arial" w:hAnsi="Arial" w:cs="Arial"/>
              </w:rPr>
            </w:pPr>
            <w:r w:rsidRPr="00496691">
              <w:rPr>
                <w:rFonts w:ascii="Arial" w:hAnsi="Arial" w:cs="Arial"/>
              </w:rPr>
              <w:t>Exh B, Pt 8, Sec 1</w:t>
            </w:r>
            <w:r w:rsidR="00CB26A3">
              <w:rPr>
                <w:rFonts w:ascii="Arial" w:hAnsi="Arial" w:cs="Arial"/>
              </w:rPr>
              <w:t>8</w:t>
            </w:r>
            <w:r w:rsidRPr="00496691">
              <w:rPr>
                <w:rFonts w:ascii="Arial" w:hAnsi="Arial" w:cs="Arial"/>
              </w:rPr>
              <w:t xml:space="preserve">, Para </w:t>
            </w:r>
            <w:proofErr w:type="gramStart"/>
            <w:r w:rsidR="00CB26A3">
              <w:rPr>
                <w:rFonts w:ascii="Arial" w:hAnsi="Arial" w:cs="Arial"/>
              </w:rPr>
              <w:t>b</w:t>
            </w:r>
            <w:r w:rsidRPr="00496691">
              <w:rPr>
                <w:rFonts w:ascii="Arial" w:hAnsi="Arial" w:cs="Arial"/>
              </w:rPr>
              <w:t>(</w:t>
            </w:r>
            <w:proofErr w:type="gramEnd"/>
            <w:r w:rsidR="00620923">
              <w:rPr>
                <w:rFonts w:ascii="Arial" w:hAnsi="Arial" w:cs="Arial"/>
              </w:rPr>
              <w:t>2</w:t>
            </w:r>
            <w:r w:rsidRPr="00496691">
              <w:rPr>
                <w:rFonts w:ascii="Arial" w:hAnsi="Arial" w:cs="Arial"/>
              </w:rPr>
              <w:t xml:space="preserve">) </w:t>
            </w:r>
          </w:p>
        </w:tc>
        <w:tc>
          <w:tcPr>
            <w:tcW w:w="2478" w:type="dxa"/>
          </w:tcPr>
          <w:p w14:paraId="7D97C7F9" w14:textId="707D9B8E" w:rsidR="00E062AB" w:rsidRPr="00496691" w:rsidRDefault="00E062AB" w:rsidP="00F828CC">
            <w:pPr>
              <w:pStyle w:val="NoSpacing"/>
              <w:rPr>
                <w:rFonts w:ascii="Arial" w:hAnsi="Arial" w:cs="Arial"/>
              </w:rPr>
            </w:pPr>
          </w:p>
        </w:tc>
      </w:tr>
    </w:tbl>
    <w:p w14:paraId="353A77E8" w14:textId="05EE3780" w:rsidR="071AE0C0" w:rsidRDefault="071AE0C0" w:rsidP="009A3AD6">
      <w:pPr>
        <w:pStyle w:val="NoSpacing"/>
        <w:rPr>
          <w:rFonts w:ascii="Arial" w:hAnsi="Arial" w:cs="Arial"/>
        </w:rPr>
      </w:pPr>
    </w:p>
    <w:p w14:paraId="1ED3D3B0" w14:textId="3F6CC487" w:rsidR="002908FB" w:rsidRDefault="002908FB" w:rsidP="009A3AD6">
      <w:pPr>
        <w:pStyle w:val="NoSpacing"/>
        <w:rPr>
          <w:rFonts w:ascii="Arial" w:hAnsi="Arial" w:cs="Arial"/>
        </w:rPr>
      </w:pPr>
    </w:p>
    <w:p w14:paraId="4ABC54B8" w14:textId="77777777" w:rsidR="002908FB" w:rsidRPr="002908FB" w:rsidRDefault="002908FB" w:rsidP="009A3AD6">
      <w:pPr>
        <w:pStyle w:val="NoSpacing"/>
        <w:rPr>
          <w:rFonts w:ascii="Arial" w:hAnsi="Arial" w:cs="Arial"/>
        </w:rPr>
      </w:pPr>
    </w:p>
    <w:p w14:paraId="77F34D7E" w14:textId="10BB8BC8" w:rsidR="002908FB" w:rsidRPr="002908FB" w:rsidRDefault="002908FB" w:rsidP="002908FB">
      <w:pPr>
        <w:pStyle w:val="NoSpacing"/>
        <w:jc w:val="right"/>
        <w:rPr>
          <w:rFonts w:ascii="Arial" w:hAnsi="Arial" w:cs="Arial"/>
          <w:sz w:val="18"/>
          <w:szCs w:val="18"/>
        </w:rPr>
      </w:pPr>
      <w:r w:rsidRPr="002908FB">
        <w:rPr>
          <w:rFonts w:ascii="Arial" w:hAnsi="Arial" w:cs="Arial"/>
          <w:sz w:val="18"/>
          <w:szCs w:val="18"/>
        </w:rPr>
        <w:t>2024 PIL P&amp;Ps self-eval checklist 11292023</w:t>
      </w:r>
    </w:p>
    <w:sectPr w:rsidR="002908FB" w:rsidRPr="002908FB" w:rsidSect="00A516B5">
      <w:footerReference w:type="default" r:id="rId15"/>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B439" w14:textId="77777777" w:rsidR="001F64E1" w:rsidRDefault="001F64E1" w:rsidP="00AC0ED1">
      <w:pPr>
        <w:spacing w:after="0" w:line="240" w:lineRule="auto"/>
      </w:pPr>
      <w:r>
        <w:separator/>
      </w:r>
    </w:p>
  </w:endnote>
  <w:endnote w:type="continuationSeparator" w:id="0">
    <w:p w14:paraId="113F5285" w14:textId="77777777" w:rsidR="001F64E1" w:rsidRDefault="001F64E1" w:rsidP="00AC0ED1">
      <w:pPr>
        <w:spacing w:after="0" w:line="240" w:lineRule="auto"/>
      </w:pPr>
      <w:r>
        <w:continuationSeparator/>
      </w:r>
    </w:p>
  </w:endnote>
  <w:endnote w:type="continuationNotice" w:id="1">
    <w:p w14:paraId="495A97D2" w14:textId="77777777" w:rsidR="001F64E1" w:rsidRDefault="001F6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D451" w14:textId="19A5E6E0" w:rsidR="00AC0ED1" w:rsidRPr="006E209F" w:rsidRDefault="007C4071" w:rsidP="002908FB">
    <w:pPr>
      <w:pStyle w:val="Footer"/>
      <w:tabs>
        <w:tab w:val="clear" w:pos="4680"/>
        <w:tab w:val="clear" w:pos="9360"/>
        <w:tab w:val="center" w:pos="5040"/>
        <w:tab w:val="right" w:pos="10080"/>
      </w:tabs>
      <w:jc w:val="center"/>
      <w:rPr>
        <w:rFonts w:ascii="Arial" w:hAnsi="Arial" w:cs="Arial"/>
      </w:rPr>
    </w:pPr>
    <w:r w:rsidRPr="006E209F">
      <w:rPr>
        <w:rFonts w:ascii="Arial" w:hAnsi="Arial" w:cs="Arial"/>
      </w:rPr>
      <w:fldChar w:fldCharType="begin"/>
    </w:r>
    <w:r w:rsidRPr="006E209F">
      <w:rPr>
        <w:rFonts w:ascii="Arial" w:hAnsi="Arial" w:cs="Arial"/>
      </w:rPr>
      <w:instrText xml:space="preserve"> PAGE   \* MERGEFORMAT </w:instrText>
    </w:r>
    <w:r w:rsidRPr="006E209F">
      <w:rPr>
        <w:rFonts w:ascii="Arial" w:hAnsi="Arial" w:cs="Arial"/>
      </w:rPr>
      <w:fldChar w:fldCharType="separate"/>
    </w:r>
    <w:r w:rsidRPr="006E209F">
      <w:rPr>
        <w:rFonts w:ascii="Arial" w:hAnsi="Arial" w:cs="Arial"/>
        <w:noProof/>
      </w:rPr>
      <w:t>1</w:t>
    </w:r>
    <w:r w:rsidRPr="006E209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1660" w14:textId="77777777" w:rsidR="001F64E1" w:rsidRDefault="001F64E1" w:rsidP="00AC0ED1">
      <w:pPr>
        <w:spacing w:after="0" w:line="240" w:lineRule="auto"/>
      </w:pPr>
      <w:r>
        <w:separator/>
      </w:r>
    </w:p>
  </w:footnote>
  <w:footnote w:type="continuationSeparator" w:id="0">
    <w:p w14:paraId="43E612FF" w14:textId="77777777" w:rsidR="001F64E1" w:rsidRDefault="001F64E1" w:rsidP="00AC0ED1">
      <w:pPr>
        <w:spacing w:after="0" w:line="240" w:lineRule="auto"/>
      </w:pPr>
      <w:r>
        <w:continuationSeparator/>
      </w:r>
    </w:p>
  </w:footnote>
  <w:footnote w:type="continuationNotice" w:id="1">
    <w:p w14:paraId="2BFF74B7" w14:textId="77777777" w:rsidR="001F64E1" w:rsidRDefault="001F64E1">
      <w:pPr>
        <w:spacing w:after="0" w:line="240" w:lineRule="auto"/>
      </w:pPr>
    </w:p>
  </w:footnote>
  <w:footnote w:id="2">
    <w:p w14:paraId="28496C23" w14:textId="57874D19" w:rsidR="00663830" w:rsidRPr="00F828CC" w:rsidRDefault="00663830">
      <w:pPr>
        <w:pStyle w:val="FootnoteText"/>
        <w:rPr>
          <w:rFonts w:ascii="Arial" w:hAnsi="Arial" w:cs="Arial"/>
          <w:sz w:val="18"/>
          <w:szCs w:val="18"/>
        </w:rPr>
      </w:pPr>
      <w:r w:rsidRPr="00F828CC">
        <w:rPr>
          <w:rStyle w:val="FootnoteReference"/>
          <w:rFonts w:ascii="Arial" w:hAnsi="Arial" w:cs="Arial"/>
          <w:sz w:val="18"/>
          <w:szCs w:val="18"/>
        </w:rPr>
        <w:footnoteRef/>
      </w:r>
      <w:r w:rsidRPr="00F828CC">
        <w:rPr>
          <w:rFonts w:ascii="Arial" w:hAnsi="Arial" w:cs="Arial"/>
          <w:sz w:val="18"/>
          <w:szCs w:val="18"/>
        </w:rPr>
        <w:t xml:space="preserve"> Use this column to identify the page(s) and section number where this information is found in the PIL P&amp;Ps.</w:t>
      </w:r>
    </w:p>
    <w:p w14:paraId="0E3316CB" w14:textId="77777777" w:rsidR="00663830" w:rsidRPr="00F828CC" w:rsidRDefault="00663830">
      <w:pPr>
        <w:pStyle w:val="FootnoteText"/>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D68"/>
    <w:multiLevelType w:val="hybridMultilevel"/>
    <w:tmpl w:val="064276B2"/>
    <w:lvl w:ilvl="0" w:tplc="33E2AC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29E"/>
    <w:multiLevelType w:val="hybridMultilevel"/>
    <w:tmpl w:val="C2A2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9185A"/>
    <w:multiLevelType w:val="hybridMultilevel"/>
    <w:tmpl w:val="1F8248C8"/>
    <w:lvl w:ilvl="0" w:tplc="1AF0E63E">
      <w:start w:val="1"/>
      <w:numFmt w:val="decimal"/>
      <w:lvlText w:val="%1-"/>
      <w:lvlJc w:val="left"/>
      <w:pPr>
        <w:ind w:left="810" w:hanging="360"/>
      </w:pPr>
      <w:rPr>
        <w:rFonts w:hint="default"/>
      </w:rPr>
    </w:lvl>
    <w:lvl w:ilvl="1" w:tplc="04090019">
      <w:start w:val="1"/>
      <w:numFmt w:val="lowerLetter"/>
      <w:lvlText w:val="%2."/>
      <w:lvlJc w:val="left"/>
      <w:pPr>
        <w:ind w:left="1530" w:hanging="360"/>
      </w:pPr>
      <w:rPr>
        <w:rFonts w:hint="default"/>
      </w:rPr>
    </w:lvl>
    <w:lvl w:ilvl="2" w:tplc="DFCE6F7A">
      <w:start w:val="1"/>
      <w:numFmt w:val="decimal"/>
      <w:lvlText w:val="%3-"/>
      <w:lvlJc w:val="left"/>
      <w:pPr>
        <w:ind w:left="2520" w:hanging="360"/>
      </w:pPr>
      <w:rPr>
        <w:rFont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A6DEA"/>
    <w:multiLevelType w:val="hybridMultilevel"/>
    <w:tmpl w:val="039E18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E6CA3"/>
    <w:multiLevelType w:val="hybridMultilevel"/>
    <w:tmpl w:val="CE762BE4"/>
    <w:lvl w:ilvl="0" w:tplc="1AF0E63E">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DFCE6F7A">
      <w:start w:val="1"/>
      <w:numFmt w:val="decimal"/>
      <w:lvlText w:val="%3-"/>
      <w:lvlJc w:val="left"/>
      <w:pPr>
        <w:ind w:left="2250" w:hanging="360"/>
      </w:pPr>
      <w:rPr>
        <w:rFont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AA90BD7"/>
    <w:multiLevelType w:val="hybridMultilevel"/>
    <w:tmpl w:val="90F6D910"/>
    <w:lvl w:ilvl="0" w:tplc="F95A9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0E65"/>
    <w:multiLevelType w:val="hybridMultilevel"/>
    <w:tmpl w:val="B16873A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DFCE6F7A">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5F6994"/>
    <w:multiLevelType w:val="hybridMultilevel"/>
    <w:tmpl w:val="264C91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C1EB3"/>
    <w:multiLevelType w:val="hybridMultilevel"/>
    <w:tmpl w:val="5212009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7715A"/>
    <w:multiLevelType w:val="hybridMultilevel"/>
    <w:tmpl w:val="C3C0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94F6D"/>
    <w:multiLevelType w:val="hybridMultilevel"/>
    <w:tmpl w:val="7B5AC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2038F"/>
    <w:multiLevelType w:val="hybridMultilevel"/>
    <w:tmpl w:val="68200B88"/>
    <w:lvl w:ilvl="0" w:tplc="1AF0E63E">
      <w:start w:val="1"/>
      <w:numFmt w:val="decimal"/>
      <w:lvlText w:val="%1-"/>
      <w:lvlJc w:val="left"/>
      <w:pPr>
        <w:ind w:left="1080" w:hanging="360"/>
      </w:pPr>
      <w:rPr>
        <w:rFonts w:hint="default"/>
      </w:rPr>
    </w:lvl>
    <w:lvl w:ilvl="1" w:tplc="04090013">
      <w:start w:val="1"/>
      <w:numFmt w:val="upperRoman"/>
      <w:lvlText w:val="%2."/>
      <w:lvlJc w:val="right"/>
      <w:pPr>
        <w:ind w:left="1800" w:hanging="360"/>
      </w:pPr>
      <w:rPr>
        <w:rFonts w:hint="default"/>
      </w:rPr>
    </w:lvl>
    <w:lvl w:ilvl="2" w:tplc="DFCE6F7A">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4A2E61"/>
    <w:multiLevelType w:val="hybridMultilevel"/>
    <w:tmpl w:val="D268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C1D6C"/>
    <w:multiLevelType w:val="hybridMultilevel"/>
    <w:tmpl w:val="D33656B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F7969"/>
    <w:multiLevelType w:val="hybridMultilevel"/>
    <w:tmpl w:val="5896E030"/>
    <w:lvl w:ilvl="0" w:tplc="81169A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84433"/>
    <w:multiLevelType w:val="hybridMultilevel"/>
    <w:tmpl w:val="510E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906F2"/>
    <w:multiLevelType w:val="hybridMultilevel"/>
    <w:tmpl w:val="A1E430AA"/>
    <w:lvl w:ilvl="0" w:tplc="81169A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03EA5"/>
    <w:multiLevelType w:val="hybridMultilevel"/>
    <w:tmpl w:val="17D470C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D64BD"/>
    <w:multiLevelType w:val="hybridMultilevel"/>
    <w:tmpl w:val="5896E030"/>
    <w:lvl w:ilvl="0" w:tplc="81169A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706E6"/>
    <w:multiLevelType w:val="hybridMultilevel"/>
    <w:tmpl w:val="6DC46964"/>
    <w:lvl w:ilvl="0" w:tplc="81169A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30D16"/>
    <w:multiLevelType w:val="hybridMultilevel"/>
    <w:tmpl w:val="5308F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543DE"/>
    <w:multiLevelType w:val="hybridMultilevel"/>
    <w:tmpl w:val="D13C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36240"/>
    <w:multiLevelType w:val="hybridMultilevel"/>
    <w:tmpl w:val="24100538"/>
    <w:lvl w:ilvl="0" w:tplc="AF7813AA">
      <w:start w:val="1"/>
      <w:numFmt w:val="decimal"/>
      <w:lvlText w:val="%1."/>
      <w:lvlJc w:val="left"/>
      <w:pPr>
        <w:ind w:left="360" w:hanging="360"/>
      </w:pPr>
      <w:rPr>
        <w:rFonts w:ascii="Calibri" w:hAnsi="Calibri" w:hint="default"/>
        <w:b/>
        <w:i w:val="0"/>
        <w:sz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A007CF"/>
    <w:multiLevelType w:val="hybridMultilevel"/>
    <w:tmpl w:val="512ED18A"/>
    <w:lvl w:ilvl="0" w:tplc="81169A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17BEB"/>
    <w:multiLevelType w:val="hybridMultilevel"/>
    <w:tmpl w:val="7B9EC9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4609A1"/>
    <w:multiLevelType w:val="hybridMultilevel"/>
    <w:tmpl w:val="1338A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13B9D"/>
    <w:multiLevelType w:val="hybridMultilevel"/>
    <w:tmpl w:val="8D461A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37DE6"/>
    <w:multiLevelType w:val="hybridMultilevel"/>
    <w:tmpl w:val="53CAF0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5D7E36"/>
    <w:multiLevelType w:val="hybridMultilevel"/>
    <w:tmpl w:val="54606DDA"/>
    <w:lvl w:ilvl="0" w:tplc="1AF0E6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763EF2"/>
    <w:multiLevelType w:val="hybridMultilevel"/>
    <w:tmpl w:val="53625228"/>
    <w:lvl w:ilvl="0" w:tplc="81169A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35353"/>
    <w:multiLevelType w:val="hybridMultilevel"/>
    <w:tmpl w:val="DDE2EA5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7146AC"/>
    <w:multiLevelType w:val="hybridMultilevel"/>
    <w:tmpl w:val="0654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B1748"/>
    <w:multiLevelType w:val="hybridMultilevel"/>
    <w:tmpl w:val="CE123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1380C"/>
    <w:multiLevelType w:val="hybridMultilevel"/>
    <w:tmpl w:val="CA0EF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3344D"/>
    <w:multiLevelType w:val="hybridMultilevel"/>
    <w:tmpl w:val="3806B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B210FE"/>
    <w:multiLevelType w:val="hybridMultilevel"/>
    <w:tmpl w:val="45EA8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441788">
    <w:abstractNumId w:val="1"/>
  </w:num>
  <w:num w:numId="2" w16cid:durableId="496532509">
    <w:abstractNumId w:val="9"/>
  </w:num>
  <w:num w:numId="3" w16cid:durableId="467481702">
    <w:abstractNumId w:val="31"/>
  </w:num>
  <w:num w:numId="4" w16cid:durableId="959914732">
    <w:abstractNumId w:val="8"/>
  </w:num>
  <w:num w:numId="5" w16cid:durableId="160778656">
    <w:abstractNumId w:val="13"/>
  </w:num>
  <w:num w:numId="6" w16cid:durableId="1334070635">
    <w:abstractNumId w:val="17"/>
  </w:num>
  <w:num w:numId="7" w16cid:durableId="653414457">
    <w:abstractNumId w:val="27"/>
  </w:num>
  <w:num w:numId="8" w16cid:durableId="1215776257">
    <w:abstractNumId w:val="12"/>
  </w:num>
  <w:num w:numId="9" w16cid:durableId="200478844">
    <w:abstractNumId w:val="32"/>
  </w:num>
  <w:num w:numId="10" w16cid:durableId="1912691541">
    <w:abstractNumId w:val="28"/>
  </w:num>
  <w:num w:numId="11" w16cid:durableId="19353836">
    <w:abstractNumId w:val="24"/>
  </w:num>
  <w:num w:numId="12" w16cid:durableId="1445808545">
    <w:abstractNumId w:val="15"/>
  </w:num>
  <w:num w:numId="13" w16cid:durableId="837503716">
    <w:abstractNumId w:val="7"/>
  </w:num>
  <w:num w:numId="14" w16cid:durableId="1226136828">
    <w:abstractNumId w:val="30"/>
  </w:num>
  <w:num w:numId="15" w16cid:durableId="185413236">
    <w:abstractNumId w:val="21"/>
  </w:num>
  <w:num w:numId="16" w16cid:durableId="458498433">
    <w:abstractNumId w:val="26"/>
  </w:num>
  <w:num w:numId="17" w16cid:durableId="1168473730">
    <w:abstractNumId w:val="14"/>
  </w:num>
  <w:num w:numId="18" w16cid:durableId="2033721141">
    <w:abstractNumId w:val="6"/>
  </w:num>
  <w:num w:numId="19" w16cid:durableId="70004097">
    <w:abstractNumId w:val="5"/>
  </w:num>
  <w:num w:numId="20" w16cid:durableId="1361931022">
    <w:abstractNumId w:val="0"/>
  </w:num>
  <w:num w:numId="21" w16cid:durableId="1765489710">
    <w:abstractNumId w:val="35"/>
  </w:num>
  <w:num w:numId="22" w16cid:durableId="1589079293">
    <w:abstractNumId w:val="18"/>
  </w:num>
  <w:num w:numId="23" w16cid:durableId="1847943347">
    <w:abstractNumId w:val="23"/>
  </w:num>
  <w:num w:numId="24" w16cid:durableId="354770770">
    <w:abstractNumId w:val="19"/>
  </w:num>
  <w:num w:numId="25" w16cid:durableId="1463960595">
    <w:abstractNumId w:val="16"/>
  </w:num>
  <w:num w:numId="26" w16cid:durableId="1233732613">
    <w:abstractNumId w:val="20"/>
  </w:num>
  <w:num w:numId="27" w16cid:durableId="1280381296">
    <w:abstractNumId w:val="33"/>
  </w:num>
  <w:num w:numId="28" w16cid:durableId="371883523">
    <w:abstractNumId w:val="10"/>
  </w:num>
  <w:num w:numId="29" w16cid:durableId="2136485589">
    <w:abstractNumId w:val="29"/>
  </w:num>
  <w:num w:numId="30" w16cid:durableId="2103332093">
    <w:abstractNumId w:val="3"/>
  </w:num>
  <w:num w:numId="31" w16cid:durableId="1668829278">
    <w:abstractNumId w:val="4"/>
  </w:num>
  <w:num w:numId="32" w16cid:durableId="494691075">
    <w:abstractNumId w:val="11"/>
  </w:num>
  <w:num w:numId="33" w16cid:durableId="1370036347">
    <w:abstractNumId w:val="2"/>
  </w:num>
  <w:num w:numId="34" w16cid:durableId="246153804">
    <w:abstractNumId w:val="25"/>
  </w:num>
  <w:num w:numId="35" w16cid:durableId="1731078003">
    <w:abstractNumId w:val="22"/>
  </w:num>
  <w:num w:numId="36" w16cid:durableId="1449749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1A"/>
    <w:rsid w:val="0000547D"/>
    <w:rsid w:val="00005941"/>
    <w:rsid w:val="00016ADE"/>
    <w:rsid w:val="0003605D"/>
    <w:rsid w:val="0003634A"/>
    <w:rsid w:val="00036BAD"/>
    <w:rsid w:val="00063C02"/>
    <w:rsid w:val="000644AF"/>
    <w:rsid w:val="00077C8E"/>
    <w:rsid w:val="00081832"/>
    <w:rsid w:val="00084118"/>
    <w:rsid w:val="000919A3"/>
    <w:rsid w:val="000A0BAD"/>
    <w:rsid w:val="000B156E"/>
    <w:rsid w:val="000C0105"/>
    <w:rsid w:val="000C39F5"/>
    <w:rsid w:val="000C5033"/>
    <w:rsid w:val="000D355F"/>
    <w:rsid w:val="000E227C"/>
    <w:rsid w:val="000E58D6"/>
    <w:rsid w:val="000F38C9"/>
    <w:rsid w:val="0011160D"/>
    <w:rsid w:val="0013341D"/>
    <w:rsid w:val="00137A00"/>
    <w:rsid w:val="00144F45"/>
    <w:rsid w:val="001614AF"/>
    <w:rsid w:val="00170C2D"/>
    <w:rsid w:val="001721D0"/>
    <w:rsid w:val="00172D85"/>
    <w:rsid w:val="00192AC1"/>
    <w:rsid w:val="001B13E9"/>
    <w:rsid w:val="001B28C4"/>
    <w:rsid w:val="001C09CF"/>
    <w:rsid w:val="001C0ABF"/>
    <w:rsid w:val="001C121E"/>
    <w:rsid w:val="001C22DA"/>
    <w:rsid w:val="001D09EB"/>
    <w:rsid w:val="001D0A9C"/>
    <w:rsid w:val="001D1E90"/>
    <w:rsid w:val="001DEA75"/>
    <w:rsid w:val="001E3C45"/>
    <w:rsid w:val="001E6190"/>
    <w:rsid w:val="001F64E1"/>
    <w:rsid w:val="002003E6"/>
    <w:rsid w:val="00205806"/>
    <w:rsid w:val="0021161C"/>
    <w:rsid w:val="002124D4"/>
    <w:rsid w:val="00212BD0"/>
    <w:rsid w:val="0021484F"/>
    <w:rsid w:val="00216100"/>
    <w:rsid w:val="002213A5"/>
    <w:rsid w:val="00233DF9"/>
    <w:rsid w:val="00234D03"/>
    <w:rsid w:val="00236E4F"/>
    <w:rsid w:val="002370BF"/>
    <w:rsid w:val="00240946"/>
    <w:rsid w:val="00246DFB"/>
    <w:rsid w:val="00256944"/>
    <w:rsid w:val="0026203B"/>
    <w:rsid w:val="0027458B"/>
    <w:rsid w:val="002819B4"/>
    <w:rsid w:val="002908FB"/>
    <w:rsid w:val="002970D6"/>
    <w:rsid w:val="002A4D21"/>
    <w:rsid w:val="002A73F3"/>
    <w:rsid w:val="002B512A"/>
    <w:rsid w:val="002B7B20"/>
    <w:rsid w:val="002C270E"/>
    <w:rsid w:val="002C4346"/>
    <w:rsid w:val="002C7A1B"/>
    <w:rsid w:val="002F23EA"/>
    <w:rsid w:val="00301881"/>
    <w:rsid w:val="00303E81"/>
    <w:rsid w:val="00304100"/>
    <w:rsid w:val="00312F7B"/>
    <w:rsid w:val="00315418"/>
    <w:rsid w:val="00315F1F"/>
    <w:rsid w:val="00316674"/>
    <w:rsid w:val="003260C2"/>
    <w:rsid w:val="0033386B"/>
    <w:rsid w:val="00344155"/>
    <w:rsid w:val="003458CC"/>
    <w:rsid w:val="00352097"/>
    <w:rsid w:val="0035363D"/>
    <w:rsid w:val="00360240"/>
    <w:rsid w:val="00363A6F"/>
    <w:rsid w:val="0037160D"/>
    <w:rsid w:val="00372E23"/>
    <w:rsid w:val="0038695B"/>
    <w:rsid w:val="003A25BC"/>
    <w:rsid w:val="003A3776"/>
    <w:rsid w:val="003A4235"/>
    <w:rsid w:val="003B2C3A"/>
    <w:rsid w:val="003C7271"/>
    <w:rsid w:val="003F148E"/>
    <w:rsid w:val="003F1FEF"/>
    <w:rsid w:val="00400B16"/>
    <w:rsid w:val="00443960"/>
    <w:rsid w:val="004444F3"/>
    <w:rsid w:val="00444AD5"/>
    <w:rsid w:val="004508DD"/>
    <w:rsid w:val="00450FFB"/>
    <w:rsid w:val="00460545"/>
    <w:rsid w:val="00493D04"/>
    <w:rsid w:val="00496691"/>
    <w:rsid w:val="004A07C3"/>
    <w:rsid w:val="004B24A6"/>
    <w:rsid w:val="004B5C99"/>
    <w:rsid w:val="004B7CAC"/>
    <w:rsid w:val="004C3344"/>
    <w:rsid w:val="004C7799"/>
    <w:rsid w:val="004F545E"/>
    <w:rsid w:val="005064FE"/>
    <w:rsid w:val="00521329"/>
    <w:rsid w:val="00527E89"/>
    <w:rsid w:val="005320E7"/>
    <w:rsid w:val="005358BB"/>
    <w:rsid w:val="00535B98"/>
    <w:rsid w:val="00537BFB"/>
    <w:rsid w:val="00541ED7"/>
    <w:rsid w:val="005679B8"/>
    <w:rsid w:val="005823D5"/>
    <w:rsid w:val="005838CE"/>
    <w:rsid w:val="00590135"/>
    <w:rsid w:val="00596A0B"/>
    <w:rsid w:val="005A539C"/>
    <w:rsid w:val="005A693A"/>
    <w:rsid w:val="005B0E7E"/>
    <w:rsid w:val="005C0704"/>
    <w:rsid w:val="005D216C"/>
    <w:rsid w:val="005E04A6"/>
    <w:rsid w:val="005E657B"/>
    <w:rsid w:val="005F017A"/>
    <w:rsid w:val="005F44F0"/>
    <w:rsid w:val="00601FBD"/>
    <w:rsid w:val="006111A6"/>
    <w:rsid w:val="00620923"/>
    <w:rsid w:val="0062400E"/>
    <w:rsid w:val="00625E3A"/>
    <w:rsid w:val="0063067D"/>
    <w:rsid w:val="0063479B"/>
    <w:rsid w:val="00662DA0"/>
    <w:rsid w:val="00663830"/>
    <w:rsid w:val="00665DDC"/>
    <w:rsid w:val="00666965"/>
    <w:rsid w:val="006701D0"/>
    <w:rsid w:val="006824EB"/>
    <w:rsid w:val="00683181"/>
    <w:rsid w:val="00686C08"/>
    <w:rsid w:val="006971BE"/>
    <w:rsid w:val="006A15F4"/>
    <w:rsid w:val="006B5534"/>
    <w:rsid w:val="006B7179"/>
    <w:rsid w:val="006D30DD"/>
    <w:rsid w:val="006E17F5"/>
    <w:rsid w:val="006E209F"/>
    <w:rsid w:val="006E23B5"/>
    <w:rsid w:val="006F0B62"/>
    <w:rsid w:val="006F51AD"/>
    <w:rsid w:val="00702275"/>
    <w:rsid w:val="0071129A"/>
    <w:rsid w:val="00733CAF"/>
    <w:rsid w:val="00736BAF"/>
    <w:rsid w:val="007506F8"/>
    <w:rsid w:val="007519AE"/>
    <w:rsid w:val="00752A63"/>
    <w:rsid w:val="007752FE"/>
    <w:rsid w:val="007931E3"/>
    <w:rsid w:val="007A12FD"/>
    <w:rsid w:val="007B4D7A"/>
    <w:rsid w:val="007B70E2"/>
    <w:rsid w:val="007C0976"/>
    <w:rsid w:val="007C4071"/>
    <w:rsid w:val="007C4B26"/>
    <w:rsid w:val="007C7794"/>
    <w:rsid w:val="007D1852"/>
    <w:rsid w:val="007D2895"/>
    <w:rsid w:val="007D3CE9"/>
    <w:rsid w:val="007E781A"/>
    <w:rsid w:val="00804CE3"/>
    <w:rsid w:val="00804E1A"/>
    <w:rsid w:val="0080694B"/>
    <w:rsid w:val="00810F7A"/>
    <w:rsid w:val="008165EF"/>
    <w:rsid w:val="008223CA"/>
    <w:rsid w:val="008254AD"/>
    <w:rsid w:val="008331AA"/>
    <w:rsid w:val="0083366E"/>
    <w:rsid w:val="00854480"/>
    <w:rsid w:val="00862F69"/>
    <w:rsid w:val="008849E9"/>
    <w:rsid w:val="008923BD"/>
    <w:rsid w:val="008C244F"/>
    <w:rsid w:val="008C3754"/>
    <w:rsid w:val="008D1798"/>
    <w:rsid w:val="008E289C"/>
    <w:rsid w:val="008F2F96"/>
    <w:rsid w:val="008F64FD"/>
    <w:rsid w:val="009015D7"/>
    <w:rsid w:val="00903CC6"/>
    <w:rsid w:val="00933413"/>
    <w:rsid w:val="009474E6"/>
    <w:rsid w:val="0096009C"/>
    <w:rsid w:val="00965DE3"/>
    <w:rsid w:val="00980BE7"/>
    <w:rsid w:val="009848AC"/>
    <w:rsid w:val="009864A8"/>
    <w:rsid w:val="0099038D"/>
    <w:rsid w:val="00991DE1"/>
    <w:rsid w:val="009920E5"/>
    <w:rsid w:val="0099773F"/>
    <w:rsid w:val="009A3AD6"/>
    <w:rsid w:val="009A3AE4"/>
    <w:rsid w:val="009B563D"/>
    <w:rsid w:val="009B61B5"/>
    <w:rsid w:val="009C6C2F"/>
    <w:rsid w:val="009C7052"/>
    <w:rsid w:val="009C7378"/>
    <w:rsid w:val="009E57CE"/>
    <w:rsid w:val="009F492E"/>
    <w:rsid w:val="009F5A55"/>
    <w:rsid w:val="00A03459"/>
    <w:rsid w:val="00A239A3"/>
    <w:rsid w:val="00A277A2"/>
    <w:rsid w:val="00A27B2F"/>
    <w:rsid w:val="00A32C07"/>
    <w:rsid w:val="00A36770"/>
    <w:rsid w:val="00A41509"/>
    <w:rsid w:val="00A4425B"/>
    <w:rsid w:val="00A516B5"/>
    <w:rsid w:val="00A53F12"/>
    <w:rsid w:val="00A74B34"/>
    <w:rsid w:val="00A9191D"/>
    <w:rsid w:val="00A96EA2"/>
    <w:rsid w:val="00AA2080"/>
    <w:rsid w:val="00AA5E4C"/>
    <w:rsid w:val="00AB16C1"/>
    <w:rsid w:val="00AB5D25"/>
    <w:rsid w:val="00AC0CCA"/>
    <w:rsid w:val="00AC0ED1"/>
    <w:rsid w:val="00AC5552"/>
    <w:rsid w:val="00AD382D"/>
    <w:rsid w:val="00AE3EE1"/>
    <w:rsid w:val="00AF1115"/>
    <w:rsid w:val="00AF3530"/>
    <w:rsid w:val="00B079F7"/>
    <w:rsid w:val="00B13FBC"/>
    <w:rsid w:val="00B208A1"/>
    <w:rsid w:val="00B21FC2"/>
    <w:rsid w:val="00B23EAA"/>
    <w:rsid w:val="00B25ADF"/>
    <w:rsid w:val="00B26101"/>
    <w:rsid w:val="00B308BD"/>
    <w:rsid w:val="00B31562"/>
    <w:rsid w:val="00B33D94"/>
    <w:rsid w:val="00B52263"/>
    <w:rsid w:val="00B60BE4"/>
    <w:rsid w:val="00B64C32"/>
    <w:rsid w:val="00B9332D"/>
    <w:rsid w:val="00B93CB8"/>
    <w:rsid w:val="00BB5536"/>
    <w:rsid w:val="00BB7197"/>
    <w:rsid w:val="00BC0A54"/>
    <w:rsid w:val="00BD4C13"/>
    <w:rsid w:val="00BE27B0"/>
    <w:rsid w:val="00BF18DD"/>
    <w:rsid w:val="00BF249B"/>
    <w:rsid w:val="00BF319F"/>
    <w:rsid w:val="00BF4CF7"/>
    <w:rsid w:val="00C05A60"/>
    <w:rsid w:val="00C11AE4"/>
    <w:rsid w:val="00C17E07"/>
    <w:rsid w:val="00C21513"/>
    <w:rsid w:val="00C35606"/>
    <w:rsid w:val="00C50E3E"/>
    <w:rsid w:val="00C568F9"/>
    <w:rsid w:val="00C61C50"/>
    <w:rsid w:val="00C8214C"/>
    <w:rsid w:val="00CA403C"/>
    <w:rsid w:val="00CB26A3"/>
    <w:rsid w:val="00CB33B8"/>
    <w:rsid w:val="00CB6218"/>
    <w:rsid w:val="00CD64F7"/>
    <w:rsid w:val="00CE07AB"/>
    <w:rsid w:val="00CE10E9"/>
    <w:rsid w:val="00CF44A4"/>
    <w:rsid w:val="00CF524C"/>
    <w:rsid w:val="00D172F5"/>
    <w:rsid w:val="00D30C60"/>
    <w:rsid w:val="00D36D58"/>
    <w:rsid w:val="00D40526"/>
    <w:rsid w:val="00D41945"/>
    <w:rsid w:val="00D41DB8"/>
    <w:rsid w:val="00D446F3"/>
    <w:rsid w:val="00D46038"/>
    <w:rsid w:val="00D46AD4"/>
    <w:rsid w:val="00D610EF"/>
    <w:rsid w:val="00D6173E"/>
    <w:rsid w:val="00D63A4C"/>
    <w:rsid w:val="00D74803"/>
    <w:rsid w:val="00D76F91"/>
    <w:rsid w:val="00D852E0"/>
    <w:rsid w:val="00D87210"/>
    <w:rsid w:val="00D91116"/>
    <w:rsid w:val="00DA36C8"/>
    <w:rsid w:val="00DA5C3F"/>
    <w:rsid w:val="00DC0114"/>
    <w:rsid w:val="00DC16E6"/>
    <w:rsid w:val="00DC19CA"/>
    <w:rsid w:val="00DC238C"/>
    <w:rsid w:val="00DC51CF"/>
    <w:rsid w:val="00DE38DF"/>
    <w:rsid w:val="00DF1B71"/>
    <w:rsid w:val="00E00836"/>
    <w:rsid w:val="00E062AB"/>
    <w:rsid w:val="00E11249"/>
    <w:rsid w:val="00E1246F"/>
    <w:rsid w:val="00E12D1B"/>
    <w:rsid w:val="00E146C0"/>
    <w:rsid w:val="00E159F9"/>
    <w:rsid w:val="00E3621B"/>
    <w:rsid w:val="00E43EC1"/>
    <w:rsid w:val="00E454CF"/>
    <w:rsid w:val="00E50044"/>
    <w:rsid w:val="00E755CD"/>
    <w:rsid w:val="00E823C1"/>
    <w:rsid w:val="00E845D1"/>
    <w:rsid w:val="00E863FB"/>
    <w:rsid w:val="00E87FC0"/>
    <w:rsid w:val="00E920E9"/>
    <w:rsid w:val="00E92CCE"/>
    <w:rsid w:val="00E94CF5"/>
    <w:rsid w:val="00EA0018"/>
    <w:rsid w:val="00EE23BA"/>
    <w:rsid w:val="00EE277C"/>
    <w:rsid w:val="00EE306C"/>
    <w:rsid w:val="00EF2A91"/>
    <w:rsid w:val="00EF7473"/>
    <w:rsid w:val="00F02F17"/>
    <w:rsid w:val="00F04C87"/>
    <w:rsid w:val="00F15D67"/>
    <w:rsid w:val="00F40AA1"/>
    <w:rsid w:val="00F42125"/>
    <w:rsid w:val="00F828CC"/>
    <w:rsid w:val="00F86877"/>
    <w:rsid w:val="00F90492"/>
    <w:rsid w:val="00F9456A"/>
    <w:rsid w:val="00FA623B"/>
    <w:rsid w:val="00FB434E"/>
    <w:rsid w:val="00FB7FB8"/>
    <w:rsid w:val="00FC5081"/>
    <w:rsid w:val="00FD630E"/>
    <w:rsid w:val="00FE1577"/>
    <w:rsid w:val="00FF4E7F"/>
    <w:rsid w:val="071AE0C0"/>
    <w:rsid w:val="08D81BD2"/>
    <w:rsid w:val="0A920B87"/>
    <w:rsid w:val="0E50A73E"/>
    <w:rsid w:val="10BC00E2"/>
    <w:rsid w:val="142DAE04"/>
    <w:rsid w:val="16120C36"/>
    <w:rsid w:val="17DD4C4A"/>
    <w:rsid w:val="187B2B6C"/>
    <w:rsid w:val="1A275E45"/>
    <w:rsid w:val="1BE730E4"/>
    <w:rsid w:val="1D8764D6"/>
    <w:rsid w:val="20D84B5A"/>
    <w:rsid w:val="21174958"/>
    <w:rsid w:val="222EC496"/>
    <w:rsid w:val="242959EB"/>
    <w:rsid w:val="250C6B26"/>
    <w:rsid w:val="2D021092"/>
    <w:rsid w:val="2D32D7AA"/>
    <w:rsid w:val="2E25D276"/>
    <w:rsid w:val="2EAB8DE4"/>
    <w:rsid w:val="3188FC58"/>
    <w:rsid w:val="33B5F3FF"/>
    <w:rsid w:val="3505EF71"/>
    <w:rsid w:val="35D2A1E7"/>
    <w:rsid w:val="36FA67C8"/>
    <w:rsid w:val="3864D578"/>
    <w:rsid w:val="39ACD1F3"/>
    <w:rsid w:val="3E1257C5"/>
    <w:rsid w:val="425495C1"/>
    <w:rsid w:val="45A499E2"/>
    <w:rsid w:val="4C6C9650"/>
    <w:rsid w:val="53DDD3C3"/>
    <w:rsid w:val="57E44946"/>
    <w:rsid w:val="59972CF3"/>
    <w:rsid w:val="59B31E1E"/>
    <w:rsid w:val="5A1BB296"/>
    <w:rsid w:val="5AEE33F1"/>
    <w:rsid w:val="5D558E5C"/>
    <w:rsid w:val="60E4D0AA"/>
    <w:rsid w:val="6989C8F2"/>
    <w:rsid w:val="6B2D947F"/>
    <w:rsid w:val="6B51BDD7"/>
    <w:rsid w:val="6BC70D85"/>
    <w:rsid w:val="6C6C7484"/>
    <w:rsid w:val="6F3EE74B"/>
    <w:rsid w:val="700BCC31"/>
    <w:rsid w:val="7B4D9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B139F5"/>
  <w15:chartTrackingRefBased/>
  <w15:docId w15:val="{3867069A-8824-478F-9AEA-8313F337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8C4"/>
    <w:pPr>
      <w:keepNext/>
      <w:keepLines/>
      <w:pBdr>
        <w:top w:val="single" w:sz="18" w:space="3" w:color="A6A6A6" w:themeColor="background1" w:themeShade="A6"/>
      </w:pBdr>
      <w:tabs>
        <w:tab w:val="left" w:pos="7740"/>
      </w:tabs>
      <w:spacing w:before="360" w:after="60" w:line="240" w:lineRule="auto"/>
      <w:contextualSpacing/>
      <w:outlineLvl w:val="0"/>
    </w:pPr>
    <w:rPr>
      <w:rFonts w:ascii="Arial Bold" w:eastAsiaTheme="majorEastAsia" w:hAnsi="Arial Bold" w:cstheme="majorBidi"/>
      <w:b/>
      <w:sz w:val="24"/>
      <w:szCs w:val="32"/>
    </w:rPr>
  </w:style>
  <w:style w:type="paragraph" w:styleId="Heading2">
    <w:name w:val="heading 2"/>
    <w:basedOn w:val="Normal"/>
    <w:next w:val="Normal"/>
    <w:link w:val="Heading2Char"/>
    <w:uiPriority w:val="9"/>
    <w:semiHidden/>
    <w:unhideWhenUsed/>
    <w:qFormat/>
    <w:rsid w:val="001B28C4"/>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8C4"/>
    <w:rPr>
      <w:rFonts w:ascii="Segoe UI" w:hAnsi="Segoe UI" w:cs="Segoe UI"/>
      <w:sz w:val="18"/>
      <w:szCs w:val="18"/>
    </w:rPr>
  </w:style>
  <w:style w:type="character" w:customStyle="1" w:styleId="Heading1Char">
    <w:name w:val="Heading 1 Char"/>
    <w:basedOn w:val="DefaultParagraphFont"/>
    <w:link w:val="Heading1"/>
    <w:uiPriority w:val="9"/>
    <w:rsid w:val="001B28C4"/>
    <w:rPr>
      <w:rFonts w:ascii="Arial Bold" w:eastAsiaTheme="majorEastAsia" w:hAnsi="Arial Bold" w:cstheme="majorBidi"/>
      <w:b/>
      <w:sz w:val="24"/>
      <w:szCs w:val="32"/>
    </w:rPr>
  </w:style>
  <w:style w:type="character" w:styleId="Hyperlink">
    <w:name w:val="Hyperlink"/>
    <w:basedOn w:val="DefaultParagraphFont"/>
    <w:uiPriority w:val="99"/>
    <w:unhideWhenUsed/>
    <w:rsid w:val="001B28C4"/>
    <w:rPr>
      <w:color w:val="9454C3" w:themeColor="hyperlink"/>
      <w:u w:val="single"/>
    </w:rPr>
  </w:style>
  <w:style w:type="paragraph" w:customStyle="1" w:styleId="FactText1">
    <w:name w:val="Fact Text 1"/>
    <w:qFormat/>
    <w:rsid w:val="001B28C4"/>
    <w:pPr>
      <w:spacing w:after="0" w:line="240" w:lineRule="auto"/>
    </w:pPr>
    <w:rPr>
      <w:rFonts w:ascii="Arial" w:eastAsia="Times New Roman" w:hAnsi="Arial" w:cs="Times New Roman"/>
      <w:sz w:val="24"/>
      <w:szCs w:val="24"/>
    </w:rPr>
  </w:style>
  <w:style w:type="paragraph" w:styleId="NoSpacing">
    <w:name w:val="No Spacing"/>
    <w:uiPriority w:val="1"/>
    <w:qFormat/>
    <w:rsid w:val="001B28C4"/>
    <w:pPr>
      <w:spacing w:after="0" w:line="240" w:lineRule="auto"/>
    </w:pPr>
  </w:style>
  <w:style w:type="character" w:customStyle="1" w:styleId="Heading2Char">
    <w:name w:val="Heading 2 Char"/>
    <w:basedOn w:val="DefaultParagraphFont"/>
    <w:link w:val="Heading2"/>
    <w:uiPriority w:val="9"/>
    <w:semiHidden/>
    <w:rsid w:val="001B28C4"/>
    <w:rPr>
      <w:rFonts w:asciiTheme="majorHAnsi" w:eastAsiaTheme="majorEastAsia" w:hAnsiTheme="majorHAnsi" w:cstheme="majorBidi"/>
      <w:color w:val="374C80" w:themeColor="accent1" w:themeShade="BF"/>
      <w:sz w:val="26"/>
      <w:szCs w:val="26"/>
    </w:rPr>
  </w:style>
  <w:style w:type="paragraph" w:styleId="ListParagraph">
    <w:name w:val="List Paragraph"/>
    <w:basedOn w:val="Normal"/>
    <w:uiPriority w:val="34"/>
    <w:qFormat/>
    <w:rsid w:val="001B28C4"/>
    <w:pPr>
      <w:tabs>
        <w:tab w:val="left" w:pos="7740"/>
      </w:tabs>
      <w:spacing w:line="240" w:lineRule="auto"/>
      <w:ind w:left="720"/>
      <w:contextualSpacing/>
    </w:pPr>
    <w:rPr>
      <w:rFonts w:ascii="Arial" w:hAnsi="Arial" w:cs="Arial"/>
      <w:sz w:val="24"/>
      <w:szCs w:val="24"/>
    </w:rPr>
  </w:style>
  <w:style w:type="paragraph" w:customStyle="1" w:styleId="FactText2">
    <w:name w:val="Fact Text 2"/>
    <w:basedOn w:val="FactText1"/>
    <w:qFormat/>
    <w:rsid w:val="001B28C4"/>
    <w:pPr>
      <w:spacing w:before="240"/>
    </w:pPr>
  </w:style>
  <w:style w:type="character" w:styleId="UnresolvedMention">
    <w:name w:val="Unresolved Mention"/>
    <w:basedOn w:val="DefaultParagraphFont"/>
    <w:uiPriority w:val="99"/>
    <w:semiHidden/>
    <w:unhideWhenUsed/>
    <w:rsid w:val="00537BFB"/>
    <w:rPr>
      <w:color w:val="605E5C"/>
      <w:shd w:val="clear" w:color="auto" w:fill="E1DFDD"/>
    </w:rPr>
  </w:style>
  <w:style w:type="paragraph" w:customStyle="1" w:styleId="Governorname">
    <w:name w:val="Governor name"/>
    <w:qFormat/>
    <w:rsid w:val="00AC0ED1"/>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customStyle="1" w:styleId="Address">
    <w:name w:val="Address"/>
    <w:aliases w:val="phone info"/>
    <w:basedOn w:val="Normal"/>
    <w:rsid w:val="00AC0ED1"/>
    <w:pPr>
      <w:spacing w:after="0" w:line="240" w:lineRule="auto"/>
      <w:jc w:val="right"/>
    </w:pPr>
    <w:rPr>
      <w:rFonts w:ascii="Arial" w:eastAsia="Times New Roman" w:hAnsi="Arial" w:cs="Times New Roman"/>
      <w:color w:val="005595"/>
      <w:w w:val="90"/>
      <w:sz w:val="24"/>
      <w:szCs w:val="20"/>
    </w:rPr>
  </w:style>
  <w:style w:type="paragraph" w:customStyle="1" w:styleId="Office">
    <w:name w:val="Office"/>
    <w:aliases w:val="section or unit name"/>
    <w:basedOn w:val="Normal"/>
    <w:rsid w:val="00AC0ED1"/>
    <w:pPr>
      <w:spacing w:after="0" w:line="240" w:lineRule="auto"/>
    </w:pPr>
    <w:rPr>
      <w:rFonts w:ascii="Arial" w:eastAsia="Times New Roman" w:hAnsi="Arial" w:cs="Times New Roman"/>
      <w:color w:val="005595"/>
      <w:w w:val="90"/>
      <w:szCs w:val="20"/>
    </w:rPr>
  </w:style>
  <w:style w:type="character" w:customStyle="1" w:styleId="Headersandcontents">
    <w:name w:val="Headers and contents"/>
    <w:rsid w:val="00AC0ED1"/>
    <w:rPr>
      <w:rFonts w:ascii="Arial" w:hAnsi="Arial"/>
      <w:w w:val="90"/>
    </w:rPr>
  </w:style>
  <w:style w:type="paragraph" w:styleId="Header">
    <w:name w:val="header"/>
    <w:basedOn w:val="Normal"/>
    <w:link w:val="HeaderChar"/>
    <w:uiPriority w:val="99"/>
    <w:unhideWhenUsed/>
    <w:rsid w:val="00AC0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ED1"/>
  </w:style>
  <w:style w:type="paragraph" w:styleId="Footer">
    <w:name w:val="footer"/>
    <w:basedOn w:val="Normal"/>
    <w:link w:val="FooterChar"/>
    <w:uiPriority w:val="99"/>
    <w:unhideWhenUsed/>
    <w:rsid w:val="00AC0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ED1"/>
  </w:style>
  <w:style w:type="character" w:styleId="CommentReference">
    <w:name w:val="annotation reference"/>
    <w:basedOn w:val="DefaultParagraphFont"/>
    <w:uiPriority w:val="99"/>
    <w:semiHidden/>
    <w:unhideWhenUsed/>
    <w:rsid w:val="006F51AD"/>
    <w:rPr>
      <w:sz w:val="16"/>
      <w:szCs w:val="16"/>
    </w:rPr>
  </w:style>
  <w:style w:type="paragraph" w:styleId="CommentText">
    <w:name w:val="annotation text"/>
    <w:basedOn w:val="Normal"/>
    <w:link w:val="CommentTextChar"/>
    <w:uiPriority w:val="99"/>
    <w:unhideWhenUsed/>
    <w:rsid w:val="006F51AD"/>
    <w:pPr>
      <w:spacing w:line="240" w:lineRule="auto"/>
    </w:pPr>
    <w:rPr>
      <w:sz w:val="20"/>
      <w:szCs w:val="20"/>
    </w:rPr>
  </w:style>
  <w:style w:type="character" w:customStyle="1" w:styleId="CommentTextChar">
    <w:name w:val="Comment Text Char"/>
    <w:basedOn w:val="DefaultParagraphFont"/>
    <w:link w:val="CommentText"/>
    <w:uiPriority w:val="99"/>
    <w:rsid w:val="006F51AD"/>
    <w:rPr>
      <w:sz w:val="20"/>
      <w:szCs w:val="20"/>
    </w:rPr>
  </w:style>
  <w:style w:type="paragraph" w:styleId="CommentSubject">
    <w:name w:val="annotation subject"/>
    <w:basedOn w:val="CommentText"/>
    <w:next w:val="CommentText"/>
    <w:link w:val="CommentSubjectChar"/>
    <w:uiPriority w:val="99"/>
    <w:semiHidden/>
    <w:unhideWhenUsed/>
    <w:rsid w:val="006F51AD"/>
    <w:rPr>
      <w:b/>
      <w:bCs/>
    </w:rPr>
  </w:style>
  <w:style w:type="character" w:customStyle="1" w:styleId="CommentSubjectChar">
    <w:name w:val="Comment Subject Char"/>
    <w:basedOn w:val="CommentTextChar"/>
    <w:link w:val="CommentSubject"/>
    <w:uiPriority w:val="99"/>
    <w:semiHidden/>
    <w:rsid w:val="006F51AD"/>
    <w:rPr>
      <w:b/>
      <w:bCs/>
      <w:sz w:val="20"/>
      <w:szCs w:val="20"/>
    </w:rPr>
  </w:style>
  <w:style w:type="paragraph" w:customStyle="1" w:styleId="Default">
    <w:name w:val="Default"/>
    <w:rsid w:val="00F8687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B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208A1"/>
    <w:rPr>
      <w:color w:val="3EBBF0" w:themeColor="followedHyperlink"/>
      <w:u w:val="single"/>
    </w:rPr>
  </w:style>
  <w:style w:type="paragraph" w:styleId="Revision">
    <w:name w:val="Revision"/>
    <w:hidden/>
    <w:uiPriority w:val="99"/>
    <w:semiHidden/>
    <w:rsid w:val="007B70E2"/>
    <w:pPr>
      <w:spacing w:after="0" w:line="240" w:lineRule="auto"/>
    </w:pPr>
  </w:style>
  <w:style w:type="paragraph" w:styleId="FootnoteText">
    <w:name w:val="footnote text"/>
    <w:basedOn w:val="Normal"/>
    <w:link w:val="FootnoteTextChar"/>
    <w:uiPriority w:val="99"/>
    <w:semiHidden/>
    <w:unhideWhenUsed/>
    <w:rsid w:val="00663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830"/>
    <w:rPr>
      <w:sz w:val="20"/>
      <w:szCs w:val="20"/>
    </w:rPr>
  </w:style>
  <w:style w:type="character" w:styleId="FootnoteReference">
    <w:name w:val="footnote reference"/>
    <w:basedOn w:val="DefaultParagraphFont"/>
    <w:uiPriority w:val="99"/>
    <w:semiHidden/>
    <w:unhideWhenUsed/>
    <w:rsid w:val="00663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3519">
      <w:bodyDiv w:val="1"/>
      <w:marLeft w:val="0"/>
      <w:marRight w:val="0"/>
      <w:marTop w:val="0"/>
      <w:marBottom w:val="0"/>
      <w:divBdr>
        <w:top w:val="none" w:sz="0" w:space="0" w:color="auto"/>
        <w:left w:val="none" w:sz="0" w:space="0" w:color="auto"/>
        <w:bottom w:val="none" w:sz="0" w:space="0" w:color="auto"/>
        <w:right w:val="none" w:sz="0" w:space="0" w:color="auto"/>
      </w:divBdr>
      <w:divsChild>
        <w:div w:id="9511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egon.gov/oha/HSD/OHP/CCO/2023-PIL-PP-Guidance.doc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egon.gov/OHA/HSD/OHP/Documents/Compare-Final-2023-M-to-Final-2024-M.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HSD/OHP/Pages/CCO-Contract-Form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cc02.safelinks.protection.outlook.com/?url=https%3A%2F%2Foha-cco.powerappsportals.us%2F&amp;data=05%7C01%7CMICHELLE.M.MEUWISSEN%40oha.oregon.gov%7C6e07a359b20f4c45c66308dbe5614ca8%7C658e63e88d39499c8f4813adc9452f4c%7C0%7C0%7C638355978851222031%7CUnknown%7CTWFpbGZsb3d8eyJWIjoiMC4wLjAwMDAiLCJQIjoiV2luMzIiLCJBTiI6Ik1haWwiLCJXVCI6Mn0%3D%7C3000%7C%7C%7C&amp;sdata=IYuFYiWjuEdihuvv5zte5YgYCJ2p5CchRmIGtHAoVnM%3D&amp;reserved=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gov/oha/HSD/OHP/CCO/2024-M-CCO-Contract-Template.pdf" TargetMode="External"/><Relationship Id="rId14" Type="http://schemas.openxmlformats.org/officeDocument/2006/relationships/hyperlink" Target="mailto:Jake.M.Jensen@odhsoha.oregon.gov"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2023-11-29T08:00:00+00:00</Effective_x0020_date>
    <Contract_x0020_topic xmlns="47be7094-86b6-4c75-87da-a9bfd340ff09">Operations</Contract_x0020_topic>
    <DocumentExpirationDate xmlns="59da1016-2a1b-4f8a-9768-d7a4932f6f16" xsi:nil="true"/>
    <IATopic xmlns="59da1016-2a1b-4f8a-9768-d7a4932f6f16" xsi:nil="true"/>
    <Archive xmlns="47be7094-86b6-4c75-87da-a9bfd340ff09">false</Archive>
    <documentType xmlns="47be7094-86b6-4c75-87da-a9bfd340ff09">Resource</documentType>
    <Meta_x0020_Keywords xmlns="47be7094-86b6-4c75-87da-a9bfd340ff09">b8</Meta_x0020_Keywords>
    <URL xmlns="http://schemas.microsoft.com/sharepoint/v3">
      <Url>https://www.oregon.gov/oha/HSD/OHP/CCO/2024-PIL-PP-Self-Eval-Checklist.docx</Url>
      <Description>PIL P&amp;Ps Self-Evaluation Checklist for CY 2024, 11/29/2023</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80FAFA8F-BAA5-4CE3-BC45-7538FDD65B6A}">
  <ds:schemaRefs>
    <ds:schemaRef ds:uri="http://schemas.openxmlformats.org/officeDocument/2006/bibliography"/>
  </ds:schemaRefs>
</ds:datastoreItem>
</file>

<file path=customXml/itemProps2.xml><?xml version="1.0" encoding="utf-8"?>
<ds:datastoreItem xmlns:ds="http://schemas.openxmlformats.org/officeDocument/2006/customXml" ds:itemID="{5CC68C5F-1D6C-46DB-A5FD-95CC8E312724}"/>
</file>

<file path=customXml/itemProps3.xml><?xml version="1.0" encoding="utf-8"?>
<ds:datastoreItem xmlns:ds="http://schemas.openxmlformats.org/officeDocument/2006/customXml" ds:itemID="{E4425B7D-86CC-469E-9BFB-667C29EA3A5D}"/>
</file>

<file path=customXml/itemProps4.xml><?xml version="1.0" encoding="utf-8"?>
<ds:datastoreItem xmlns:ds="http://schemas.openxmlformats.org/officeDocument/2006/customXml" ds:itemID="{8547CFE4-392A-4F4D-AF00-EE024E9023DA}"/>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P&amp;Ps Self-Evaluation Checklist for CY 2024, 11/29/2023</dc:title>
  <dc:subject/>
  <dc:creator>JENSEN Jake M</dc:creator>
  <cp:keywords/>
  <dc:description/>
  <cp:lastModifiedBy>Henning Cheryl  L</cp:lastModifiedBy>
  <cp:revision>6</cp:revision>
  <dcterms:created xsi:type="dcterms:W3CDTF">2023-11-29T22:40:00Z</dcterms:created>
  <dcterms:modified xsi:type="dcterms:W3CDTF">2023-11-29T23:59:00Z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2023-11-28T18:27:58Z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d6627c76-61a1-4ff7-bdea-ebb3ae43eea0</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dff07ce7-2fe0-44e5-9d33-eb01c4950507,4;dff07ce7-2fe0-44e5-9d33-eb01c4950507,6;dff07ce7-2fe0-44e5-9d33-eb01c4950507,8;dff07ce7-2fe0-44e5-9d33-eb01c4950507,10;dff07ce7-2fe0-44e5-9d33-eb01c4950507,12;dff07ce7-2fe0-44e5-9d33-eb01c4950507,14;dff07ce7-2fe0-44e5-9d33-eb01c4950507,16;</vt:lpwstr>
  </property>
</Properties>
</file>