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698"/>
        <w:gridCol w:w="11262"/>
      </w:tblGrid>
      <w:tr w:rsidR="00216F8E" w:rsidRPr="000B7CC2" w14:paraId="01B52765" w14:textId="77777777" w:rsidTr="00941CA6">
        <w:trPr>
          <w:jc w:val="center"/>
        </w:trPr>
        <w:tc>
          <w:tcPr>
            <w:tcW w:w="1834" w:type="dxa"/>
            <w:tcBorders>
              <w:top w:val="single" w:sz="4" w:space="0" w:color="auto"/>
              <w:left w:val="single" w:sz="4" w:space="0" w:color="auto"/>
              <w:bottom w:val="single" w:sz="4" w:space="0" w:color="auto"/>
              <w:right w:val="single" w:sz="4" w:space="0" w:color="auto"/>
            </w:tcBorders>
            <w:shd w:val="clear" w:color="auto" w:fill="00549E"/>
          </w:tcPr>
          <w:p w14:paraId="21E53AF8" w14:textId="1D63995C" w:rsidR="00216F8E" w:rsidRPr="000B7CC2" w:rsidRDefault="00216F8E" w:rsidP="00941CA6">
            <w:pPr>
              <w:pStyle w:val="HSAGTableHeading"/>
              <w:jc w:val="left"/>
            </w:pPr>
            <w:bookmarkStart w:id="0" w:name="_Hlk156484921"/>
            <w:r>
              <w:t xml:space="preserve">CCO Name: </w:t>
            </w:r>
          </w:p>
        </w:tc>
        <w:bookmarkStart w:id="1" w:name="CCO"/>
        <w:tc>
          <w:tcPr>
            <w:tcW w:w="12201" w:type="dxa"/>
            <w:tcBorders>
              <w:top w:val="single" w:sz="4" w:space="0" w:color="auto"/>
              <w:left w:val="single" w:sz="4" w:space="0" w:color="auto"/>
              <w:bottom w:val="single" w:sz="4" w:space="0" w:color="auto"/>
              <w:right w:val="single" w:sz="4" w:space="0" w:color="auto"/>
            </w:tcBorders>
            <w:shd w:val="clear" w:color="auto" w:fill="auto"/>
          </w:tcPr>
          <w:p w14:paraId="7213EE98" w14:textId="7AEC0AE0" w:rsidR="00216F8E" w:rsidRPr="00F81845" w:rsidRDefault="00410747" w:rsidP="00941CA6">
            <w:pPr>
              <w:pStyle w:val="HSAGTableHeading"/>
              <w:ind w:left="210"/>
              <w:jc w:val="left"/>
              <w:rPr>
                <w:rFonts w:ascii="Times New Roman" w:hAnsi="Times New Roman" w:cs="Times New Roman"/>
                <w:b w:val="0"/>
                <w:bCs w:val="0"/>
              </w:rPr>
            </w:pPr>
            <w:sdt>
              <w:sdtPr>
                <w:rPr>
                  <w:rFonts w:ascii="Times New Roman" w:hAnsi="Times New Roman" w:cs="Times New Roman"/>
                  <w:b w:val="0"/>
                  <w:bCs w:val="0"/>
                  <w:color w:val="auto"/>
                </w:rPr>
                <w:id w:val="-960333293"/>
                <w:placeholder>
                  <w:docPart w:val="7DA70018A19C4F19864EF33A76A9449B"/>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sdtContent>
                <w:r w:rsidR="00D65414" w:rsidRPr="003B6F3C">
                  <w:rPr>
                    <w:rStyle w:val="PlaceholderText"/>
                  </w:rPr>
                  <w:t>Choose an item.</w:t>
                </w:r>
              </w:sdtContent>
            </w:sdt>
            <w:bookmarkEnd w:id="1"/>
          </w:p>
        </w:tc>
      </w:tr>
    </w:tbl>
    <w:p w14:paraId="6F2DC715" w14:textId="77777777" w:rsidR="00F70DFB" w:rsidRPr="00F70DFB" w:rsidRDefault="00F70DFB" w:rsidP="00F70DFB">
      <w:pPr>
        <w:spacing w:before="0" w:after="0"/>
        <w:rPr>
          <w:sz w:val="2"/>
          <w:szCs w:val="2"/>
        </w:rPr>
      </w:pPr>
    </w:p>
    <w:bookmarkEnd w:id="0"/>
    <w:p w14:paraId="13E272BA" w14:textId="77777777" w:rsidR="00A11A6F" w:rsidRPr="00A11A6F" w:rsidRDefault="00A11A6F" w:rsidP="00A11A6F">
      <w:pPr>
        <w:spacing w:before="0" w:after="0"/>
        <w:rPr>
          <w:rFonts w:eastAsia="Times New Roman" w:cs="Times New Roman"/>
          <w:sz w:val="12"/>
          <w:szCs w:val="4"/>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5263"/>
        <w:gridCol w:w="1715"/>
      </w:tblGrid>
      <w:tr w:rsidR="00A11A6F" w:rsidRPr="000C4F26" w14:paraId="56E42EEB" w14:textId="77777777" w:rsidTr="00941CA6">
        <w:trPr>
          <w:trHeight w:val="374"/>
          <w:tblHeader/>
          <w:jc w:val="center"/>
        </w:trPr>
        <w:tc>
          <w:tcPr>
            <w:tcW w:w="12960" w:type="dxa"/>
            <w:gridSpan w:val="3"/>
            <w:shd w:val="clear" w:color="auto" w:fill="00549E"/>
            <w:vAlign w:val="center"/>
            <w:hideMark/>
          </w:tcPr>
          <w:p w14:paraId="7157F879" w14:textId="4D1395E4" w:rsidR="00A11A6F" w:rsidRPr="000C4F26" w:rsidRDefault="00050195" w:rsidP="00941CA6">
            <w:pPr>
              <w:pStyle w:val="HSAGTableHeading"/>
              <w:jc w:val="left"/>
            </w:pPr>
            <w:r w:rsidRPr="000C4F26">
              <w:t>Standard XII—Quality Assessment and Performance Improvement (42 CFR §438.330)</w:t>
            </w:r>
          </w:p>
        </w:tc>
      </w:tr>
      <w:tr w:rsidR="00941CA6" w:rsidRPr="00941CA6" w14:paraId="36BC6806" w14:textId="77777777" w:rsidTr="00941CA6">
        <w:trPr>
          <w:trHeight w:val="374"/>
          <w:tblHeader/>
          <w:jc w:val="center"/>
        </w:trPr>
        <w:tc>
          <w:tcPr>
            <w:tcW w:w="5982" w:type="dxa"/>
            <w:shd w:val="clear" w:color="auto" w:fill="DFECF7"/>
            <w:vAlign w:val="center"/>
            <w:hideMark/>
          </w:tcPr>
          <w:p w14:paraId="0AE8DC0B" w14:textId="77777777" w:rsidR="00A11A6F" w:rsidRPr="00941CA6" w:rsidRDefault="00A11A6F" w:rsidP="00941CA6">
            <w:pPr>
              <w:pStyle w:val="HSAGTableHeading"/>
              <w:jc w:val="left"/>
              <w:rPr>
                <w:color w:val="auto"/>
              </w:rPr>
            </w:pPr>
            <w:r w:rsidRPr="00941CA6">
              <w:rPr>
                <w:color w:val="auto"/>
              </w:rPr>
              <w:t>Requirement</w:t>
            </w:r>
          </w:p>
        </w:tc>
        <w:tc>
          <w:tcPr>
            <w:tcW w:w="5263" w:type="dxa"/>
            <w:shd w:val="clear" w:color="auto" w:fill="DFECF7"/>
            <w:vAlign w:val="center"/>
            <w:hideMark/>
          </w:tcPr>
          <w:p w14:paraId="224E5057" w14:textId="77777777" w:rsidR="00A11A6F" w:rsidRPr="00941CA6" w:rsidRDefault="00A11A6F" w:rsidP="00941CA6">
            <w:pPr>
              <w:pStyle w:val="HSAGTableHeading"/>
              <w:jc w:val="left"/>
              <w:rPr>
                <w:color w:val="auto"/>
              </w:rPr>
            </w:pPr>
            <w:r w:rsidRPr="00941CA6">
              <w:rPr>
                <w:color w:val="auto"/>
              </w:rPr>
              <w:t>Supporting Documentation</w:t>
            </w:r>
          </w:p>
        </w:tc>
        <w:tc>
          <w:tcPr>
            <w:tcW w:w="1715" w:type="dxa"/>
            <w:shd w:val="clear" w:color="auto" w:fill="DFECF7"/>
            <w:vAlign w:val="center"/>
            <w:hideMark/>
          </w:tcPr>
          <w:p w14:paraId="316CD1E1" w14:textId="77777777" w:rsidR="00A11A6F" w:rsidRPr="00941CA6" w:rsidRDefault="00A11A6F" w:rsidP="00941CA6">
            <w:pPr>
              <w:pStyle w:val="HSAGTableHeading"/>
              <w:jc w:val="left"/>
              <w:rPr>
                <w:color w:val="auto"/>
              </w:rPr>
            </w:pPr>
            <w:r w:rsidRPr="00941CA6">
              <w:rPr>
                <w:color w:val="auto"/>
              </w:rPr>
              <w:t>Score</w:t>
            </w:r>
          </w:p>
        </w:tc>
      </w:tr>
      <w:tr w:rsidR="00941CA6" w:rsidRPr="00941CA6" w14:paraId="5887F775" w14:textId="77777777" w:rsidTr="00AB2A19">
        <w:trPr>
          <w:trHeight w:val="374"/>
          <w:jc w:val="center"/>
        </w:trPr>
        <w:tc>
          <w:tcPr>
            <w:tcW w:w="12960" w:type="dxa"/>
            <w:gridSpan w:val="3"/>
            <w:shd w:val="clear" w:color="auto" w:fill="D9D9D9" w:themeFill="background1" w:themeFillShade="D9"/>
            <w:vAlign w:val="center"/>
          </w:tcPr>
          <w:p w14:paraId="0E010776" w14:textId="42A6A7A3" w:rsidR="00941CA6" w:rsidRPr="00941CA6" w:rsidRDefault="00941CA6" w:rsidP="00941CA6">
            <w:pPr>
              <w:pStyle w:val="HSAGTableHeading"/>
              <w:jc w:val="left"/>
              <w:rPr>
                <w:color w:val="auto"/>
              </w:rPr>
            </w:pPr>
            <w:bookmarkStart w:id="2" w:name="_Hlk507154517"/>
            <w:r w:rsidRPr="00941CA6">
              <w:rPr>
                <w:rFonts w:cs="Calibri"/>
                <w:color w:val="auto"/>
              </w:rPr>
              <w:t>General Rules</w:t>
            </w:r>
          </w:p>
        </w:tc>
      </w:tr>
      <w:tr w:rsidR="00A11A6F" w:rsidRPr="000C4F26" w14:paraId="7447C932" w14:textId="77777777" w:rsidTr="00941CA6">
        <w:trPr>
          <w:trHeight w:val="374"/>
          <w:jc w:val="center"/>
        </w:trPr>
        <w:tc>
          <w:tcPr>
            <w:tcW w:w="5982" w:type="dxa"/>
            <w:vMerge w:val="restart"/>
          </w:tcPr>
          <w:p w14:paraId="732D292E" w14:textId="5492F53D" w:rsidR="00A11A6F" w:rsidRPr="000C4F26" w:rsidRDefault="00A11A6F" w:rsidP="00941CA6">
            <w:pPr>
              <w:pStyle w:val="TableNumber1"/>
              <w:rPr>
                <w:sz w:val="18"/>
                <w:szCs w:val="18"/>
              </w:rPr>
            </w:pPr>
            <w:bookmarkStart w:id="3" w:name="_Hlk507156005"/>
            <w:r w:rsidRPr="000C4F26">
              <w:t>The CCO establishes and implements an ongoing comprehensive quality assessment and performance improvement (QAPI) program for the services it furnishes to its members.</w:t>
            </w:r>
          </w:p>
          <w:p w14:paraId="2691B635" w14:textId="0EFC5C6F" w:rsidR="00A11A6F" w:rsidRPr="000C4F26" w:rsidRDefault="002D1633" w:rsidP="00941CA6">
            <w:pPr>
              <w:pStyle w:val="ContractRef"/>
            </w:pPr>
            <w:r w:rsidRPr="000C4F26">
              <w:t xml:space="preserve"> </w:t>
            </w:r>
          </w:p>
          <w:p w14:paraId="3F07E9B1" w14:textId="77777777" w:rsidR="00A11A6F" w:rsidRPr="000C4F26" w:rsidRDefault="00A11A6F" w:rsidP="00941CA6">
            <w:pPr>
              <w:pStyle w:val="ContractRef"/>
            </w:pPr>
            <w:r w:rsidRPr="000C4F26">
              <w:t>42 CFR §438.330(a)(1)</w:t>
            </w:r>
          </w:p>
          <w:p w14:paraId="55207E63" w14:textId="77777777" w:rsidR="00A11A6F" w:rsidRPr="000C4F26" w:rsidRDefault="00A11A6F" w:rsidP="00941CA6">
            <w:pPr>
              <w:pStyle w:val="ContractRef"/>
            </w:pPr>
            <w:r w:rsidRPr="000C4F26">
              <w:t>42 CFR §457.1240(b)</w:t>
            </w:r>
          </w:p>
          <w:p w14:paraId="2D0B5D5F" w14:textId="6D8CD55A" w:rsidR="00A11A6F" w:rsidRPr="000C4F26" w:rsidRDefault="00A11A6F" w:rsidP="00941CA6">
            <w:pPr>
              <w:pStyle w:val="ContractRef"/>
            </w:pPr>
            <w:r w:rsidRPr="000C4F26">
              <w:t xml:space="preserve">Contract: </w:t>
            </w:r>
            <w:r w:rsidR="00D02394" w:rsidRPr="000C4F26">
              <w:t>Exhibit B</w:t>
            </w:r>
            <w:r w:rsidRPr="000C4F26">
              <w:t xml:space="preserve"> Part 10 (2)(c)(3)</w:t>
            </w:r>
          </w:p>
          <w:p w14:paraId="2D9D0E5C" w14:textId="2809E340" w:rsidR="00A11A6F" w:rsidRPr="000C4F26" w:rsidRDefault="00A11A6F" w:rsidP="00941CA6">
            <w:pPr>
              <w:pStyle w:val="ContractRef"/>
            </w:pPr>
            <w:r w:rsidRPr="000C4F26">
              <w:t>OAR 410-141-3525(5)</w:t>
            </w:r>
          </w:p>
        </w:tc>
        <w:tc>
          <w:tcPr>
            <w:tcW w:w="5263" w:type="dxa"/>
            <w:shd w:val="clear" w:color="auto" w:fill="FFFFFF" w:themeFill="background1"/>
          </w:tcPr>
          <w:p w14:paraId="7D3C97D7" w14:textId="04726E60" w:rsidR="00A11A6F" w:rsidRPr="000C4F26" w:rsidRDefault="00867651" w:rsidP="00F20113">
            <w:pPr>
              <w:pStyle w:val="HSAGTableText"/>
              <w:rPr>
                <w:b/>
                <w:bCs/>
              </w:rPr>
            </w:pPr>
            <w:r w:rsidRPr="000C4F26">
              <w:rPr>
                <w:b/>
                <w:bCs/>
              </w:rPr>
              <w:t>HSAG Suggested Documents</w:t>
            </w:r>
            <w:r w:rsidR="00A11A6F" w:rsidRPr="000C4F26">
              <w:rPr>
                <w:b/>
                <w:bCs/>
              </w:rPr>
              <w:t>:</w:t>
            </w:r>
          </w:p>
          <w:p w14:paraId="6898FE3E" w14:textId="77777777" w:rsidR="00A11A6F" w:rsidRPr="000C4F26" w:rsidRDefault="00A11A6F" w:rsidP="00941CA6">
            <w:pPr>
              <w:pStyle w:val="HSAGTableBullet1"/>
            </w:pPr>
            <w:r w:rsidRPr="000C4F26">
              <w:t>QAPI program description</w:t>
            </w:r>
          </w:p>
          <w:p w14:paraId="65CF2B16" w14:textId="77777777" w:rsidR="00A11A6F" w:rsidRPr="000C4F26" w:rsidRDefault="00A11A6F" w:rsidP="00941CA6">
            <w:pPr>
              <w:pStyle w:val="HSAGTableBullet1"/>
            </w:pPr>
            <w:r w:rsidRPr="000C4F26">
              <w:t>QAPI work plan</w:t>
            </w:r>
          </w:p>
          <w:p w14:paraId="505E7779" w14:textId="40ACF12F" w:rsidR="00815EF2" w:rsidRPr="000C4F26" w:rsidRDefault="00815EF2" w:rsidP="00941CA6">
            <w:pPr>
              <w:pStyle w:val="HSAGTableBullet1"/>
            </w:pPr>
            <w:r w:rsidRPr="000C4F26">
              <w:t>Committee meeting minutes</w:t>
            </w:r>
          </w:p>
        </w:tc>
        <w:tc>
          <w:tcPr>
            <w:tcW w:w="1715" w:type="dxa"/>
            <w:vMerge w:val="restart"/>
            <w:shd w:val="clear" w:color="auto" w:fill="FFFFFF" w:themeFill="background1"/>
          </w:tcPr>
          <w:p w14:paraId="6D8A6ECB" w14:textId="77777777" w:rsidR="00867651" w:rsidRPr="000C4F26" w:rsidRDefault="00410747" w:rsidP="00867651">
            <w:pPr>
              <w:pStyle w:val="HSAGTableText"/>
            </w:pPr>
            <w:sdt>
              <w:sdtPr>
                <w:id w:val="1126047287"/>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Met</w:t>
            </w:r>
          </w:p>
          <w:p w14:paraId="72C94506" w14:textId="77777777" w:rsidR="00867651" w:rsidRPr="000C4F26" w:rsidRDefault="00410747" w:rsidP="00867651">
            <w:pPr>
              <w:pStyle w:val="HSAGTableText"/>
            </w:pPr>
            <w:sdt>
              <w:sdtPr>
                <w:id w:val="-2097462095"/>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Partially Met</w:t>
            </w:r>
          </w:p>
          <w:p w14:paraId="2E69EAF2" w14:textId="77777777" w:rsidR="00867651" w:rsidRPr="000C4F26" w:rsidRDefault="00410747" w:rsidP="00867651">
            <w:pPr>
              <w:pStyle w:val="HSAGTableText"/>
              <w:rPr>
                <w:b/>
              </w:rPr>
            </w:pPr>
            <w:sdt>
              <w:sdtPr>
                <w:id w:val="-1967107212"/>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Not Met</w:t>
            </w:r>
          </w:p>
          <w:p w14:paraId="72EFCAE6" w14:textId="11771C8E" w:rsidR="00A11A6F" w:rsidRPr="000C4F26" w:rsidRDefault="00A11A6F" w:rsidP="00A11A6F">
            <w:pPr>
              <w:spacing w:before="60" w:after="0"/>
              <w:contextualSpacing/>
              <w:rPr>
                <w:sz w:val="22"/>
              </w:rPr>
            </w:pPr>
          </w:p>
        </w:tc>
      </w:tr>
      <w:tr w:rsidR="00A11A6F" w:rsidRPr="000C4F26" w14:paraId="1DA50E70" w14:textId="77777777" w:rsidTr="00941CA6">
        <w:trPr>
          <w:trHeight w:val="374"/>
          <w:jc w:val="center"/>
        </w:trPr>
        <w:tc>
          <w:tcPr>
            <w:tcW w:w="5982" w:type="dxa"/>
            <w:vMerge/>
          </w:tcPr>
          <w:p w14:paraId="00FE75E2" w14:textId="77777777" w:rsidR="00A11A6F" w:rsidRPr="000C4F26" w:rsidRDefault="00A11A6F" w:rsidP="005E61B1">
            <w:pPr>
              <w:numPr>
                <w:ilvl w:val="0"/>
                <w:numId w:val="12"/>
              </w:numPr>
              <w:spacing w:before="40" w:after="40"/>
              <w:contextualSpacing/>
              <w:rPr>
                <w:rFonts w:eastAsia="Times New Roman" w:cs="Times New Roman"/>
                <w:sz w:val="22"/>
              </w:rPr>
            </w:pPr>
          </w:p>
        </w:tc>
        <w:tc>
          <w:tcPr>
            <w:tcW w:w="5263" w:type="dxa"/>
            <w:shd w:val="clear" w:color="auto" w:fill="FFFFFF" w:themeFill="background1"/>
          </w:tcPr>
          <w:p w14:paraId="3CFD162D" w14:textId="2970CE64" w:rsidR="00A11A6F" w:rsidRPr="000C4F26" w:rsidRDefault="00A11A6F" w:rsidP="00F20113">
            <w:pPr>
              <w:pStyle w:val="HSAGTableText"/>
              <w:rPr>
                <w:b/>
                <w:bCs/>
              </w:rPr>
            </w:pPr>
            <w:r w:rsidRPr="000C4F26">
              <w:rPr>
                <w:b/>
                <w:bCs/>
              </w:rPr>
              <w:t>Evidence as Submitted by the CCO:</w:t>
            </w:r>
          </w:p>
          <w:p w14:paraId="5448833B" w14:textId="77777777" w:rsidR="00A11A6F" w:rsidRPr="000C4F26" w:rsidRDefault="00A11A6F" w:rsidP="00941CA6">
            <w:pPr>
              <w:pStyle w:val="HSAGTableBullet1"/>
            </w:pPr>
          </w:p>
        </w:tc>
        <w:tc>
          <w:tcPr>
            <w:tcW w:w="1715" w:type="dxa"/>
            <w:vMerge/>
            <w:shd w:val="clear" w:color="auto" w:fill="FFFFFF" w:themeFill="background1"/>
          </w:tcPr>
          <w:p w14:paraId="7CDF4D4A" w14:textId="77777777" w:rsidR="00A11A6F" w:rsidRPr="000C4F26" w:rsidRDefault="00A11A6F" w:rsidP="00A11A6F">
            <w:pPr>
              <w:spacing w:before="60" w:after="0"/>
              <w:contextualSpacing/>
              <w:rPr>
                <w:sz w:val="22"/>
              </w:rPr>
            </w:pPr>
          </w:p>
        </w:tc>
      </w:tr>
      <w:tr w:rsidR="00A11A6F" w:rsidRPr="00812E33" w14:paraId="4CC918D1" w14:textId="77777777" w:rsidTr="00941CA6">
        <w:trPr>
          <w:trHeight w:val="374"/>
          <w:jc w:val="center"/>
        </w:trPr>
        <w:tc>
          <w:tcPr>
            <w:tcW w:w="12960" w:type="dxa"/>
            <w:gridSpan w:val="3"/>
            <w:tcBorders>
              <w:bottom w:val="single" w:sz="4" w:space="0" w:color="000000"/>
            </w:tcBorders>
            <w:vAlign w:val="center"/>
            <w:hideMark/>
          </w:tcPr>
          <w:p w14:paraId="4ED14176" w14:textId="7B087A23" w:rsidR="00A11A6F" w:rsidRPr="00812E33" w:rsidRDefault="00A11A6F" w:rsidP="00812E33">
            <w:pPr>
              <w:pStyle w:val="HSAGTableText"/>
              <w:rPr>
                <w:b/>
                <w:bCs/>
              </w:rPr>
            </w:pPr>
            <w:r w:rsidRPr="00812E33">
              <w:rPr>
                <w:b/>
                <w:bCs/>
              </w:rPr>
              <w:t>HSAG Findings:</w:t>
            </w:r>
            <w:r w:rsidRPr="00812E33">
              <w:t xml:space="preserve"> </w:t>
            </w:r>
            <w:r w:rsidR="00812E33" w:rsidRPr="00812E33">
              <w:t xml:space="preserve">    </w:t>
            </w:r>
          </w:p>
        </w:tc>
      </w:tr>
      <w:tr w:rsidR="00A11A6F" w:rsidRPr="00812E33" w14:paraId="3455A3CB" w14:textId="77777777" w:rsidTr="00941CA6">
        <w:trPr>
          <w:trHeight w:val="374"/>
          <w:jc w:val="center"/>
        </w:trPr>
        <w:tc>
          <w:tcPr>
            <w:tcW w:w="12960" w:type="dxa"/>
            <w:gridSpan w:val="3"/>
            <w:tcBorders>
              <w:top w:val="single" w:sz="4" w:space="0" w:color="000000"/>
              <w:bottom w:val="single" w:sz="18" w:space="0" w:color="00549E" w:themeColor="text2"/>
            </w:tcBorders>
            <w:vAlign w:val="center"/>
          </w:tcPr>
          <w:p w14:paraId="59C9F8AB" w14:textId="50B3330A" w:rsidR="00A11A6F" w:rsidRPr="00812E33" w:rsidRDefault="00A11A6F" w:rsidP="00812E33">
            <w:pPr>
              <w:pStyle w:val="HSAGTableText"/>
              <w:rPr>
                <w:b/>
                <w:bCs/>
              </w:rPr>
            </w:pPr>
            <w:r w:rsidRPr="00812E33">
              <w:rPr>
                <w:b/>
                <w:bCs/>
              </w:rPr>
              <w:t>Required Actions:</w:t>
            </w:r>
            <w:r w:rsidR="00812E33" w:rsidRPr="00812E33">
              <w:t xml:space="preserve">     </w:t>
            </w:r>
          </w:p>
        </w:tc>
      </w:tr>
      <w:tr w:rsidR="00941CA6" w:rsidRPr="00941CA6" w14:paraId="3B32AC5B" w14:textId="77777777" w:rsidTr="00565475">
        <w:trPr>
          <w:trHeight w:val="374"/>
          <w:jc w:val="center"/>
        </w:trPr>
        <w:tc>
          <w:tcPr>
            <w:tcW w:w="12960" w:type="dxa"/>
            <w:gridSpan w:val="3"/>
            <w:shd w:val="clear" w:color="auto" w:fill="D9D9D9" w:themeFill="background1" w:themeFillShade="D9"/>
            <w:vAlign w:val="center"/>
          </w:tcPr>
          <w:p w14:paraId="1C95D5AA" w14:textId="6161844E" w:rsidR="00941CA6" w:rsidRPr="00941CA6" w:rsidRDefault="00941CA6" w:rsidP="00941CA6">
            <w:pPr>
              <w:pStyle w:val="HSAGTableHeading"/>
              <w:jc w:val="left"/>
              <w:rPr>
                <w:rFonts w:cs="Calibri"/>
                <w:color w:val="auto"/>
              </w:rPr>
            </w:pPr>
            <w:r w:rsidRPr="00941CA6">
              <w:rPr>
                <w:rFonts w:cs="Calibri"/>
                <w:color w:val="auto"/>
              </w:rPr>
              <w:t>Basic Elements of QAPI Programs</w:t>
            </w:r>
          </w:p>
        </w:tc>
      </w:tr>
      <w:bookmarkEnd w:id="2"/>
      <w:bookmarkEnd w:id="3"/>
      <w:tr w:rsidR="00A11A6F" w:rsidRPr="000C4F26" w14:paraId="3BB1C446" w14:textId="77777777" w:rsidTr="00941CA6">
        <w:trPr>
          <w:trHeight w:val="374"/>
          <w:jc w:val="center"/>
        </w:trPr>
        <w:tc>
          <w:tcPr>
            <w:tcW w:w="5982" w:type="dxa"/>
            <w:vMerge w:val="restart"/>
          </w:tcPr>
          <w:p w14:paraId="220AF17B" w14:textId="77777777" w:rsidR="00A11A6F" w:rsidRPr="000C4F26" w:rsidRDefault="00A11A6F" w:rsidP="00941CA6">
            <w:pPr>
              <w:pStyle w:val="TableNumber1"/>
              <w:rPr>
                <w:i/>
                <w:sz w:val="18"/>
                <w:szCs w:val="18"/>
              </w:rPr>
            </w:pPr>
            <w:r w:rsidRPr="000C4F26">
              <w:t>The QAPI program includes mechanisms to assess both underutilization and overutilization of services.</w:t>
            </w:r>
          </w:p>
          <w:p w14:paraId="18DECE08" w14:textId="77777777" w:rsidR="00A11A6F" w:rsidRPr="000C4F26" w:rsidRDefault="00A11A6F" w:rsidP="00941CA6">
            <w:pPr>
              <w:pStyle w:val="ContractRef"/>
            </w:pPr>
          </w:p>
          <w:p w14:paraId="3692D449" w14:textId="77777777" w:rsidR="00A11A6F" w:rsidRPr="000C4F26" w:rsidRDefault="00A11A6F" w:rsidP="00941CA6">
            <w:pPr>
              <w:pStyle w:val="ContractRef"/>
            </w:pPr>
            <w:r w:rsidRPr="000C4F26">
              <w:t>42 CFR §438.330(b)(3)</w:t>
            </w:r>
          </w:p>
          <w:p w14:paraId="0C776A77" w14:textId="77777777" w:rsidR="00A11A6F" w:rsidRPr="000C4F26" w:rsidRDefault="00A11A6F" w:rsidP="00941CA6">
            <w:pPr>
              <w:pStyle w:val="ContractRef"/>
            </w:pPr>
            <w:r w:rsidRPr="000C4F26">
              <w:t>42 CFR §457.1240(b)</w:t>
            </w:r>
          </w:p>
          <w:p w14:paraId="31FC14AD" w14:textId="154EFC1A" w:rsidR="00A11A6F" w:rsidRPr="000C4F26" w:rsidRDefault="00A11A6F" w:rsidP="00941CA6">
            <w:pPr>
              <w:pStyle w:val="ContractRef"/>
            </w:pPr>
            <w:r w:rsidRPr="000C4F26">
              <w:t>Contract: Exhibit B Part 10(2)(c)(3)(d)</w:t>
            </w:r>
          </w:p>
          <w:p w14:paraId="39E6C405" w14:textId="2EB1F87B" w:rsidR="00A11A6F" w:rsidRPr="000C4F26" w:rsidRDefault="00A11A6F" w:rsidP="00941CA6">
            <w:pPr>
              <w:pStyle w:val="ContractRef"/>
            </w:pPr>
            <w:r w:rsidRPr="000C4F26">
              <w:t>OAR 410-141-3525(5)(a)</w:t>
            </w:r>
          </w:p>
        </w:tc>
        <w:tc>
          <w:tcPr>
            <w:tcW w:w="5263" w:type="dxa"/>
            <w:shd w:val="clear" w:color="auto" w:fill="FFFFFF" w:themeFill="background1"/>
          </w:tcPr>
          <w:p w14:paraId="64FAC2F0" w14:textId="45FE9CC5" w:rsidR="00A11A6F" w:rsidRPr="000C4F26" w:rsidRDefault="00867651" w:rsidP="00F20113">
            <w:pPr>
              <w:pStyle w:val="HSAGTableText"/>
              <w:rPr>
                <w:b/>
                <w:bCs/>
              </w:rPr>
            </w:pPr>
            <w:r w:rsidRPr="000C4F26">
              <w:rPr>
                <w:b/>
                <w:bCs/>
              </w:rPr>
              <w:t>HSAG Suggested Documents</w:t>
            </w:r>
            <w:r w:rsidR="00A11A6F" w:rsidRPr="000C4F26">
              <w:rPr>
                <w:b/>
                <w:bCs/>
              </w:rPr>
              <w:t>:</w:t>
            </w:r>
          </w:p>
          <w:p w14:paraId="6797E76A" w14:textId="66948A1D" w:rsidR="00A11A6F" w:rsidRPr="000C4F26" w:rsidRDefault="00A11A6F" w:rsidP="00941CA6">
            <w:pPr>
              <w:pStyle w:val="HSAGTableBullet1"/>
            </w:pPr>
            <w:r w:rsidRPr="000C4F26">
              <w:t xml:space="preserve">QAPI program description </w:t>
            </w:r>
            <w:r w:rsidR="00261227" w:rsidRPr="000C4F26">
              <w:t>that describes over and underutilization mechanisms</w:t>
            </w:r>
          </w:p>
          <w:p w14:paraId="4995B2E3" w14:textId="77777777" w:rsidR="00A11A6F" w:rsidRPr="000C4F26" w:rsidRDefault="00A11A6F" w:rsidP="00941CA6">
            <w:pPr>
              <w:pStyle w:val="HSAGTableBullet1"/>
            </w:pPr>
            <w:r w:rsidRPr="000C4F26">
              <w:t>Evidence demonstrating assessment of underutilization and overutilization of services (e.g., committee meeting minutes, reports)</w:t>
            </w:r>
          </w:p>
        </w:tc>
        <w:tc>
          <w:tcPr>
            <w:tcW w:w="1715" w:type="dxa"/>
            <w:vMerge w:val="restart"/>
            <w:shd w:val="clear" w:color="auto" w:fill="FFFFFF" w:themeFill="background1"/>
          </w:tcPr>
          <w:p w14:paraId="556B41F3" w14:textId="77777777" w:rsidR="00867651" w:rsidRPr="000C4F26" w:rsidRDefault="00410747" w:rsidP="00867651">
            <w:pPr>
              <w:pStyle w:val="HSAGTableText"/>
            </w:pPr>
            <w:sdt>
              <w:sdtPr>
                <w:id w:val="970561328"/>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Met</w:t>
            </w:r>
          </w:p>
          <w:p w14:paraId="0ECDDDE6" w14:textId="77777777" w:rsidR="00867651" w:rsidRPr="000C4F26" w:rsidRDefault="00410747" w:rsidP="00867651">
            <w:pPr>
              <w:pStyle w:val="HSAGTableText"/>
            </w:pPr>
            <w:sdt>
              <w:sdtPr>
                <w:id w:val="1860856634"/>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Partially Met</w:t>
            </w:r>
          </w:p>
          <w:p w14:paraId="0AC67E99" w14:textId="77777777" w:rsidR="00867651" w:rsidRPr="000C4F26" w:rsidRDefault="00410747" w:rsidP="00867651">
            <w:pPr>
              <w:pStyle w:val="HSAGTableText"/>
              <w:rPr>
                <w:b/>
              </w:rPr>
            </w:pPr>
            <w:sdt>
              <w:sdtPr>
                <w:id w:val="-587922613"/>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Not Met</w:t>
            </w:r>
          </w:p>
          <w:p w14:paraId="4ABC7A6F" w14:textId="77777777" w:rsidR="00A11A6F" w:rsidRPr="000C4F26" w:rsidRDefault="00A11A6F" w:rsidP="00A11A6F">
            <w:pPr>
              <w:spacing w:before="60" w:after="0"/>
              <w:contextualSpacing/>
              <w:rPr>
                <w:sz w:val="22"/>
              </w:rPr>
            </w:pPr>
          </w:p>
        </w:tc>
      </w:tr>
      <w:tr w:rsidR="00A11A6F" w:rsidRPr="000C4F26" w14:paraId="2A302A3D" w14:textId="77777777" w:rsidTr="00941CA6">
        <w:trPr>
          <w:trHeight w:val="374"/>
          <w:jc w:val="center"/>
        </w:trPr>
        <w:tc>
          <w:tcPr>
            <w:tcW w:w="5982" w:type="dxa"/>
            <w:vMerge/>
          </w:tcPr>
          <w:p w14:paraId="2DC38401" w14:textId="77777777" w:rsidR="00A11A6F" w:rsidRPr="000C4F26" w:rsidRDefault="00A11A6F" w:rsidP="005E61B1">
            <w:pPr>
              <w:numPr>
                <w:ilvl w:val="0"/>
                <w:numId w:val="12"/>
              </w:numPr>
              <w:spacing w:before="60" w:after="60"/>
              <w:contextualSpacing/>
              <w:rPr>
                <w:rFonts w:eastAsia="Times New Roman" w:cs="Times New Roman"/>
                <w:sz w:val="22"/>
              </w:rPr>
            </w:pPr>
          </w:p>
        </w:tc>
        <w:tc>
          <w:tcPr>
            <w:tcW w:w="5263" w:type="dxa"/>
            <w:shd w:val="clear" w:color="auto" w:fill="FFFFFF" w:themeFill="background1"/>
          </w:tcPr>
          <w:p w14:paraId="40ABD448" w14:textId="492EEFDA" w:rsidR="00A11A6F" w:rsidRPr="000C4F26" w:rsidRDefault="00A11A6F" w:rsidP="00F20113">
            <w:pPr>
              <w:pStyle w:val="HSAGTableText"/>
              <w:rPr>
                <w:b/>
                <w:bCs/>
              </w:rPr>
            </w:pPr>
            <w:r w:rsidRPr="000C4F26">
              <w:rPr>
                <w:b/>
                <w:bCs/>
              </w:rPr>
              <w:t>Evidence as Submitted by the CCO:</w:t>
            </w:r>
          </w:p>
          <w:p w14:paraId="2A78181E" w14:textId="77777777" w:rsidR="00A11A6F" w:rsidRPr="000C4F26" w:rsidRDefault="00A11A6F" w:rsidP="00941CA6">
            <w:pPr>
              <w:pStyle w:val="HSAGTableBullet1"/>
            </w:pPr>
          </w:p>
          <w:p w14:paraId="1AFBB7A8" w14:textId="77777777" w:rsidR="00D02394" w:rsidRPr="000C4F26" w:rsidRDefault="00D02394" w:rsidP="00D02394">
            <w:pPr>
              <w:spacing w:before="60" w:after="60"/>
              <w:contextualSpacing/>
              <w:rPr>
                <w:rFonts w:cs="Times New Roman"/>
                <w:color w:val="000000" w:themeColor="text1"/>
                <w:sz w:val="22"/>
                <w:szCs w:val="20"/>
              </w:rPr>
            </w:pPr>
          </w:p>
        </w:tc>
        <w:tc>
          <w:tcPr>
            <w:tcW w:w="1715" w:type="dxa"/>
            <w:vMerge/>
            <w:shd w:val="clear" w:color="auto" w:fill="FFFFFF" w:themeFill="background1"/>
          </w:tcPr>
          <w:p w14:paraId="45C17848" w14:textId="77777777" w:rsidR="00A11A6F" w:rsidRPr="000C4F26" w:rsidRDefault="00A11A6F" w:rsidP="00A11A6F">
            <w:pPr>
              <w:spacing w:before="60" w:after="0"/>
              <w:contextualSpacing/>
              <w:rPr>
                <w:sz w:val="22"/>
              </w:rPr>
            </w:pPr>
          </w:p>
        </w:tc>
      </w:tr>
      <w:tr w:rsidR="00A11A6F" w:rsidRPr="00812E33" w14:paraId="3E51806E" w14:textId="77777777" w:rsidTr="00941CA6">
        <w:trPr>
          <w:trHeight w:val="374"/>
          <w:jc w:val="center"/>
        </w:trPr>
        <w:tc>
          <w:tcPr>
            <w:tcW w:w="12960" w:type="dxa"/>
            <w:gridSpan w:val="3"/>
            <w:tcBorders>
              <w:bottom w:val="single" w:sz="4" w:space="0" w:color="000000"/>
            </w:tcBorders>
            <w:vAlign w:val="center"/>
            <w:hideMark/>
          </w:tcPr>
          <w:p w14:paraId="31845F87" w14:textId="341820E6" w:rsidR="00A11A6F" w:rsidRPr="00812E33" w:rsidRDefault="00A11A6F" w:rsidP="00812E33">
            <w:pPr>
              <w:pStyle w:val="HSAGTableText"/>
              <w:rPr>
                <w:b/>
                <w:bCs/>
              </w:rPr>
            </w:pPr>
            <w:r w:rsidRPr="00812E33">
              <w:rPr>
                <w:b/>
                <w:bCs/>
              </w:rPr>
              <w:t>HSAG Findings:</w:t>
            </w:r>
            <w:r w:rsidR="00812E33" w:rsidRPr="00812E33">
              <w:t xml:space="preserve">     </w:t>
            </w:r>
          </w:p>
        </w:tc>
      </w:tr>
      <w:tr w:rsidR="00A11A6F" w:rsidRPr="00812E33" w14:paraId="688D2F8A" w14:textId="77777777" w:rsidTr="00941CA6">
        <w:trPr>
          <w:trHeight w:val="374"/>
          <w:jc w:val="center"/>
        </w:trPr>
        <w:tc>
          <w:tcPr>
            <w:tcW w:w="12960" w:type="dxa"/>
            <w:gridSpan w:val="3"/>
            <w:tcBorders>
              <w:top w:val="single" w:sz="4" w:space="0" w:color="000000"/>
              <w:bottom w:val="single" w:sz="18" w:space="0" w:color="00549E" w:themeColor="text2"/>
            </w:tcBorders>
            <w:vAlign w:val="center"/>
          </w:tcPr>
          <w:p w14:paraId="57B8D340" w14:textId="11BB6247" w:rsidR="00A11A6F" w:rsidRPr="00812E33" w:rsidRDefault="00A11A6F" w:rsidP="00812E33">
            <w:pPr>
              <w:pStyle w:val="HSAGTableText"/>
              <w:rPr>
                <w:b/>
                <w:bCs/>
              </w:rPr>
            </w:pPr>
            <w:r w:rsidRPr="00812E33">
              <w:rPr>
                <w:b/>
                <w:bCs/>
              </w:rPr>
              <w:t>Required Actions:</w:t>
            </w:r>
            <w:r w:rsidR="00812E33" w:rsidRPr="00812E33">
              <w:t xml:space="preserve">     </w:t>
            </w:r>
          </w:p>
        </w:tc>
      </w:tr>
      <w:tr w:rsidR="00A11A6F" w:rsidRPr="000C4F26" w14:paraId="333B22FD" w14:textId="77777777" w:rsidTr="00941CA6">
        <w:trPr>
          <w:trHeight w:val="374"/>
          <w:jc w:val="center"/>
        </w:trPr>
        <w:tc>
          <w:tcPr>
            <w:tcW w:w="5982" w:type="dxa"/>
            <w:vMerge w:val="restart"/>
          </w:tcPr>
          <w:p w14:paraId="0B65B38D" w14:textId="6F2A307E" w:rsidR="00A11A6F" w:rsidRPr="000C4F26" w:rsidRDefault="00A11A6F" w:rsidP="00941CA6">
            <w:pPr>
              <w:pStyle w:val="TableNumber1"/>
              <w:rPr>
                <w:sz w:val="20"/>
                <w:szCs w:val="20"/>
              </w:rPr>
            </w:pPr>
            <w:r w:rsidRPr="000C4F26">
              <w:lastRenderedPageBreak/>
              <w:t>The QAPI program includes mechanisms to assess the quality and appropriateness of care furnished to members with special health care needs</w:t>
            </w:r>
            <w:r w:rsidR="00240DEF" w:rsidRPr="000C4F26">
              <w:t xml:space="preserve"> (SHCN)</w:t>
            </w:r>
            <w:r w:rsidRPr="000C4F26">
              <w:t>, as identified by the State in the quality strategy</w:t>
            </w:r>
            <w:r w:rsidR="00D000D4">
              <w:t xml:space="preserve"> and Oregon Administrative Rules</w:t>
            </w:r>
            <w:r w:rsidRPr="000C4F26">
              <w:t>.</w:t>
            </w:r>
          </w:p>
          <w:p w14:paraId="57A5E9B5" w14:textId="77777777" w:rsidR="00A11A6F" w:rsidRPr="000C4F26" w:rsidRDefault="00A11A6F" w:rsidP="00941CA6">
            <w:pPr>
              <w:pStyle w:val="ContractRef"/>
            </w:pPr>
          </w:p>
          <w:p w14:paraId="1303BB85" w14:textId="77777777" w:rsidR="00A11A6F" w:rsidRPr="000C4F26" w:rsidRDefault="00A11A6F" w:rsidP="00941CA6">
            <w:pPr>
              <w:pStyle w:val="ContractRef"/>
            </w:pPr>
            <w:r w:rsidRPr="000C4F26">
              <w:t>42 CFR §438.330(b)(4)</w:t>
            </w:r>
          </w:p>
          <w:p w14:paraId="23C0C523" w14:textId="77777777" w:rsidR="00A11A6F" w:rsidRPr="000C4F26" w:rsidRDefault="00A11A6F" w:rsidP="00941CA6">
            <w:pPr>
              <w:pStyle w:val="ContractRef"/>
            </w:pPr>
            <w:r w:rsidRPr="000C4F26">
              <w:t>42 CFR §457.1240(b)</w:t>
            </w:r>
          </w:p>
          <w:p w14:paraId="0ACCF0E2" w14:textId="77777777" w:rsidR="00D02394" w:rsidRPr="000C4F26" w:rsidRDefault="00D02394" w:rsidP="00941CA6">
            <w:pPr>
              <w:pStyle w:val="ContractRef"/>
            </w:pPr>
            <w:r w:rsidRPr="000C4F26">
              <w:t>Contract: Exhibit B Part 10(2)(c)(3)</w:t>
            </w:r>
          </w:p>
          <w:p w14:paraId="113D8CF9" w14:textId="7341D6EE" w:rsidR="00D02394" w:rsidRPr="000C4F26" w:rsidRDefault="00D02394" w:rsidP="00941CA6">
            <w:pPr>
              <w:pStyle w:val="ContractRef"/>
            </w:pPr>
            <w:r w:rsidRPr="000C4F26">
              <w:t>OAR 410-141-3525(5)(d)</w:t>
            </w:r>
          </w:p>
        </w:tc>
        <w:tc>
          <w:tcPr>
            <w:tcW w:w="5263" w:type="dxa"/>
          </w:tcPr>
          <w:p w14:paraId="0155F405" w14:textId="16B21AD1" w:rsidR="00A11A6F" w:rsidRPr="000C4F26" w:rsidRDefault="00867651" w:rsidP="00F20113">
            <w:pPr>
              <w:pStyle w:val="HSAGTableText"/>
              <w:rPr>
                <w:b/>
                <w:bCs/>
              </w:rPr>
            </w:pPr>
            <w:r w:rsidRPr="000C4F26">
              <w:rPr>
                <w:b/>
                <w:bCs/>
              </w:rPr>
              <w:t>HSAG Suggested Documents</w:t>
            </w:r>
            <w:r w:rsidR="00A11A6F" w:rsidRPr="000C4F26">
              <w:rPr>
                <w:b/>
                <w:bCs/>
              </w:rPr>
              <w:t>:</w:t>
            </w:r>
          </w:p>
          <w:p w14:paraId="789CAD39" w14:textId="6ECE9C27" w:rsidR="00A11A6F" w:rsidRPr="000C4F26" w:rsidRDefault="00A11A6F" w:rsidP="00941CA6">
            <w:pPr>
              <w:pStyle w:val="HSAGTableBullet1"/>
            </w:pPr>
            <w:r w:rsidRPr="000C4F26">
              <w:t>QAPI program description</w:t>
            </w:r>
            <w:r w:rsidR="00E56C21" w:rsidRPr="000C4F26">
              <w:t xml:space="preserve"> that </w:t>
            </w:r>
            <w:r w:rsidR="00BF3168">
              <w:t xml:space="preserve">defines members with SHCN and </w:t>
            </w:r>
            <w:r w:rsidR="00E56C21" w:rsidRPr="000C4F26">
              <w:t xml:space="preserve">describes </w:t>
            </w:r>
            <w:r w:rsidR="00D645EA">
              <w:t xml:space="preserve">assessment </w:t>
            </w:r>
            <w:r w:rsidR="00E56C21" w:rsidRPr="000C4F26">
              <w:t>mechanisms utilized</w:t>
            </w:r>
          </w:p>
          <w:p w14:paraId="2DAE5513" w14:textId="48CEC1C5" w:rsidR="00A11A6F" w:rsidRPr="000C4F26" w:rsidRDefault="00A11A6F" w:rsidP="00941CA6">
            <w:pPr>
              <w:pStyle w:val="HSAGTableBullet1"/>
            </w:pPr>
            <w:r w:rsidRPr="000C4F26">
              <w:t>QAPI work plan</w:t>
            </w:r>
            <w:r w:rsidR="00E56C21" w:rsidRPr="000C4F26">
              <w:t xml:space="preserve"> that outlines mechanisms utilized</w:t>
            </w:r>
          </w:p>
          <w:p w14:paraId="40E7FD56" w14:textId="0F281216" w:rsidR="00A11A6F" w:rsidRPr="000C4F26" w:rsidRDefault="00240DEF" w:rsidP="00941CA6">
            <w:pPr>
              <w:pStyle w:val="HSAGTableBullet1"/>
            </w:pPr>
            <w:r w:rsidRPr="000C4F26">
              <w:t xml:space="preserve">Tools used to assess the quality and appropriateness of care furnished to members with SHCN </w:t>
            </w:r>
          </w:p>
          <w:p w14:paraId="426C5C10" w14:textId="24AFBF1A" w:rsidR="00A11A6F" w:rsidRPr="000C4F26" w:rsidRDefault="00A11A6F" w:rsidP="00941CA6">
            <w:pPr>
              <w:pStyle w:val="HSAGTableBullet1"/>
            </w:pPr>
            <w:r w:rsidRPr="000C4F26">
              <w:t xml:space="preserve">Metrics/performance measures to assess </w:t>
            </w:r>
            <w:r w:rsidR="00115E60" w:rsidRPr="000C4F26">
              <w:t xml:space="preserve">care furnished to members with </w:t>
            </w:r>
            <w:r w:rsidRPr="000C4F26">
              <w:t>special health care needs</w:t>
            </w:r>
          </w:p>
        </w:tc>
        <w:tc>
          <w:tcPr>
            <w:tcW w:w="1715" w:type="dxa"/>
            <w:vMerge w:val="restart"/>
          </w:tcPr>
          <w:p w14:paraId="01E936DF" w14:textId="77777777" w:rsidR="00867651" w:rsidRPr="000C4F26" w:rsidRDefault="00410747" w:rsidP="00867651">
            <w:pPr>
              <w:pStyle w:val="HSAGTableText"/>
            </w:pPr>
            <w:sdt>
              <w:sdtPr>
                <w:id w:val="-1124460688"/>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Met</w:t>
            </w:r>
          </w:p>
          <w:p w14:paraId="6AEABDD5" w14:textId="77777777" w:rsidR="00867651" w:rsidRPr="000C4F26" w:rsidRDefault="00410747" w:rsidP="00867651">
            <w:pPr>
              <w:pStyle w:val="HSAGTableText"/>
            </w:pPr>
            <w:sdt>
              <w:sdtPr>
                <w:id w:val="1891305365"/>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Partially Met</w:t>
            </w:r>
          </w:p>
          <w:p w14:paraId="4A8196C2" w14:textId="77777777" w:rsidR="00867651" w:rsidRPr="000C4F26" w:rsidRDefault="00410747" w:rsidP="00867651">
            <w:pPr>
              <w:pStyle w:val="HSAGTableText"/>
              <w:rPr>
                <w:b/>
              </w:rPr>
            </w:pPr>
            <w:sdt>
              <w:sdtPr>
                <w:id w:val="656035410"/>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Not Met</w:t>
            </w:r>
          </w:p>
          <w:p w14:paraId="1C8847E7" w14:textId="6B3EACF0" w:rsidR="00A11A6F" w:rsidRPr="000C4F26" w:rsidRDefault="00A11A6F" w:rsidP="00A11A6F">
            <w:pPr>
              <w:spacing w:before="60" w:after="0"/>
              <w:contextualSpacing/>
              <w:rPr>
                <w:sz w:val="22"/>
              </w:rPr>
            </w:pPr>
          </w:p>
        </w:tc>
      </w:tr>
      <w:tr w:rsidR="00A11A6F" w:rsidRPr="000C4F26" w14:paraId="7702D42A" w14:textId="77777777" w:rsidTr="00941CA6">
        <w:trPr>
          <w:trHeight w:val="374"/>
          <w:jc w:val="center"/>
        </w:trPr>
        <w:tc>
          <w:tcPr>
            <w:tcW w:w="5982" w:type="dxa"/>
            <w:vMerge/>
          </w:tcPr>
          <w:p w14:paraId="7EBA14FB" w14:textId="77777777" w:rsidR="00A11A6F" w:rsidRPr="000C4F26" w:rsidRDefault="00A11A6F" w:rsidP="005E61B1">
            <w:pPr>
              <w:numPr>
                <w:ilvl w:val="0"/>
                <w:numId w:val="12"/>
              </w:numPr>
              <w:spacing w:before="40" w:after="40"/>
              <w:contextualSpacing/>
              <w:rPr>
                <w:rFonts w:cs="Times New Roman"/>
                <w:color w:val="000000" w:themeColor="text1"/>
                <w:sz w:val="22"/>
              </w:rPr>
            </w:pPr>
          </w:p>
        </w:tc>
        <w:tc>
          <w:tcPr>
            <w:tcW w:w="5263" w:type="dxa"/>
          </w:tcPr>
          <w:p w14:paraId="43C3CF8E" w14:textId="50978166" w:rsidR="00A11A6F" w:rsidRPr="000C4F26" w:rsidRDefault="00A11A6F" w:rsidP="00F20113">
            <w:pPr>
              <w:pStyle w:val="HSAGTableText"/>
              <w:rPr>
                <w:b/>
                <w:bCs/>
              </w:rPr>
            </w:pPr>
            <w:r w:rsidRPr="000C4F26">
              <w:rPr>
                <w:b/>
                <w:bCs/>
              </w:rPr>
              <w:t>Evidence as Submitted by the CCO:</w:t>
            </w:r>
          </w:p>
          <w:p w14:paraId="6955D85F" w14:textId="77777777" w:rsidR="00A11A6F" w:rsidRPr="000C4F26" w:rsidRDefault="00A11A6F" w:rsidP="00941CA6">
            <w:pPr>
              <w:pStyle w:val="HSAGTableBullet1"/>
            </w:pPr>
          </w:p>
          <w:p w14:paraId="49FE437E" w14:textId="77777777" w:rsidR="00D02394" w:rsidRPr="000C4F26" w:rsidRDefault="00D02394" w:rsidP="00D02394">
            <w:pPr>
              <w:spacing w:before="60" w:after="60"/>
              <w:contextualSpacing/>
              <w:rPr>
                <w:rFonts w:cs="Times New Roman"/>
                <w:color w:val="000000" w:themeColor="text1"/>
                <w:sz w:val="22"/>
                <w:szCs w:val="20"/>
              </w:rPr>
            </w:pPr>
          </w:p>
        </w:tc>
        <w:tc>
          <w:tcPr>
            <w:tcW w:w="1715" w:type="dxa"/>
            <w:vMerge/>
          </w:tcPr>
          <w:p w14:paraId="3A70087F" w14:textId="77777777" w:rsidR="00A11A6F" w:rsidRPr="000C4F26" w:rsidRDefault="00A11A6F" w:rsidP="00A11A6F">
            <w:pPr>
              <w:spacing w:before="60" w:after="0"/>
              <w:contextualSpacing/>
              <w:rPr>
                <w:sz w:val="22"/>
              </w:rPr>
            </w:pPr>
          </w:p>
        </w:tc>
      </w:tr>
      <w:tr w:rsidR="00A11A6F" w:rsidRPr="00812E33" w14:paraId="771E07E9" w14:textId="77777777" w:rsidTr="00941CA6">
        <w:trPr>
          <w:trHeight w:val="374"/>
          <w:jc w:val="center"/>
        </w:trPr>
        <w:tc>
          <w:tcPr>
            <w:tcW w:w="12960" w:type="dxa"/>
            <w:gridSpan w:val="3"/>
            <w:tcBorders>
              <w:bottom w:val="single" w:sz="4" w:space="0" w:color="000000"/>
            </w:tcBorders>
            <w:vAlign w:val="center"/>
            <w:hideMark/>
          </w:tcPr>
          <w:p w14:paraId="48A4D8CD" w14:textId="35C17C16" w:rsidR="00A11A6F" w:rsidRPr="00812E33" w:rsidRDefault="00A11A6F" w:rsidP="00812E33">
            <w:pPr>
              <w:pStyle w:val="HSAGTableText"/>
              <w:rPr>
                <w:b/>
                <w:bCs/>
              </w:rPr>
            </w:pPr>
            <w:r w:rsidRPr="00812E33">
              <w:rPr>
                <w:b/>
                <w:bCs/>
              </w:rPr>
              <w:t>HSAG Findings:</w:t>
            </w:r>
            <w:r w:rsidR="00812E33" w:rsidRPr="00812E33">
              <w:t xml:space="preserve">     </w:t>
            </w:r>
          </w:p>
        </w:tc>
      </w:tr>
      <w:tr w:rsidR="00A11A6F" w:rsidRPr="00812E33" w14:paraId="02EA7957" w14:textId="77777777" w:rsidTr="00941CA6">
        <w:trPr>
          <w:trHeight w:val="374"/>
          <w:jc w:val="center"/>
        </w:trPr>
        <w:tc>
          <w:tcPr>
            <w:tcW w:w="12960" w:type="dxa"/>
            <w:gridSpan w:val="3"/>
            <w:tcBorders>
              <w:top w:val="single" w:sz="4" w:space="0" w:color="000000"/>
              <w:bottom w:val="single" w:sz="18" w:space="0" w:color="00549E" w:themeColor="text2"/>
            </w:tcBorders>
            <w:vAlign w:val="center"/>
          </w:tcPr>
          <w:p w14:paraId="562274DF" w14:textId="2944A90C" w:rsidR="00A11A6F" w:rsidRPr="00812E33" w:rsidRDefault="00A11A6F" w:rsidP="00812E33">
            <w:pPr>
              <w:pStyle w:val="HSAGTableText"/>
              <w:rPr>
                <w:b/>
                <w:bCs/>
              </w:rPr>
            </w:pPr>
            <w:r w:rsidRPr="00812E33">
              <w:rPr>
                <w:b/>
                <w:bCs/>
              </w:rPr>
              <w:t>Required Actions:</w:t>
            </w:r>
            <w:r w:rsidR="00812E33" w:rsidRPr="00812E33">
              <w:t xml:space="preserve">     </w:t>
            </w:r>
          </w:p>
        </w:tc>
      </w:tr>
      <w:tr w:rsidR="00941CA6" w:rsidRPr="00941CA6" w14:paraId="17BAA177" w14:textId="77777777" w:rsidTr="009977BD">
        <w:trPr>
          <w:trHeight w:val="374"/>
          <w:jc w:val="center"/>
        </w:trPr>
        <w:tc>
          <w:tcPr>
            <w:tcW w:w="12960" w:type="dxa"/>
            <w:gridSpan w:val="3"/>
            <w:shd w:val="clear" w:color="auto" w:fill="D9D9D9" w:themeFill="background1" w:themeFillShade="D9"/>
            <w:vAlign w:val="center"/>
          </w:tcPr>
          <w:p w14:paraId="6C2D0F8E" w14:textId="66B7EDA0" w:rsidR="00941CA6" w:rsidRPr="00941CA6" w:rsidRDefault="00941CA6" w:rsidP="00941CA6">
            <w:pPr>
              <w:pStyle w:val="HSAGTableHeading"/>
              <w:jc w:val="left"/>
              <w:rPr>
                <w:rFonts w:cs="Calibri"/>
                <w:color w:val="auto"/>
              </w:rPr>
            </w:pPr>
            <w:r w:rsidRPr="00941CA6">
              <w:rPr>
                <w:rFonts w:cs="Calibri"/>
                <w:color w:val="auto"/>
              </w:rPr>
              <w:t>Performance Measurement</w:t>
            </w:r>
          </w:p>
        </w:tc>
      </w:tr>
      <w:tr w:rsidR="00A11A6F" w:rsidRPr="000C4F26" w14:paraId="07FAFFA8" w14:textId="77777777" w:rsidTr="00941CA6">
        <w:trPr>
          <w:trHeight w:val="374"/>
          <w:jc w:val="center"/>
        </w:trPr>
        <w:tc>
          <w:tcPr>
            <w:tcW w:w="5982" w:type="dxa"/>
            <w:vMerge w:val="restart"/>
          </w:tcPr>
          <w:p w14:paraId="6DD114D7" w14:textId="3434291B" w:rsidR="00A11A6F" w:rsidRPr="000C4F26" w:rsidRDefault="00A11A6F" w:rsidP="00941CA6">
            <w:pPr>
              <w:pStyle w:val="TableNumber1"/>
              <w:rPr>
                <w:sz w:val="18"/>
                <w:szCs w:val="18"/>
              </w:rPr>
            </w:pPr>
            <w:r w:rsidRPr="000C4F26">
              <w:t>The QAPI program includes the collection and submission of performance measurement data. The CCO annually:</w:t>
            </w:r>
          </w:p>
          <w:p w14:paraId="0919684E" w14:textId="77777777" w:rsidR="00A11A6F" w:rsidRPr="000C4F26" w:rsidRDefault="00A11A6F" w:rsidP="00410747">
            <w:pPr>
              <w:numPr>
                <w:ilvl w:val="1"/>
                <w:numId w:val="12"/>
              </w:numPr>
              <w:spacing w:before="40" w:after="40"/>
              <w:ind w:left="720"/>
              <w:rPr>
                <w:rFonts w:cs="Times New Roman"/>
                <w:color w:val="000000" w:themeColor="text1"/>
                <w:sz w:val="18"/>
                <w:szCs w:val="18"/>
              </w:rPr>
            </w:pPr>
            <w:r w:rsidRPr="000C4F26">
              <w:rPr>
                <w:rFonts w:cs="Times New Roman"/>
                <w:color w:val="000000" w:themeColor="text1"/>
                <w:sz w:val="22"/>
              </w:rPr>
              <w:t>Measures and reports to the State on its performance, using the standard measures required by the State;</w:t>
            </w:r>
          </w:p>
          <w:p w14:paraId="2EC336E7" w14:textId="06485D86" w:rsidR="00A11A6F" w:rsidRPr="000C4F26" w:rsidRDefault="00A11A6F" w:rsidP="00410747">
            <w:pPr>
              <w:numPr>
                <w:ilvl w:val="1"/>
                <w:numId w:val="12"/>
              </w:numPr>
              <w:spacing w:before="40" w:after="40"/>
              <w:ind w:left="720"/>
              <w:rPr>
                <w:rFonts w:cs="Times New Roman"/>
                <w:color w:val="000000" w:themeColor="text1"/>
                <w:sz w:val="18"/>
                <w:szCs w:val="18"/>
              </w:rPr>
            </w:pPr>
            <w:r w:rsidRPr="000C4F26">
              <w:rPr>
                <w:rFonts w:cs="Times New Roman"/>
                <w:color w:val="000000" w:themeColor="text1"/>
                <w:sz w:val="22"/>
              </w:rPr>
              <w:t>Submits to the State data, specified by the State, which enables the State to calculate the CCO’s performance using the standard measures identified by the State; or</w:t>
            </w:r>
          </w:p>
          <w:p w14:paraId="121E0919" w14:textId="77777777" w:rsidR="00A11A6F" w:rsidRPr="000C4F26" w:rsidRDefault="00A11A6F" w:rsidP="00410747">
            <w:pPr>
              <w:numPr>
                <w:ilvl w:val="1"/>
                <w:numId w:val="12"/>
              </w:numPr>
              <w:spacing w:before="40" w:after="40"/>
              <w:ind w:left="720"/>
              <w:rPr>
                <w:rFonts w:cs="Times New Roman"/>
                <w:color w:val="000000" w:themeColor="text1"/>
                <w:sz w:val="18"/>
                <w:szCs w:val="18"/>
              </w:rPr>
            </w:pPr>
            <w:r w:rsidRPr="000C4F26">
              <w:rPr>
                <w:rFonts w:cs="Times New Roman"/>
                <w:color w:val="000000" w:themeColor="text1"/>
                <w:sz w:val="22"/>
              </w:rPr>
              <w:t xml:space="preserve">Performs a combination of the activities described in </w:t>
            </w:r>
            <w:proofErr w:type="spellStart"/>
            <w:r w:rsidRPr="000C4F26">
              <w:rPr>
                <w:rFonts w:cs="Times New Roman"/>
                <w:color w:val="000000" w:themeColor="text1"/>
                <w:sz w:val="22"/>
              </w:rPr>
              <w:t>subelements</w:t>
            </w:r>
            <w:proofErr w:type="spellEnd"/>
            <w:r w:rsidRPr="000C4F26">
              <w:rPr>
                <w:rFonts w:cs="Times New Roman"/>
                <w:color w:val="000000" w:themeColor="text1"/>
                <w:sz w:val="22"/>
              </w:rPr>
              <w:t xml:space="preserve"> (a) and (b).</w:t>
            </w:r>
            <w:r w:rsidRPr="000C4F26">
              <w:rPr>
                <w:rFonts w:cs="Times New Roman"/>
                <w:color w:val="000000" w:themeColor="text1"/>
                <w:sz w:val="22"/>
                <w:szCs w:val="24"/>
              </w:rPr>
              <w:t xml:space="preserve"> </w:t>
            </w:r>
          </w:p>
          <w:p w14:paraId="254FBB02" w14:textId="77777777" w:rsidR="00A11A6F" w:rsidRPr="000C4F26" w:rsidRDefault="00A11A6F" w:rsidP="00941CA6">
            <w:pPr>
              <w:pStyle w:val="ContractRef"/>
            </w:pPr>
          </w:p>
          <w:p w14:paraId="7EC5F4AB" w14:textId="77777777" w:rsidR="00A11A6F" w:rsidRPr="000C4F26" w:rsidRDefault="00A11A6F" w:rsidP="00941CA6">
            <w:pPr>
              <w:pStyle w:val="ContractRef"/>
            </w:pPr>
            <w:r w:rsidRPr="000C4F26">
              <w:t>42 CFR §438.330(b)(2)</w:t>
            </w:r>
          </w:p>
          <w:p w14:paraId="0B484620" w14:textId="77777777" w:rsidR="00A11A6F" w:rsidRPr="000C4F26" w:rsidRDefault="00A11A6F" w:rsidP="00941CA6">
            <w:pPr>
              <w:pStyle w:val="ContractRef"/>
              <w:rPr>
                <w:color w:val="000000" w:themeColor="text1"/>
              </w:rPr>
            </w:pPr>
            <w:r w:rsidRPr="000C4F26">
              <w:rPr>
                <w:color w:val="000000" w:themeColor="text1"/>
              </w:rPr>
              <w:t>42 CFR §438.330(c)</w:t>
            </w:r>
          </w:p>
          <w:p w14:paraId="76F3B621" w14:textId="77777777" w:rsidR="00A11A6F" w:rsidRPr="000C4F26" w:rsidRDefault="00A11A6F" w:rsidP="00941CA6">
            <w:pPr>
              <w:pStyle w:val="ContractRef"/>
            </w:pPr>
            <w:r w:rsidRPr="000C4F26">
              <w:lastRenderedPageBreak/>
              <w:t>42 CFR §457.1240(b)</w:t>
            </w:r>
          </w:p>
          <w:p w14:paraId="6EB6F2CB" w14:textId="2886A6ED" w:rsidR="00D02394" w:rsidRPr="000C4F26" w:rsidRDefault="00D02394" w:rsidP="00941CA6">
            <w:pPr>
              <w:pStyle w:val="ContractRef"/>
              <w:rPr>
                <w:color w:val="000000" w:themeColor="text1"/>
              </w:rPr>
            </w:pPr>
            <w:r w:rsidRPr="000C4F26">
              <w:rPr>
                <w:color w:val="000000" w:themeColor="text1"/>
              </w:rPr>
              <w:t>Contract: Exhibit B Part 10(3)</w:t>
            </w:r>
          </w:p>
        </w:tc>
        <w:tc>
          <w:tcPr>
            <w:tcW w:w="5263" w:type="dxa"/>
            <w:shd w:val="clear" w:color="auto" w:fill="FFFFFF" w:themeFill="background1"/>
          </w:tcPr>
          <w:p w14:paraId="7B8D4649" w14:textId="5F212DD0" w:rsidR="00A11A6F" w:rsidRPr="000C4F26" w:rsidRDefault="00867651" w:rsidP="00F20113">
            <w:pPr>
              <w:pStyle w:val="HSAGTableText"/>
              <w:rPr>
                <w:b/>
                <w:bCs/>
              </w:rPr>
            </w:pPr>
            <w:r w:rsidRPr="000C4F26">
              <w:rPr>
                <w:b/>
                <w:bCs/>
              </w:rPr>
              <w:lastRenderedPageBreak/>
              <w:t>HSAG Suggested Documents</w:t>
            </w:r>
            <w:r w:rsidR="00A11A6F" w:rsidRPr="000C4F26">
              <w:rPr>
                <w:b/>
                <w:bCs/>
              </w:rPr>
              <w:t>:</w:t>
            </w:r>
          </w:p>
          <w:p w14:paraId="75CE5820" w14:textId="76C6DCE7" w:rsidR="00A11A6F" w:rsidRPr="000C4F26" w:rsidRDefault="00A11A6F" w:rsidP="00941CA6">
            <w:pPr>
              <w:pStyle w:val="HSAGTableBullet1"/>
            </w:pPr>
            <w:r w:rsidRPr="000C4F26">
              <w:t>Policies and procedures</w:t>
            </w:r>
            <w:r w:rsidR="00E66C42" w:rsidRPr="000C4F26">
              <w:t xml:space="preserve"> on </w:t>
            </w:r>
            <w:r w:rsidR="00E56C21" w:rsidRPr="000C4F26">
              <w:t xml:space="preserve">performance measure </w:t>
            </w:r>
            <w:r w:rsidR="00E66C42" w:rsidRPr="000C4F26">
              <w:t xml:space="preserve">data submission </w:t>
            </w:r>
            <w:r w:rsidR="00E56C21" w:rsidRPr="000C4F26">
              <w:t>to the State</w:t>
            </w:r>
          </w:p>
          <w:p w14:paraId="0817BC57" w14:textId="0A2F5810" w:rsidR="00A11A6F" w:rsidRPr="000C4F26" w:rsidRDefault="00A11A6F" w:rsidP="00941CA6">
            <w:pPr>
              <w:pStyle w:val="HSAGTableBullet1"/>
            </w:pPr>
            <w:r w:rsidRPr="000C4F26">
              <w:t>QAPI program description</w:t>
            </w:r>
            <w:r w:rsidR="00E56C21" w:rsidRPr="000C4F26">
              <w:t xml:space="preserve"> that includes collection and submission of performance measure data and describes how performance measure data is utilized</w:t>
            </w:r>
          </w:p>
          <w:p w14:paraId="11A0FAB3" w14:textId="4C4760BD" w:rsidR="00A11A6F" w:rsidRPr="000C4F26" w:rsidRDefault="00A11A6F" w:rsidP="00941CA6">
            <w:pPr>
              <w:pStyle w:val="HSAGTableBullet1"/>
            </w:pPr>
            <w:r w:rsidRPr="000C4F26">
              <w:t>QAPI work plan</w:t>
            </w:r>
            <w:r w:rsidR="00810E5A" w:rsidRPr="000C4F26">
              <w:t xml:space="preserve"> that includes collection and submission of performance measure data and describes how performance measure data is utilized</w:t>
            </w:r>
          </w:p>
          <w:p w14:paraId="0BD4C45C" w14:textId="370E3C89" w:rsidR="00A11A6F" w:rsidRPr="00BF3168" w:rsidRDefault="00A11A6F" w:rsidP="00941CA6">
            <w:pPr>
              <w:pStyle w:val="HSAGTableBullet1"/>
            </w:pPr>
            <w:r w:rsidRPr="000C4F26">
              <w:t>Performance measures reports</w:t>
            </w:r>
          </w:p>
        </w:tc>
        <w:tc>
          <w:tcPr>
            <w:tcW w:w="1715" w:type="dxa"/>
            <w:vMerge w:val="restart"/>
            <w:shd w:val="clear" w:color="auto" w:fill="FFFFFF" w:themeFill="background1"/>
          </w:tcPr>
          <w:p w14:paraId="60BC2DFD" w14:textId="77777777" w:rsidR="00867651" w:rsidRPr="000C4F26" w:rsidRDefault="00410747" w:rsidP="00867651">
            <w:pPr>
              <w:pStyle w:val="HSAGTableText"/>
            </w:pPr>
            <w:sdt>
              <w:sdtPr>
                <w:id w:val="1070465705"/>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Met</w:t>
            </w:r>
          </w:p>
          <w:p w14:paraId="2E3D3FD1" w14:textId="77777777" w:rsidR="00867651" w:rsidRPr="000C4F26" w:rsidRDefault="00410747" w:rsidP="00867651">
            <w:pPr>
              <w:pStyle w:val="HSAGTableText"/>
            </w:pPr>
            <w:sdt>
              <w:sdtPr>
                <w:id w:val="1316525587"/>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Partially Met</w:t>
            </w:r>
          </w:p>
          <w:p w14:paraId="7EC606E5" w14:textId="77777777" w:rsidR="00867651" w:rsidRPr="000C4F26" w:rsidRDefault="00410747" w:rsidP="00867651">
            <w:pPr>
              <w:pStyle w:val="HSAGTableText"/>
              <w:rPr>
                <w:b/>
              </w:rPr>
            </w:pPr>
            <w:sdt>
              <w:sdtPr>
                <w:id w:val="-1280646041"/>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Not Met</w:t>
            </w:r>
          </w:p>
          <w:p w14:paraId="6049BD96" w14:textId="77777777" w:rsidR="00A11A6F" w:rsidRPr="000C4F26" w:rsidRDefault="00A11A6F" w:rsidP="00A11A6F">
            <w:pPr>
              <w:spacing w:before="60" w:after="0"/>
              <w:contextualSpacing/>
              <w:rPr>
                <w:sz w:val="22"/>
              </w:rPr>
            </w:pPr>
          </w:p>
        </w:tc>
      </w:tr>
      <w:tr w:rsidR="00A11A6F" w:rsidRPr="000C4F26" w14:paraId="1BEDE2AB" w14:textId="77777777" w:rsidTr="00941CA6">
        <w:trPr>
          <w:trHeight w:val="374"/>
          <w:jc w:val="center"/>
        </w:trPr>
        <w:tc>
          <w:tcPr>
            <w:tcW w:w="5982" w:type="dxa"/>
            <w:vMerge/>
          </w:tcPr>
          <w:p w14:paraId="432E938B" w14:textId="77777777" w:rsidR="00A11A6F" w:rsidRPr="000C4F26" w:rsidRDefault="00A11A6F" w:rsidP="005E61B1">
            <w:pPr>
              <w:numPr>
                <w:ilvl w:val="0"/>
                <w:numId w:val="12"/>
              </w:numPr>
              <w:spacing w:before="0" w:after="60"/>
              <w:contextualSpacing/>
              <w:rPr>
                <w:rFonts w:cs="Times New Roman"/>
                <w:iCs/>
                <w:color w:val="000000" w:themeColor="text1"/>
                <w:sz w:val="22"/>
              </w:rPr>
            </w:pPr>
          </w:p>
        </w:tc>
        <w:tc>
          <w:tcPr>
            <w:tcW w:w="5263" w:type="dxa"/>
            <w:shd w:val="clear" w:color="auto" w:fill="FFFFFF" w:themeFill="background1"/>
          </w:tcPr>
          <w:p w14:paraId="6CDF0838" w14:textId="107370BC" w:rsidR="00A11A6F" w:rsidRPr="000C4F26" w:rsidRDefault="00A11A6F" w:rsidP="00F20113">
            <w:pPr>
              <w:pStyle w:val="HSAGTableText"/>
              <w:rPr>
                <w:b/>
                <w:bCs/>
              </w:rPr>
            </w:pPr>
            <w:r w:rsidRPr="000C4F26">
              <w:rPr>
                <w:b/>
                <w:bCs/>
              </w:rPr>
              <w:t>Evidence as Submitted by the CCO:</w:t>
            </w:r>
          </w:p>
          <w:p w14:paraId="434B4C8C" w14:textId="77777777" w:rsidR="00A11A6F" w:rsidRPr="000C4F26" w:rsidRDefault="00A11A6F" w:rsidP="00941CA6">
            <w:pPr>
              <w:pStyle w:val="HSAGTableBullet1"/>
            </w:pPr>
          </w:p>
        </w:tc>
        <w:tc>
          <w:tcPr>
            <w:tcW w:w="1715" w:type="dxa"/>
            <w:vMerge/>
            <w:shd w:val="clear" w:color="auto" w:fill="FFFFFF" w:themeFill="background1"/>
          </w:tcPr>
          <w:p w14:paraId="3AC4689B" w14:textId="77777777" w:rsidR="00A11A6F" w:rsidRPr="000C4F26" w:rsidRDefault="00A11A6F" w:rsidP="00A11A6F">
            <w:pPr>
              <w:spacing w:before="60" w:after="0"/>
              <w:contextualSpacing/>
              <w:rPr>
                <w:sz w:val="22"/>
              </w:rPr>
            </w:pPr>
          </w:p>
        </w:tc>
      </w:tr>
      <w:tr w:rsidR="00A11A6F" w:rsidRPr="00812E33" w14:paraId="098184D4" w14:textId="77777777" w:rsidTr="00941CA6">
        <w:trPr>
          <w:trHeight w:val="374"/>
          <w:jc w:val="center"/>
        </w:trPr>
        <w:tc>
          <w:tcPr>
            <w:tcW w:w="12960" w:type="dxa"/>
            <w:gridSpan w:val="3"/>
            <w:tcBorders>
              <w:bottom w:val="single" w:sz="4" w:space="0" w:color="000000"/>
            </w:tcBorders>
            <w:vAlign w:val="center"/>
            <w:hideMark/>
          </w:tcPr>
          <w:p w14:paraId="101179FC" w14:textId="77777777" w:rsidR="00A11A6F" w:rsidRPr="00812E33" w:rsidRDefault="00A11A6F" w:rsidP="00812E33">
            <w:pPr>
              <w:pStyle w:val="HSAGTableText"/>
              <w:rPr>
                <w:b/>
                <w:bCs/>
              </w:rPr>
            </w:pPr>
            <w:r w:rsidRPr="00812E33">
              <w:rPr>
                <w:b/>
                <w:bCs/>
              </w:rPr>
              <w:t xml:space="preserve">HSAG Findings: </w:t>
            </w:r>
          </w:p>
        </w:tc>
      </w:tr>
      <w:tr w:rsidR="00A11A6F" w:rsidRPr="00812E33" w14:paraId="24B7B565" w14:textId="77777777" w:rsidTr="00941CA6">
        <w:trPr>
          <w:trHeight w:val="374"/>
          <w:jc w:val="center"/>
        </w:trPr>
        <w:tc>
          <w:tcPr>
            <w:tcW w:w="12960" w:type="dxa"/>
            <w:gridSpan w:val="3"/>
            <w:tcBorders>
              <w:top w:val="single" w:sz="4" w:space="0" w:color="000000"/>
              <w:bottom w:val="single" w:sz="18" w:space="0" w:color="00549E" w:themeColor="text2"/>
            </w:tcBorders>
            <w:vAlign w:val="center"/>
          </w:tcPr>
          <w:p w14:paraId="48D1690B" w14:textId="77777777" w:rsidR="00A11A6F" w:rsidRPr="00812E33" w:rsidRDefault="00A11A6F" w:rsidP="00812E33">
            <w:pPr>
              <w:pStyle w:val="HSAGTableText"/>
              <w:rPr>
                <w:b/>
                <w:bCs/>
              </w:rPr>
            </w:pPr>
            <w:r w:rsidRPr="00812E33">
              <w:rPr>
                <w:b/>
                <w:bCs/>
              </w:rPr>
              <w:t xml:space="preserve">Required Actions: </w:t>
            </w:r>
          </w:p>
        </w:tc>
      </w:tr>
      <w:tr w:rsidR="00941CA6" w:rsidRPr="00941CA6" w14:paraId="4C2DE7F5" w14:textId="77777777" w:rsidTr="00166033">
        <w:trPr>
          <w:trHeight w:val="374"/>
          <w:jc w:val="center"/>
        </w:trPr>
        <w:tc>
          <w:tcPr>
            <w:tcW w:w="12960" w:type="dxa"/>
            <w:gridSpan w:val="3"/>
            <w:shd w:val="clear" w:color="auto" w:fill="D9D9D9" w:themeFill="background1" w:themeFillShade="D9"/>
            <w:vAlign w:val="center"/>
          </w:tcPr>
          <w:p w14:paraId="43CDE097" w14:textId="5AF60C3B" w:rsidR="00941CA6" w:rsidRPr="00941CA6" w:rsidRDefault="00941CA6" w:rsidP="00941CA6">
            <w:pPr>
              <w:pStyle w:val="HSAGTableHeading"/>
              <w:jc w:val="left"/>
              <w:rPr>
                <w:rFonts w:cs="Calibri"/>
                <w:color w:val="auto"/>
              </w:rPr>
            </w:pPr>
            <w:r w:rsidRPr="00941CA6">
              <w:rPr>
                <w:rFonts w:cs="Calibri"/>
                <w:color w:val="auto"/>
              </w:rPr>
              <w:t>Performance Improvement Projects</w:t>
            </w:r>
          </w:p>
        </w:tc>
      </w:tr>
      <w:tr w:rsidR="00A11A6F" w:rsidRPr="000C4F26" w14:paraId="4485C8DA" w14:textId="77777777" w:rsidTr="00941CA6">
        <w:trPr>
          <w:trHeight w:val="374"/>
          <w:jc w:val="center"/>
        </w:trPr>
        <w:tc>
          <w:tcPr>
            <w:tcW w:w="5982" w:type="dxa"/>
            <w:vMerge w:val="restart"/>
          </w:tcPr>
          <w:p w14:paraId="18287973" w14:textId="77777777" w:rsidR="00A11A6F" w:rsidRPr="000C4F26" w:rsidRDefault="00A11A6F" w:rsidP="00941CA6">
            <w:pPr>
              <w:pStyle w:val="TableNumber1"/>
              <w:rPr>
                <w:rFonts w:eastAsia="Times New Roman"/>
                <w:iCs/>
                <w:sz w:val="18"/>
                <w:szCs w:val="18"/>
              </w:rPr>
            </w:pPr>
            <w:r w:rsidRPr="000C4F26">
              <w:t>The QAPI program includes performance improvement projects (PIPs).</w:t>
            </w:r>
          </w:p>
          <w:p w14:paraId="63C7E347" w14:textId="047993BE" w:rsidR="00A11A6F" w:rsidRPr="000C4F26" w:rsidRDefault="00A11A6F" w:rsidP="00410747">
            <w:pPr>
              <w:numPr>
                <w:ilvl w:val="0"/>
                <w:numId w:val="18"/>
              </w:numPr>
              <w:spacing w:before="40" w:after="40"/>
              <w:rPr>
                <w:rFonts w:eastAsia="Times New Roman" w:cs="Times New Roman"/>
                <w:iCs/>
                <w:sz w:val="18"/>
                <w:szCs w:val="18"/>
              </w:rPr>
            </w:pPr>
            <w:r w:rsidRPr="000C4F26">
              <w:rPr>
                <w:rFonts w:cs="Times New Roman"/>
                <w:color w:val="000000" w:themeColor="text1"/>
                <w:sz w:val="22"/>
              </w:rPr>
              <w:t xml:space="preserve">The CCO conducts PIPs that focus on both clinical and nonclinical areas. </w:t>
            </w:r>
          </w:p>
          <w:p w14:paraId="066704F8" w14:textId="77777777" w:rsidR="00A11A6F" w:rsidRPr="000C4F26" w:rsidRDefault="00A11A6F" w:rsidP="00941CA6">
            <w:pPr>
              <w:pStyle w:val="ContractRef"/>
            </w:pPr>
          </w:p>
          <w:p w14:paraId="39366055" w14:textId="77777777" w:rsidR="00A11A6F" w:rsidRPr="000C4F26" w:rsidRDefault="00A11A6F" w:rsidP="00941CA6">
            <w:pPr>
              <w:pStyle w:val="ContractRef"/>
            </w:pPr>
            <w:r w:rsidRPr="000C4F26">
              <w:t>42 CFR §438.330(b)(1)</w:t>
            </w:r>
          </w:p>
          <w:p w14:paraId="761A663B" w14:textId="77777777" w:rsidR="00A11A6F" w:rsidRPr="000C4F26" w:rsidRDefault="00A11A6F" w:rsidP="00941CA6">
            <w:pPr>
              <w:pStyle w:val="ContractRef"/>
            </w:pPr>
            <w:r w:rsidRPr="000C4F26">
              <w:t>42 CFR §438.330(d)(1)</w:t>
            </w:r>
          </w:p>
          <w:p w14:paraId="78105CA2" w14:textId="77777777" w:rsidR="00A11A6F" w:rsidRPr="000C4F26" w:rsidRDefault="00A11A6F" w:rsidP="00941CA6">
            <w:pPr>
              <w:pStyle w:val="ContractRef"/>
            </w:pPr>
            <w:r w:rsidRPr="000C4F26">
              <w:t>42 CFR §457.1240(b)</w:t>
            </w:r>
          </w:p>
          <w:p w14:paraId="4B1EC528" w14:textId="77777777" w:rsidR="00D02394" w:rsidRPr="000C4F26" w:rsidRDefault="00D02394" w:rsidP="00941CA6">
            <w:pPr>
              <w:pStyle w:val="ContractRef"/>
              <w:rPr>
                <w:color w:val="000000" w:themeColor="text1"/>
              </w:rPr>
            </w:pPr>
            <w:r w:rsidRPr="000C4F26">
              <w:rPr>
                <w:color w:val="000000" w:themeColor="text1"/>
              </w:rPr>
              <w:t>Contract:  Exhibit B Part 10(6)(a)</w:t>
            </w:r>
          </w:p>
          <w:p w14:paraId="6DD0DEF7" w14:textId="767E7E76" w:rsidR="00D02394" w:rsidRPr="000C4F26" w:rsidRDefault="00D02394" w:rsidP="00941CA6">
            <w:pPr>
              <w:pStyle w:val="ContractRef"/>
              <w:rPr>
                <w:color w:val="000000" w:themeColor="text1"/>
              </w:rPr>
            </w:pPr>
            <w:r w:rsidRPr="000C4F26">
              <w:rPr>
                <w:color w:val="000000" w:themeColor="text1"/>
              </w:rPr>
              <w:t>OAR 410-141-3525(5)(f)</w:t>
            </w:r>
          </w:p>
        </w:tc>
        <w:tc>
          <w:tcPr>
            <w:tcW w:w="5263" w:type="dxa"/>
            <w:shd w:val="clear" w:color="auto" w:fill="FFFFFF" w:themeFill="background1"/>
          </w:tcPr>
          <w:p w14:paraId="01069B8D" w14:textId="46D5334E" w:rsidR="00A11A6F" w:rsidRPr="000C4F26" w:rsidRDefault="00867651" w:rsidP="00F20113">
            <w:pPr>
              <w:pStyle w:val="HSAGTableText"/>
              <w:rPr>
                <w:b/>
                <w:bCs/>
              </w:rPr>
            </w:pPr>
            <w:r w:rsidRPr="000C4F26">
              <w:rPr>
                <w:b/>
                <w:bCs/>
              </w:rPr>
              <w:t>HSAG Suggested Documents</w:t>
            </w:r>
            <w:r w:rsidR="00A11A6F" w:rsidRPr="000C4F26">
              <w:rPr>
                <w:b/>
                <w:bCs/>
              </w:rPr>
              <w:t>:</w:t>
            </w:r>
          </w:p>
          <w:p w14:paraId="6C0D3210" w14:textId="0520B04F" w:rsidR="00D645EA" w:rsidRDefault="00D645EA" w:rsidP="00941CA6">
            <w:pPr>
              <w:pStyle w:val="HSAGTableBullet1"/>
            </w:pPr>
            <w:r>
              <w:t xml:space="preserve">QAPI program description </w:t>
            </w:r>
            <w:r w:rsidR="004A7DB4">
              <w:t>describing</w:t>
            </w:r>
            <w:r>
              <w:t xml:space="preserve"> all </w:t>
            </w:r>
            <w:r w:rsidR="004A7DB4">
              <w:t>state-required PIPs conducted by the CCO in 2024</w:t>
            </w:r>
          </w:p>
          <w:p w14:paraId="4E8AAA8C" w14:textId="7469F9B1" w:rsidR="00D645EA" w:rsidRPr="000C4F26" w:rsidRDefault="00D645EA" w:rsidP="00941CA6">
            <w:pPr>
              <w:pStyle w:val="HSAGTableBullet1"/>
            </w:pPr>
            <w:r>
              <w:t>QAPI work plan outlining all QAPI activities pertaining to PIPs conducted</w:t>
            </w:r>
          </w:p>
          <w:p w14:paraId="788129ED" w14:textId="77777777" w:rsidR="007E354C" w:rsidRDefault="004A7DB4" w:rsidP="00941CA6">
            <w:pPr>
              <w:pStyle w:val="HSAGTableBullet1"/>
            </w:pPr>
            <w:r>
              <w:t xml:space="preserve">Documentation </w:t>
            </w:r>
            <w:r w:rsidR="00CC0115">
              <w:t>for clinical PIP(s) active in 2024</w:t>
            </w:r>
          </w:p>
          <w:p w14:paraId="6175350F" w14:textId="21C4085A" w:rsidR="00A11A6F" w:rsidRPr="000C4F26" w:rsidRDefault="00CC0115" w:rsidP="00941CA6">
            <w:pPr>
              <w:pStyle w:val="HSAGTableBullet1"/>
            </w:pPr>
            <w:r>
              <w:t xml:space="preserve">Documentation for </w:t>
            </w:r>
            <w:r w:rsidR="00A11A6F" w:rsidRPr="000C4F26">
              <w:t>nonclinical PIP</w:t>
            </w:r>
            <w:r w:rsidR="00D645EA">
              <w:t>(s)</w:t>
            </w:r>
            <w:r>
              <w:t xml:space="preserve"> active in 2024</w:t>
            </w:r>
          </w:p>
        </w:tc>
        <w:tc>
          <w:tcPr>
            <w:tcW w:w="1715" w:type="dxa"/>
            <w:vMerge w:val="restart"/>
            <w:shd w:val="clear" w:color="auto" w:fill="FFFFFF" w:themeFill="background1"/>
          </w:tcPr>
          <w:p w14:paraId="4861F396" w14:textId="77777777" w:rsidR="00867651" w:rsidRPr="000C4F26" w:rsidRDefault="00410747" w:rsidP="00867651">
            <w:pPr>
              <w:pStyle w:val="HSAGTableText"/>
            </w:pPr>
            <w:sdt>
              <w:sdtPr>
                <w:id w:val="1327711308"/>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Met</w:t>
            </w:r>
          </w:p>
          <w:p w14:paraId="70CA9E40" w14:textId="77777777" w:rsidR="00867651" w:rsidRPr="000C4F26" w:rsidRDefault="00410747" w:rsidP="00867651">
            <w:pPr>
              <w:pStyle w:val="HSAGTableText"/>
            </w:pPr>
            <w:sdt>
              <w:sdtPr>
                <w:id w:val="2076542062"/>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Partially Met</w:t>
            </w:r>
          </w:p>
          <w:p w14:paraId="2825F882" w14:textId="77777777" w:rsidR="00867651" w:rsidRPr="000C4F26" w:rsidRDefault="00410747" w:rsidP="00867651">
            <w:pPr>
              <w:pStyle w:val="HSAGTableText"/>
              <w:rPr>
                <w:b/>
              </w:rPr>
            </w:pPr>
            <w:sdt>
              <w:sdtPr>
                <w:id w:val="-958105709"/>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Not Met</w:t>
            </w:r>
          </w:p>
          <w:p w14:paraId="3F5BEC52" w14:textId="77777777" w:rsidR="00A11A6F" w:rsidRPr="000C4F26" w:rsidRDefault="00A11A6F" w:rsidP="00A11A6F">
            <w:pPr>
              <w:spacing w:before="60" w:after="0"/>
              <w:contextualSpacing/>
              <w:rPr>
                <w:sz w:val="22"/>
              </w:rPr>
            </w:pPr>
          </w:p>
        </w:tc>
      </w:tr>
      <w:tr w:rsidR="00A11A6F" w:rsidRPr="000C4F26" w14:paraId="0484C580" w14:textId="77777777" w:rsidTr="00941CA6">
        <w:trPr>
          <w:trHeight w:val="374"/>
          <w:jc w:val="center"/>
        </w:trPr>
        <w:tc>
          <w:tcPr>
            <w:tcW w:w="5982" w:type="dxa"/>
            <w:vMerge/>
          </w:tcPr>
          <w:p w14:paraId="5B771C79" w14:textId="77777777" w:rsidR="00A11A6F" w:rsidRPr="000C4F26" w:rsidRDefault="00A11A6F" w:rsidP="005E61B1">
            <w:pPr>
              <w:numPr>
                <w:ilvl w:val="0"/>
                <w:numId w:val="12"/>
              </w:numPr>
              <w:spacing w:before="0" w:after="60"/>
              <w:contextualSpacing/>
              <w:rPr>
                <w:rFonts w:cs="Times New Roman"/>
                <w:iCs/>
                <w:color w:val="000000" w:themeColor="text1"/>
                <w:sz w:val="22"/>
              </w:rPr>
            </w:pPr>
          </w:p>
        </w:tc>
        <w:tc>
          <w:tcPr>
            <w:tcW w:w="5263" w:type="dxa"/>
            <w:shd w:val="clear" w:color="auto" w:fill="FFFFFF" w:themeFill="background1"/>
          </w:tcPr>
          <w:p w14:paraId="038C4087" w14:textId="3E206E4D" w:rsidR="00A11A6F" w:rsidRPr="000C4F26" w:rsidRDefault="00A11A6F" w:rsidP="00F20113">
            <w:pPr>
              <w:pStyle w:val="HSAGTableText"/>
              <w:rPr>
                <w:b/>
                <w:bCs/>
              </w:rPr>
            </w:pPr>
            <w:r w:rsidRPr="000C4F26">
              <w:rPr>
                <w:b/>
                <w:bCs/>
              </w:rPr>
              <w:t>Evidence as Submitted by the CCO:</w:t>
            </w:r>
          </w:p>
          <w:p w14:paraId="3694241B" w14:textId="77777777" w:rsidR="00A11A6F" w:rsidRPr="000C4F26" w:rsidRDefault="00A11A6F" w:rsidP="00F20113">
            <w:pPr>
              <w:pStyle w:val="HSAGTableBullet1"/>
            </w:pPr>
          </w:p>
        </w:tc>
        <w:tc>
          <w:tcPr>
            <w:tcW w:w="1715" w:type="dxa"/>
            <w:vMerge/>
            <w:shd w:val="clear" w:color="auto" w:fill="FFFFFF" w:themeFill="background1"/>
          </w:tcPr>
          <w:p w14:paraId="6C39E7F6" w14:textId="77777777" w:rsidR="00A11A6F" w:rsidRPr="000C4F26" w:rsidRDefault="00A11A6F" w:rsidP="00A11A6F">
            <w:pPr>
              <w:spacing w:before="60" w:after="0"/>
              <w:contextualSpacing/>
              <w:rPr>
                <w:sz w:val="22"/>
              </w:rPr>
            </w:pPr>
          </w:p>
        </w:tc>
      </w:tr>
      <w:tr w:rsidR="00A11A6F" w:rsidRPr="00812E33" w14:paraId="3F8AADE9" w14:textId="77777777" w:rsidTr="00941CA6">
        <w:trPr>
          <w:trHeight w:val="374"/>
          <w:jc w:val="center"/>
        </w:trPr>
        <w:tc>
          <w:tcPr>
            <w:tcW w:w="12960" w:type="dxa"/>
            <w:gridSpan w:val="3"/>
            <w:tcBorders>
              <w:bottom w:val="single" w:sz="4" w:space="0" w:color="000000"/>
            </w:tcBorders>
            <w:vAlign w:val="center"/>
            <w:hideMark/>
          </w:tcPr>
          <w:p w14:paraId="27213212" w14:textId="7C295E50" w:rsidR="00A11A6F" w:rsidRPr="00812E33" w:rsidRDefault="00A11A6F" w:rsidP="00812E33">
            <w:pPr>
              <w:pStyle w:val="HSAGTableText"/>
              <w:rPr>
                <w:b/>
                <w:bCs/>
              </w:rPr>
            </w:pPr>
            <w:r w:rsidRPr="00812E33">
              <w:rPr>
                <w:b/>
                <w:bCs/>
              </w:rPr>
              <w:t>HSAG Findings:</w:t>
            </w:r>
            <w:r w:rsidR="00812E33" w:rsidRPr="00812E33">
              <w:t xml:space="preserve">     </w:t>
            </w:r>
          </w:p>
        </w:tc>
      </w:tr>
      <w:tr w:rsidR="00A11A6F" w:rsidRPr="00812E33" w14:paraId="6CAD9E63" w14:textId="77777777" w:rsidTr="00941CA6">
        <w:trPr>
          <w:trHeight w:val="374"/>
          <w:jc w:val="center"/>
        </w:trPr>
        <w:tc>
          <w:tcPr>
            <w:tcW w:w="12960" w:type="dxa"/>
            <w:gridSpan w:val="3"/>
            <w:tcBorders>
              <w:top w:val="single" w:sz="4" w:space="0" w:color="000000"/>
              <w:bottom w:val="single" w:sz="18" w:space="0" w:color="00549E" w:themeColor="text2"/>
            </w:tcBorders>
            <w:vAlign w:val="center"/>
          </w:tcPr>
          <w:p w14:paraId="463EA786" w14:textId="08C58A81" w:rsidR="00A11A6F" w:rsidRPr="00812E33" w:rsidRDefault="00A11A6F" w:rsidP="00812E33">
            <w:pPr>
              <w:pStyle w:val="HSAGTableText"/>
              <w:rPr>
                <w:b/>
                <w:bCs/>
              </w:rPr>
            </w:pPr>
            <w:r w:rsidRPr="00812E33">
              <w:rPr>
                <w:b/>
                <w:bCs/>
              </w:rPr>
              <w:t>Required Actions:</w:t>
            </w:r>
            <w:r w:rsidR="00812E33" w:rsidRPr="00812E33">
              <w:t xml:space="preserve">     </w:t>
            </w:r>
          </w:p>
        </w:tc>
      </w:tr>
      <w:tr w:rsidR="00A11A6F" w:rsidRPr="000C4F26" w14:paraId="33ABB633" w14:textId="77777777" w:rsidTr="00941CA6">
        <w:trPr>
          <w:trHeight w:val="374"/>
          <w:jc w:val="center"/>
        </w:trPr>
        <w:tc>
          <w:tcPr>
            <w:tcW w:w="5982" w:type="dxa"/>
            <w:vMerge w:val="restart"/>
          </w:tcPr>
          <w:p w14:paraId="5BA22C95" w14:textId="77777777" w:rsidR="00A11A6F" w:rsidRPr="000C4F26" w:rsidRDefault="00A11A6F" w:rsidP="00941CA6">
            <w:pPr>
              <w:pStyle w:val="TableNumber1"/>
              <w:rPr>
                <w:sz w:val="18"/>
                <w:szCs w:val="18"/>
              </w:rPr>
            </w:pPr>
            <w:r w:rsidRPr="000C4F26">
              <w:t>Each PIP is designed to achieve significant improvement, sustained over time, in health outcomes and member satisfaction, and includes the following elements:</w:t>
            </w:r>
          </w:p>
          <w:p w14:paraId="77952A44" w14:textId="77777777" w:rsidR="00A11A6F" w:rsidRPr="000C4F26" w:rsidRDefault="00A11A6F" w:rsidP="00410747">
            <w:pPr>
              <w:numPr>
                <w:ilvl w:val="0"/>
                <w:numId w:val="17"/>
              </w:numPr>
              <w:spacing w:before="40" w:after="40"/>
              <w:rPr>
                <w:rFonts w:cs="Times New Roman"/>
                <w:color w:val="000000" w:themeColor="text1"/>
                <w:sz w:val="18"/>
                <w:szCs w:val="18"/>
              </w:rPr>
            </w:pPr>
            <w:r w:rsidRPr="000C4F26">
              <w:rPr>
                <w:rFonts w:cs="Times New Roman"/>
                <w:color w:val="000000" w:themeColor="text1"/>
                <w:sz w:val="22"/>
              </w:rPr>
              <w:t>Measurement of performance using objective quality indicators.</w:t>
            </w:r>
          </w:p>
          <w:p w14:paraId="30836040" w14:textId="77777777" w:rsidR="00A11A6F" w:rsidRPr="000C4F26" w:rsidRDefault="00A11A6F" w:rsidP="00410747">
            <w:pPr>
              <w:numPr>
                <w:ilvl w:val="0"/>
                <w:numId w:val="17"/>
              </w:numPr>
              <w:spacing w:before="40" w:after="40"/>
              <w:rPr>
                <w:rFonts w:cs="Times New Roman"/>
                <w:color w:val="000000" w:themeColor="text1"/>
                <w:sz w:val="18"/>
                <w:szCs w:val="18"/>
              </w:rPr>
            </w:pPr>
            <w:r w:rsidRPr="000C4F26">
              <w:rPr>
                <w:rFonts w:cs="Times New Roman"/>
                <w:color w:val="000000" w:themeColor="text1"/>
                <w:sz w:val="22"/>
              </w:rPr>
              <w:t>Implementation of interventions to achieve improvement in the access to and quality of care.</w:t>
            </w:r>
          </w:p>
          <w:p w14:paraId="3B10404E" w14:textId="77777777" w:rsidR="00A11A6F" w:rsidRPr="000C4F26" w:rsidRDefault="00A11A6F" w:rsidP="00410747">
            <w:pPr>
              <w:numPr>
                <w:ilvl w:val="0"/>
                <w:numId w:val="17"/>
              </w:numPr>
              <w:spacing w:before="40" w:after="40"/>
              <w:rPr>
                <w:rFonts w:cs="Times New Roman"/>
                <w:color w:val="000000" w:themeColor="text1"/>
                <w:sz w:val="18"/>
                <w:szCs w:val="18"/>
              </w:rPr>
            </w:pPr>
            <w:r w:rsidRPr="000C4F26">
              <w:rPr>
                <w:rFonts w:cs="Times New Roman"/>
                <w:color w:val="000000" w:themeColor="text1"/>
                <w:sz w:val="22"/>
              </w:rPr>
              <w:t>Evaluation of the effectiveness of the interventions based on the performance measures required by the State.</w:t>
            </w:r>
          </w:p>
          <w:p w14:paraId="797FCDFE" w14:textId="77777777" w:rsidR="00A11A6F" w:rsidRPr="000C4F26" w:rsidRDefault="00A11A6F" w:rsidP="00410747">
            <w:pPr>
              <w:numPr>
                <w:ilvl w:val="0"/>
                <w:numId w:val="17"/>
              </w:numPr>
              <w:spacing w:before="40" w:after="40"/>
              <w:rPr>
                <w:rFonts w:cs="Times New Roman"/>
                <w:color w:val="000000" w:themeColor="text1"/>
                <w:sz w:val="18"/>
                <w:szCs w:val="18"/>
              </w:rPr>
            </w:pPr>
            <w:r w:rsidRPr="000C4F26">
              <w:rPr>
                <w:rFonts w:cs="Times New Roman"/>
                <w:color w:val="000000" w:themeColor="text1"/>
                <w:sz w:val="22"/>
              </w:rPr>
              <w:lastRenderedPageBreak/>
              <w:t>Planning and initiation of activities for increasing or sustaining improvement.</w:t>
            </w:r>
          </w:p>
          <w:p w14:paraId="370E8B6D" w14:textId="77777777" w:rsidR="00A11A6F" w:rsidRPr="000C4F26" w:rsidRDefault="00A11A6F" w:rsidP="00941CA6">
            <w:pPr>
              <w:pStyle w:val="ContractRef"/>
            </w:pPr>
          </w:p>
          <w:p w14:paraId="44079BB4" w14:textId="77777777" w:rsidR="00A11A6F" w:rsidRPr="000C4F26" w:rsidRDefault="00A11A6F" w:rsidP="00941CA6">
            <w:pPr>
              <w:pStyle w:val="ContractRef"/>
            </w:pPr>
            <w:r w:rsidRPr="000C4F26">
              <w:t>42 CFR §438.330(d)(2)</w:t>
            </w:r>
          </w:p>
          <w:p w14:paraId="2739F707" w14:textId="77777777" w:rsidR="00A11A6F" w:rsidRPr="000C4F26" w:rsidRDefault="00A11A6F" w:rsidP="00941CA6">
            <w:pPr>
              <w:pStyle w:val="ContractRef"/>
            </w:pPr>
            <w:r w:rsidRPr="000C4F26">
              <w:t>42 CFR §457.1240(b)</w:t>
            </w:r>
          </w:p>
          <w:p w14:paraId="74EAE775" w14:textId="77777777" w:rsidR="00D02394" w:rsidRPr="000C4F26" w:rsidRDefault="00D02394" w:rsidP="00941CA6">
            <w:pPr>
              <w:pStyle w:val="ContractRef"/>
              <w:rPr>
                <w:color w:val="000000" w:themeColor="text1"/>
              </w:rPr>
            </w:pPr>
            <w:r w:rsidRPr="000C4F26">
              <w:rPr>
                <w:color w:val="000000" w:themeColor="text1"/>
              </w:rPr>
              <w:t>Contract:  Exhibit B Part 10(6)(a)</w:t>
            </w:r>
          </w:p>
          <w:p w14:paraId="72ED30B0" w14:textId="72BE6B03" w:rsidR="00D02394" w:rsidRPr="000C4F26" w:rsidRDefault="00D02394" w:rsidP="00941CA6">
            <w:pPr>
              <w:pStyle w:val="ContractRef"/>
              <w:rPr>
                <w:color w:val="000000" w:themeColor="text1"/>
              </w:rPr>
            </w:pPr>
            <w:r w:rsidRPr="000C4F26">
              <w:rPr>
                <w:color w:val="000000" w:themeColor="text1"/>
              </w:rPr>
              <w:t>OAR 410-141-3525(5)(f)</w:t>
            </w:r>
          </w:p>
        </w:tc>
        <w:tc>
          <w:tcPr>
            <w:tcW w:w="5263" w:type="dxa"/>
            <w:shd w:val="clear" w:color="auto" w:fill="FFFFFF" w:themeFill="background1"/>
          </w:tcPr>
          <w:p w14:paraId="1071CA26" w14:textId="25F37AA3" w:rsidR="00A11A6F" w:rsidRPr="000C4F26" w:rsidRDefault="00867651" w:rsidP="00F20113">
            <w:pPr>
              <w:pStyle w:val="HSAGTableText"/>
              <w:rPr>
                <w:b/>
                <w:bCs/>
              </w:rPr>
            </w:pPr>
            <w:r w:rsidRPr="000C4F26">
              <w:rPr>
                <w:b/>
                <w:bCs/>
              </w:rPr>
              <w:lastRenderedPageBreak/>
              <w:t>HSAG Suggested Documents</w:t>
            </w:r>
            <w:r w:rsidR="00A11A6F" w:rsidRPr="000C4F26">
              <w:rPr>
                <w:b/>
                <w:bCs/>
              </w:rPr>
              <w:t>:</w:t>
            </w:r>
          </w:p>
          <w:p w14:paraId="7864D12B" w14:textId="59F47401" w:rsidR="00A11A6F" w:rsidRPr="004C6533" w:rsidRDefault="00A11A6F" w:rsidP="00F20113">
            <w:pPr>
              <w:pStyle w:val="HSAGTableBullet1"/>
            </w:pPr>
            <w:r w:rsidRPr="004C6533">
              <w:t>QAPI program description</w:t>
            </w:r>
            <w:r w:rsidR="00261227" w:rsidRPr="004C6533">
              <w:t xml:space="preserve"> describing PIP design processes</w:t>
            </w:r>
          </w:p>
          <w:p w14:paraId="4EB955C2" w14:textId="5822A0C1" w:rsidR="00A11A6F" w:rsidRPr="004C6533" w:rsidRDefault="00A11A6F" w:rsidP="00F20113">
            <w:pPr>
              <w:pStyle w:val="HSAGTableBullet1"/>
            </w:pPr>
            <w:r w:rsidRPr="004C6533">
              <w:t>QAPI work plan</w:t>
            </w:r>
            <w:r w:rsidR="00261227" w:rsidRPr="004C6533">
              <w:t xml:space="preserve"> </w:t>
            </w:r>
            <w:r w:rsidR="00CC0115" w:rsidRPr="004C6533">
              <w:t>outlining</w:t>
            </w:r>
            <w:r w:rsidR="00D645EA" w:rsidRPr="004C6533">
              <w:t xml:space="preserve"> </w:t>
            </w:r>
            <w:r w:rsidR="00261227" w:rsidRPr="004C6533">
              <w:t xml:space="preserve">PIP </w:t>
            </w:r>
            <w:r w:rsidR="004C6533" w:rsidRPr="004C6533">
              <w:t>activities pertaining to PIPs conducted</w:t>
            </w:r>
          </w:p>
          <w:p w14:paraId="3F8C7A83" w14:textId="77777777" w:rsidR="00A11A6F" w:rsidRPr="000C4F26" w:rsidRDefault="00A11A6F" w:rsidP="00F20113">
            <w:pPr>
              <w:pStyle w:val="HSAGTableBullet1"/>
            </w:pPr>
            <w:r w:rsidRPr="004C6533">
              <w:t>Documentation for all active PIPs</w:t>
            </w:r>
          </w:p>
        </w:tc>
        <w:tc>
          <w:tcPr>
            <w:tcW w:w="1715" w:type="dxa"/>
            <w:vMerge w:val="restart"/>
            <w:shd w:val="clear" w:color="auto" w:fill="FFFFFF" w:themeFill="background1"/>
          </w:tcPr>
          <w:p w14:paraId="70D96394" w14:textId="77777777" w:rsidR="00867651" w:rsidRPr="000C4F26" w:rsidRDefault="00410747" w:rsidP="00867651">
            <w:pPr>
              <w:pStyle w:val="HSAGTableText"/>
            </w:pPr>
            <w:sdt>
              <w:sdtPr>
                <w:id w:val="1591123356"/>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Met</w:t>
            </w:r>
          </w:p>
          <w:p w14:paraId="5ECE112F" w14:textId="77777777" w:rsidR="00867651" w:rsidRPr="000C4F26" w:rsidRDefault="00410747" w:rsidP="00867651">
            <w:pPr>
              <w:pStyle w:val="HSAGTableText"/>
            </w:pPr>
            <w:sdt>
              <w:sdtPr>
                <w:id w:val="-586547539"/>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Partially Met</w:t>
            </w:r>
          </w:p>
          <w:p w14:paraId="227631FC" w14:textId="77777777" w:rsidR="00867651" w:rsidRPr="000C4F26" w:rsidRDefault="00410747" w:rsidP="00867651">
            <w:pPr>
              <w:pStyle w:val="HSAGTableText"/>
              <w:rPr>
                <w:b/>
              </w:rPr>
            </w:pPr>
            <w:sdt>
              <w:sdtPr>
                <w:id w:val="-1267917181"/>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Not Met</w:t>
            </w:r>
          </w:p>
          <w:p w14:paraId="44956E0D" w14:textId="77777777" w:rsidR="00A11A6F" w:rsidRPr="000C4F26" w:rsidRDefault="00A11A6F" w:rsidP="00A11A6F">
            <w:pPr>
              <w:spacing w:before="60" w:after="0"/>
              <w:contextualSpacing/>
              <w:rPr>
                <w:sz w:val="22"/>
              </w:rPr>
            </w:pPr>
          </w:p>
        </w:tc>
      </w:tr>
      <w:tr w:rsidR="00A11A6F" w:rsidRPr="000C4F26" w14:paraId="7A37B4C0" w14:textId="77777777" w:rsidTr="00941CA6">
        <w:trPr>
          <w:trHeight w:val="374"/>
          <w:jc w:val="center"/>
        </w:trPr>
        <w:tc>
          <w:tcPr>
            <w:tcW w:w="5982" w:type="dxa"/>
            <w:vMerge/>
          </w:tcPr>
          <w:p w14:paraId="5D799552" w14:textId="77777777" w:rsidR="00A11A6F" w:rsidRPr="000C4F26" w:rsidRDefault="00A11A6F" w:rsidP="005E61B1">
            <w:pPr>
              <w:numPr>
                <w:ilvl w:val="0"/>
                <w:numId w:val="12"/>
              </w:numPr>
              <w:spacing w:before="0" w:after="60"/>
              <w:contextualSpacing/>
              <w:rPr>
                <w:rFonts w:cs="Times New Roman"/>
                <w:iCs/>
                <w:color w:val="000000" w:themeColor="text1"/>
                <w:sz w:val="22"/>
              </w:rPr>
            </w:pPr>
          </w:p>
        </w:tc>
        <w:tc>
          <w:tcPr>
            <w:tcW w:w="5263" w:type="dxa"/>
            <w:shd w:val="clear" w:color="auto" w:fill="FFFFFF" w:themeFill="background1"/>
          </w:tcPr>
          <w:p w14:paraId="1C625FFB" w14:textId="0D7D6F19" w:rsidR="00A11A6F" w:rsidRPr="000C4F26" w:rsidRDefault="00A11A6F" w:rsidP="00F20113">
            <w:pPr>
              <w:pStyle w:val="HSAGTableText"/>
              <w:rPr>
                <w:b/>
                <w:bCs/>
              </w:rPr>
            </w:pPr>
            <w:r w:rsidRPr="000C4F26">
              <w:rPr>
                <w:b/>
                <w:bCs/>
              </w:rPr>
              <w:t>Evidence as Submitted by the CCO:</w:t>
            </w:r>
          </w:p>
          <w:p w14:paraId="0508D6F6" w14:textId="77777777" w:rsidR="00A11A6F" w:rsidRPr="000C4F26" w:rsidRDefault="00A11A6F" w:rsidP="00F20113">
            <w:pPr>
              <w:pStyle w:val="HSAGTableBullet1"/>
            </w:pPr>
          </w:p>
        </w:tc>
        <w:tc>
          <w:tcPr>
            <w:tcW w:w="1715" w:type="dxa"/>
            <w:vMerge/>
            <w:shd w:val="clear" w:color="auto" w:fill="FFFFFF" w:themeFill="background1"/>
          </w:tcPr>
          <w:p w14:paraId="3F2B4660" w14:textId="77777777" w:rsidR="00A11A6F" w:rsidRPr="000C4F26" w:rsidRDefault="00A11A6F" w:rsidP="00A11A6F">
            <w:pPr>
              <w:spacing w:before="60" w:after="0"/>
              <w:contextualSpacing/>
              <w:rPr>
                <w:sz w:val="22"/>
              </w:rPr>
            </w:pPr>
          </w:p>
        </w:tc>
      </w:tr>
      <w:tr w:rsidR="00A11A6F" w:rsidRPr="000C4F26" w14:paraId="20070A8C" w14:textId="77777777" w:rsidTr="00941CA6">
        <w:trPr>
          <w:trHeight w:val="374"/>
          <w:jc w:val="center"/>
        </w:trPr>
        <w:tc>
          <w:tcPr>
            <w:tcW w:w="12960" w:type="dxa"/>
            <w:gridSpan w:val="3"/>
            <w:tcBorders>
              <w:bottom w:val="single" w:sz="4" w:space="0" w:color="000000"/>
            </w:tcBorders>
            <w:vAlign w:val="center"/>
            <w:hideMark/>
          </w:tcPr>
          <w:p w14:paraId="39698459" w14:textId="72537A53" w:rsidR="00A11A6F" w:rsidRPr="000C4F26" w:rsidRDefault="00A11A6F" w:rsidP="00A11A6F">
            <w:pPr>
              <w:spacing w:before="60" w:after="60"/>
              <w:contextualSpacing/>
              <w:rPr>
                <w:rFonts w:cs="Times New Roman"/>
                <w:color w:val="000000" w:themeColor="text1"/>
                <w:sz w:val="22"/>
                <w:szCs w:val="20"/>
              </w:rPr>
            </w:pPr>
            <w:r w:rsidRPr="000C4F26">
              <w:rPr>
                <w:rFonts w:cs="Times New Roman"/>
                <w:b/>
                <w:color w:val="000000" w:themeColor="text1"/>
                <w:sz w:val="22"/>
                <w:szCs w:val="20"/>
              </w:rPr>
              <w:t>HSAG Findings:</w:t>
            </w:r>
            <w:r w:rsidR="00812E33" w:rsidRPr="00812E33">
              <w:t xml:space="preserve">     </w:t>
            </w:r>
          </w:p>
        </w:tc>
      </w:tr>
      <w:tr w:rsidR="00A11A6F" w:rsidRPr="000C4F26" w14:paraId="47E6F8D0" w14:textId="77777777" w:rsidTr="00941CA6">
        <w:trPr>
          <w:trHeight w:val="374"/>
          <w:jc w:val="center"/>
        </w:trPr>
        <w:tc>
          <w:tcPr>
            <w:tcW w:w="12960" w:type="dxa"/>
            <w:gridSpan w:val="3"/>
            <w:tcBorders>
              <w:top w:val="single" w:sz="4" w:space="0" w:color="000000"/>
              <w:bottom w:val="single" w:sz="18" w:space="0" w:color="00549E" w:themeColor="text2"/>
            </w:tcBorders>
            <w:vAlign w:val="center"/>
          </w:tcPr>
          <w:p w14:paraId="492C69E3" w14:textId="7D3A1888" w:rsidR="00A11A6F" w:rsidRPr="000C4F26" w:rsidRDefault="00A11A6F" w:rsidP="00A11A6F">
            <w:pPr>
              <w:spacing w:before="60" w:after="60"/>
              <w:contextualSpacing/>
              <w:rPr>
                <w:rFonts w:cs="Times New Roman"/>
                <w:b/>
                <w:color w:val="000000" w:themeColor="text1"/>
                <w:sz w:val="22"/>
                <w:szCs w:val="20"/>
              </w:rPr>
            </w:pPr>
            <w:r w:rsidRPr="000C4F26">
              <w:rPr>
                <w:rFonts w:cs="Times New Roman"/>
                <w:b/>
                <w:color w:val="000000" w:themeColor="text1"/>
                <w:sz w:val="22"/>
                <w:szCs w:val="20"/>
              </w:rPr>
              <w:t>Required Actions:</w:t>
            </w:r>
            <w:r w:rsidR="00812E33" w:rsidRPr="00812E33">
              <w:t xml:space="preserve">     </w:t>
            </w:r>
          </w:p>
        </w:tc>
      </w:tr>
      <w:tr w:rsidR="00A11A6F" w:rsidRPr="000C4F26" w14:paraId="0B48A98E" w14:textId="77777777" w:rsidTr="00941CA6">
        <w:trPr>
          <w:trHeight w:val="374"/>
          <w:jc w:val="center"/>
        </w:trPr>
        <w:tc>
          <w:tcPr>
            <w:tcW w:w="5982" w:type="dxa"/>
            <w:vMerge w:val="restart"/>
          </w:tcPr>
          <w:p w14:paraId="02E42B1E" w14:textId="6FCB52AC" w:rsidR="00A11A6F" w:rsidRPr="000C4F26" w:rsidRDefault="00A11A6F" w:rsidP="00941CA6">
            <w:pPr>
              <w:pStyle w:val="TableNumber1"/>
              <w:rPr>
                <w:sz w:val="18"/>
                <w:szCs w:val="18"/>
              </w:rPr>
            </w:pPr>
            <w:r w:rsidRPr="000C4F26">
              <w:t>The CCO reports the status and results of each PIP to the State as requested, but not less than once per year.</w:t>
            </w:r>
          </w:p>
          <w:p w14:paraId="0656D26D" w14:textId="77777777" w:rsidR="00A11A6F" w:rsidRPr="000C4F26" w:rsidRDefault="00A11A6F" w:rsidP="00A11A6F">
            <w:pPr>
              <w:spacing w:before="0" w:after="60"/>
              <w:ind w:left="360"/>
              <w:contextualSpacing/>
              <w:jc w:val="right"/>
              <w:rPr>
                <w:rFonts w:eastAsia="Times New Roman" w:cs="Times New Roman"/>
                <w:iCs/>
                <w:sz w:val="18"/>
                <w:szCs w:val="18"/>
              </w:rPr>
            </w:pPr>
          </w:p>
          <w:p w14:paraId="4BD35FBD" w14:textId="77777777" w:rsidR="00A11A6F" w:rsidRPr="000C4F26" w:rsidRDefault="00A11A6F" w:rsidP="00941CA6">
            <w:pPr>
              <w:pStyle w:val="ContractRef"/>
            </w:pPr>
            <w:r w:rsidRPr="000C4F26">
              <w:t>42 CFR §438.330(d)(3)</w:t>
            </w:r>
          </w:p>
          <w:p w14:paraId="30092C0F" w14:textId="77777777" w:rsidR="00A11A6F" w:rsidRPr="000C4F26" w:rsidRDefault="00A11A6F" w:rsidP="00941CA6">
            <w:pPr>
              <w:pStyle w:val="ContractRef"/>
            </w:pPr>
            <w:r w:rsidRPr="000C4F26">
              <w:t>42 CFR §457.1240(b)</w:t>
            </w:r>
          </w:p>
          <w:p w14:paraId="7AE3E0A3" w14:textId="76F94CA4" w:rsidR="00D02394" w:rsidRPr="000C4F26" w:rsidRDefault="00D02394" w:rsidP="00941CA6">
            <w:pPr>
              <w:pStyle w:val="ContractRef"/>
              <w:rPr>
                <w:color w:val="000000" w:themeColor="text1"/>
              </w:rPr>
            </w:pPr>
            <w:r w:rsidRPr="000C4F26">
              <w:rPr>
                <w:color w:val="000000" w:themeColor="text1"/>
              </w:rPr>
              <w:t>Contract:  Exhibit B Part 10(6)(</w:t>
            </w:r>
            <w:r w:rsidR="00AD3C03" w:rsidRPr="000C4F26">
              <w:rPr>
                <w:color w:val="000000" w:themeColor="text1"/>
              </w:rPr>
              <w:t>e</w:t>
            </w:r>
            <w:r w:rsidRPr="000C4F26">
              <w:rPr>
                <w:color w:val="000000" w:themeColor="text1"/>
              </w:rPr>
              <w:t>)</w:t>
            </w:r>
            <w:r w:rsidR="00AD3C03" w:rsidRPr="000C4F26">
              <w:rPr>
                <w:color w:val="000000" w:themeColor="text1"/>
              </w:rPr>
              <w:t>(f)</w:t>
            </w:r>
          </w:p>
          <w:p w14:paraId="070CB2B7" w14:textId="6A1A6590" w:rsidR="00D02394" w:rsidRPr="000C4F26" w:rsidRDefault="00D02394" w:rsidP="00941CA6">
            <w:pPr>
              <w:pStyle w:val="ContractRef"/>
              <w:rPr>
                <w:color w:val="000000" w:themeColor="text1"/>
              </w:rPr>
            </w:pPr>
            <w:r w:rsidRPr="000C4F26">
              <w:rPr>
                <w:color w:val="000000" w:themeColor="text1"/>
              </w:rPr>
              <w:t>OAR 410-141-3525(5)(f)</w:t>
            </w:r>
          </w:p>
        </w:tc>
        <w:tc>
          <w:tcPr>
            <w:tcW w:w="5263" w:type="dxa"/>
            <w:shd w:val="clear" w:color="auto" w:fill="FFFFFF" w:themeFill="background1"/>
          </w:tcPr>
          <w:p w14:paraId="0D30D19A" w14:textId="1104DAEB" w:rsidR="00A11A6F" w:rsidRPr="000C4F26" w:rsidRDefault="00867651" w:rsidP="00F20113">
            <w:pPr>
              <w:pStyle w:val="HSAGTableText"/>
              <w:rPr>
                <w:b/>
                <w:bCs/>
              </w:rPr>
            </w:pPr>
            <w:r w:rsidRPr="000C4F26">
              <w:rPr>
                <w:b/>
                <w:bCs/>
              </w:rPr>
              <w:t>HSAG Suggested Documents</w:t>
            </w:r>
            <w:r w:rsidR="00A11A6F" w:rsidRPr="000C4F26">
              <w:rPr>
                <w:b/>
                <w:bCs/>
              </w:rPr>
              <w:t>:</w:t>
            </w:r>
          </w:p>
          <w:p w14:paraId="5476EB40" w14:textId="1486CE34" w:rsidR="00233908" w:rsidRPr="000C4F26" w:rsidRDefault="00233908" w:rsidP="00F20113">
            <w:pPr>
              <w:pStyle w:val="HSAGTableBullet1"/>
            </w:pPr>
            <w:r w:rsidRPr="000C4F26">
              <w:t xml:space="preserve">QAPI program description </w:t>
            </w:r>
            <w:r w:rsidR="00261227" w:rsidRPr="000C4F26">
              <w:t>that describe</w:t>
            </w:r>
            <w:r w:rsidR="004C6533">
              <w:t>s</w:t>
            </w:r>
            <w:r w:rsidR="00261227" w:rsidRPr="000C4F26">
              <w:t xml:space="preserve"> PIP reporting processes</w:t>
            </w:r>
          </w:p>
          <w:p w14:paraId="71616A77" w14:textId="5AC1ADBC" w:rsidR="00233908" w:rsidRPr="000C4F26" w:rsidRDefault="00233908" w:rsidP="00F20113">
            <w:pPr>
              <w:pStyle w:val="HSAGTableBullet1"/>
            </w:pPr>
            <w:r w:rsidRPr="000C4F26">
              <w:t xml:space="preserve">QAPI work plan that </w:t>
            </w:r>
            <w:r w:rsidR="004C6533">
              <w:t>outlines</w:t>
            </w:r>
            <w:r w:rsidRPr="000C4F26">
              <w:t xml:space="preserve"> </w:t>
            </w:r>
            <w:r w:rsidR="00261227" w:rsidRPr="000C4F26">
              <w:t xml:space="preserve">PIP reporting </w:t>
            </w:r>
            <w:r w:rsidR="004C6533">
              <w:t>activities</w:t>
            </w:r>
          </w:p>
          <w:p w14:paraId="1D163016" w14:textId="77777777" w:rsidR="00A11A6F" w:rsidRPr="000C4F26" w:rsidRDefault="00A11A6F" w:rsidP="00F20113">
            <w:pPr>
              <w:pStyle w:val="HSAGTableBullet1"/>
            </w:pPr>
            <w:r w:rsidRPr="000C4F26">
              <w:t xml:space="preserve">Evidence of annual submission of all PIPs to the State </w:t>
            </w:r>
          </w:p>
        </w:tc>
        <w:tc>
          <w:tcPr>
            <w:tcW w:w="1715" w:type="dxa"/>
            <w:vMerge w:val="restart"/>
            <w:shd w:val="clear" w:color="auto" w:fill="FFFFFF" w:themeFill="background1"/>
          </w:tcPr>
          <w:p w14:paraId="7BB21CAD" w14:textId="77777777" w:rsidR="00867651" w:rsidRPr="000C4F26" w:rsidRDefault="00410747" w:rsidP="00867651">
            <w:pPr>
              <w:pStyle w:val="HSAGTableText"/>
            </w:pPr>
            <w:sdt>
              <w:sdtPr>
                <w:id w:val="-5672448"/>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Met</w:t>
            </w:r>
          </w:p>
          <w:p w14:paraId="7B03220A" w14:textId="77777777" w:rsidR="00867651" w:rsidRPr="000C4F26" w:rsidRDefault="00410747" w:rsidP="00867651">
            <w:pPr>
              <w:pStyle w:val="HSAGTableText"/>
            </w:pPr>
            <w:sdt>
              <w:sdtPr>
                <w:id w:val="-782875455"/>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Partially Met</w:t>
            </w:r>
          </w:p>
          <w:p w14:paraId="423DC9F3" w14:textId="77777777" w:rsidR="00867651" w:rsidRPr="000C4F26" w:rsidRDefault="00410747" w:rsidP="00867651">
            <w:pPr>
              <w:pStyle w:val="HSAGTableText"/>
              <w:rPr>
                <w:b/>
              </w:rPr>
            </w:pPr>
            <w:sdt>
              <w:sdtPr>
                <w:id w:val="-74982309"/>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Not Met</w:t>
            </w:r>
          </w:p>
          <w:p w14:paraId="4C3E40CC" w14:textId="77777777" w:rsidR="00A11A6F" w:rsidRPr="000C4F26" w:rsidRDefault="00A11A6F" w:rsidP="00A11A6F">
            <w:pPr>
              <w:spacing w:before="60" w:after="0"/>
              <w:contextualSpacing/>
              <w:rPr>
                <w:sz w:val="22"/>
              </w:rPr>
            </w:pPr>
          </w:p>
        </w:tc>
      </w:tr>
      <w:tr w:rsidR="00A11A6F" w:rsidRPr="000C4F26" w14:paraId="2191A5DB" w14:textId="77777777" w:rsidTr="00941CA6">
        <w:trPr>
          <w:trHeight w:val="374"/>
          <w:jc w:val="center"/>
        </w:trPr>
        <w:tc>
          <w:tcPr>
            <w:tcW w:w="5982" w:type="dxa"/>
            <w:vMerge/>
          </w:tcPr>
          <w:p w14:paraId="7D9D5F16" w14:textId="77777777" w:rsidR="00A11A6F" w:rsidRPr="000C4F26" w:rsidRDefault="00A11A6F" w:rsidP="005E61B1">
            <w:pPr>
              <w:numPr>
                <w:ilvl w:val="0"/>
                <w:numId w:val="12"/>
              </w:numPr>
              <w:spacing w:before="0" w:after="60"/>
              <w:contextualSpacing/>
              <w:rPr>
                <w:rFonts w:cs="Times New Roman"/>
                <w:iCs/>
                <w:color w:val="000000" w:themeColor="text1"/>
                <w:sz w:val="22"/>
              </w:rPr>
            </w:pPr>
          </w:p>
        </w:tc>
        <w:tc>
          <w:tcPr>
            <w:tcW w:w="5263" w:type="dxa"/>
            <w:shd w:val="clear" w:color="auto" w:fill="FFFFFF" w:themeFill="background1"/>
          </w:tcPr>
          <w:p w14:paraId="1955B92B" w14:textId="47DA5830" w:rsidR="00A11A6F" w:rsidRPr="000C4F26" w:rsidRDefault="00A11A6F" w:rsidP="00A11A6F">
            <w:pPr>
              <w:spacing w:before="60" w:after="60"/>
              <w:contextualSpacing/>
              <w:rPr>
                <w:rFonts w:cs="Times New Roman"/>
                <w:b/>
                <w:bCs/>
                <w:color w:val="000000" w:themeColor="text1"/>
                <w:sz w:val="22"/>
                <w:szCs w:val="20"/>
              </w:rPr>
            </w:pPr>
            <w:r w:rsidRPr="000C4F26">
              <w:rPr>
                <w:rFonts w:cs="Times New Roman"/>
                <w:b/>
                <w:bCs/>
                <w:color w:val="000000" w:themeColor="text1"/>
                <w:sz w:val="22"/>
                <w:szCs w:val="20"/>
              </w:rPr>
              <w:t>Evidence as Submitted by the CCO:</w:t>
            </w:r>
          </w:p>
          <w:p w14:paraId="08AD68F0" w14:textId="77777777" w:rsidR="00A11A6F" w:rsidRPr="000C4F26" w:rsidRDefault="00A11A6F" w:rsidP="00F20113">
            <w:pPr>
              <w:pStyle w:val="HSAGTableBullet1"/>
            </w:pPr>
          </w:p>
        </w:tc>
        <w:tc>
          <w:tcPr>
            <w:tcW w:w="1715" w:type="dxa"/>
            <w:vMerge/>
            <w:shd w:val="clear" w:color="auto" w:fill="FFFFFF" w:themeFill="background1"/>
          </w:tcPr>
          <w:p w14:paraId="7F9F6925" w14:textId="77777777" w:rsidR="00A11A6F" w:rsidRPr="000C4F26" w:rsidRDefault="00A11A6F" w:rsidP="00A11A6F">
            <w:pPr>
              <w:spacing w:before="60" w:after="0"/>
              <w:contextualSpacing/>
              <w:rPr>
                <w:sz w:val="22"/>
              </w:rPr>
            </w:pPr>
          </w:p>
        </w:tc>
      </w:tr>
      <w:tr w:rsidR="00A11A6F" w:rsidRPr="00812E33" w14:paraId="4E50D337" w14:textId="77777777" w:rsidTr="00941CA6">
        <w:trPr>
          <w:trHeight w:val="374"/>
          <w:jc w:val="center"/>
        </w:trPr>
        <w:tc>
          <w:tcPr>
            <w:tcW w:w="12960" w:type="dxa"/>
            <w:gridSpan w:val="3"/>
            <w:tcBorders>
              <w:bottom w:val="single" w:sz="4" w:space="0" w:color="000000"/>
            </w:tcBorders>
            <w:vAlign w:val="center"/>
            <w:hideMark/>
          </w:tcPr>
          <w:p w14:paraId="375EE3AA" w14:textId="15CA3CB3" w:rsidR="00A11A6F" w:rsidRPr="00812E33" w:rsidRDefault="00A11A6F" w:rsidP="00812E33">
            <w:pPr>
              <w:pStyle w:val="HSAGTableText"/>
              <w:rPr>
                <w:b/>
                <w:bCs/>
              </w:rPr>
            </w:pPr>
            <w:r w:rsidRPr="00812E33">
              <w:rPr>
                <w:b/>
                <w:bCs/>
              </w:rPr>
              <w:t>HSAG Findings:</w:t>
            </w:r>
            <w:r w:rsidR="00812E33" w:rsidRPr="00812E33">
              <w:t xml:space="preserve">     </w:t>
            </w:r>
          </w:p>
        </w:tc>
      </w:tr>
      <w:tr w:rsidR="00A11A6F" w:rsidRPr="00812E33" w14:paraId="279F256E" w14:textId="77777777" w:rsidTr="00941CA6">
        <w:trPr>
          <w:trHeight w:val="374"/>
          <w:jc w:val="center"/>
        </w:trPr>
        <w:tc>
          <w:tcPr>
            <w:tcW w:w="12960" w:type="dxa"/>
            <w:gridSpan w:val="3"/>
            <w:tcBorders>
              <w:top w:val="single" w:sz="4" w:space="0" w:color="000000"/>
              <w:bottom w:val="single" w:sz="18" w:space="0" w:color="00549E" w:themeColor="text2"/>
            </w:tcBorders>
            <w:vAlign w:val="center"/>
          </w:tcPr>
          <w:p w14:paraId="0DC3B263" w14:textId="220947CD" w:rsidR="00A11A6F" w:rsidRPr="00812E33" w:rsidRDefault="00A11A6F" w:rsidP="00812E33">
            <w:pPr>
              <w:pStyle w:val="HSAGTableText"/>
              <w:rPr>
                <w:b/>
                <w:bCs/>
              </w:rPr>
            </w:pPr>
            <w:r w:rsidRPr="00812E33">
              <w:rPr>
                <w:b/>
                <w:bCs/>
              </w:rPr>
              <w:t>Required Actions:</w:t>
            </w:r>
            <w:r w:rsidR="00812E33" w:rsidRPr="00812E33">
              <w:t xml:space="preserve">     </w:t>
            </w:r>
          </w:p>
        </w:tc>
      </w:tr>
      <w:tr w:rsidR="00941CA6" w:rsidRPr="00941CA6" w14:paraId="2032A036" w14:textId="77777777" w:rsidTr="00E47A2D">
        <w:trPr>
          <w:trHeight w:val="374"/>
          <w:jc w:val="center"/>
        </w:trPr>
        <w:tc>
          <w:tcPr>
            <w:tcW w:w="12960" w:type="dxa"/>
            <w:gridSpan w:val="3"/>
            <w:shd w:val="clear" w:color="auto" w:fill="D9D9D9" w:themeFill="background1" w:themeFillShade="D9"/>
            <w:vAlign w:val="center"/>
          </w:tcPr>
          <w:p w14:paraId="6C76AF5E" w14:textId="6D4C2DEB" w:rsidR="00941CA6" w:rsidRPr="00941CA6" w:rsidRDefault="00941CA6" w:rsidP="00941CA6">
            <w:pPr>
              <w:pStyle w:val="HSAGTableHeading"/>
              <w:jc w:val="left"/>
              <w:rPr>
                <w:rFonts w:cs="Calibri"/>
                <w:color w:val="auto"/>
              </w:rPr>
            </w:pPr>
            <w:r w:rsidRPr="00941CA6">
              <w:rPr>
                <w:rFonts w:cs="Calibri"/>
                <w:color w:val="auto"/>
              </w:rPr>
              <w:t>QAPI Program Reviews, Analysis, and Evaluation</w:t>
            </w:r>
          </w:p>
        </w:tc>
      </w:tr>
      <w:tr w:rsidR="00A11A6F" w:rsidRPr="00A11A6F" w14:paraId="5E0A6154" w14:textId="77777777" w:rsidTr="00941CA6">
        <w:trPr>
          <w:trHeight w:val="374"/>
          <w:jc w:val="center"/>
        </w:trPr>
        <w:tc>
          <w:tcPr>
            <w:tcW w:w="5982" w:type="dxa"/>
            <w:vMerge w:val="restart"/>
          </w:tcPr>
          <w:p w14:paraId="73D56BEC" w14:textId="003642C1" w:rsidR="00233908" w:rsidRPr="000C4F26" w:rsidRDefault="00233908" w:rsidP="00941CA6">
            <w:pPr>
              <w:pStyle w:val="TableNumber1"/>
            </w:pPr>
            <w:r w:rsidRPr="000C4F26">
              <w:t>The CCO conducts an annual written evaluation of the impact and effectiveness of its QAPI program. The QAPI program evaluation includes:</w:t>
            </w:r>
          </w:p>
          <w:p w14:paraId="5D9A2BC7" w14:textId="3CAB88F5" w:rsidR="00233908" w:rsidRPr="000C4F26" w:rsidRDefault="00233908" w:rsidP="00410747">
            <w:pPr>
              <w:pStyle w:val="HSAGTableText"/>
              <w:numPr>
                <w:ilvl w:val="1"/>
                <w:numId w:val="15"/>
              </w:numPr>
              <w:spacing w:before="40" w:after="40"/>
              <w:ind w:left="720"/>
            </w:pPr>
            <w:r w:rsidRPr="000C4F26">
              <w:t>An assessment of annual activities conducted, including background and rationale.</w:t>
            </w:r>
          </w:p>
          <w:p w14:paraId="7E8E529F" w14:textId="77777777" w:rsidR="00233908" w:rsidRPr="000C4F26" w:rsidRDefault="00233908" w:rsidP="00410747">
            <w:pPr>
              <w:pStyle w:val="HSAGTableText"/>
              <w:numPr>
                <w:ilvl w:val="1"/>
                <w:numId w:val="15"/>
              </w:numPr>
              <w:spacing w:before="40" w:after="40"/>
              <w:ind w:left="720"/>
            </w:pPr>
            <w:r w:rsidRPr="000C4F26">
              <w:lastRenderedPageBreak/>
              <w:t>The performance on the measures on which it is required to report.</w:t>
            </w:r>
          </w:p>
          <w:p w14:paraId="35049C18" w14:textId="77777777" w:rsidR="00233908" w:rsidRPr="000C4F26" w:rsidRDefault="00233908" w:rsidP="00410747">
            <w:pPr>
              <w:pStyle w:val="HSAGTableText"/>
              <w:numPr>
                <w:ilvl w:val="1"/>
                <w:numId w:val="15"/>
              </w:numPr>
              <w:spacing w:before="40" w:after="40"/>
              <w:ind w:left="720"/>
            </w:pPr>
            <w:r w:rsidRPr="000C4F26">
              <w:t>The outcomes and trended results of each PIP.</w:t>
            </w:r>
          </w:p>
          <w:p w14:paraId="0CE501CA" w14:textId="1BB1E43E" w:rsidR="00233908" w:rsidRPr="000C4F26" w:rsidRDefault="00233908" w:rsidP="00410747">
            <w:pPr>
              <w:pStyle w:val="HSAGTableText"/>
              <w:numPr>
                <w:ilvl w:val="1"/>
                <w:numId w:val="15"/>
              </w:numPr>
              <w:spacing w:before="40" w:after="40"/>
              <w:ind w:left="720"/>
            </w:pPr>
            <w:r w:rsidRPr="000C4F26">
              <w:t>A plan of ongoing improvement activities to address gaps, which will ensure quality of care for members and overall effectiveness of the QAPI program.</w:t>
            </w:r>
          </w:p>
          <w:p w14:paraId="5BB1CA1B" w14:textId="77777777" w:rsidR="00A11A6F" w:rsidRPr="000C4F26" w:rsidRDefault="00A11A6F" w:rsidP="00941CA6">
            <w:pPr>
              <w:pStyle w:val="ContractRef"/>
            </w:pPr>
          </w:p>
          <w:p w14:paraId="4EA3622C" w14:textId="77777777" w:rsidR="00A11A6F" w:rsidRPr="000C4F26" w:rsidRDefault="00A11A6F" w:rsidP="00941CA6">
            <w:pPr>
              <w:pStyle w:val="ContractRef"/>
            </w:pPr>
            <w:r w:rsidRPr="000C4F26">
              <w:t>42 CFR §438.330(e)</w:t>
            </w:r>
          </w:p>
          <w:p w14:paraId="129688ED" w14:textId="77777777" w:rsidR="00A11A6F" w:rsidRPr="000C4F26" w:rsidRDefault="00A11A6F" w:rsidP="00941CA6">
            <w:pPr>
              <w:pStyle w:val="ContractRef"/>
            </w:pPr>
            <w:r w:rsidRPr="000C4F26">
              <w:t>42 CFR §457.1240(b)</w:t>
            </w:r>
          </w:p>
          <w:p w14:paraId="6CFA0F31" w14:textId="244F5B57" w:rsidR="00D02394" w:rsidRPr="000C4F26" w:rsidRDefault="00D02394" w:rsidP="00941CA6">
            <w:pPr>
              <w:pStyle w:val="ContractRef"/>
              <w:rPr>
                <w:color w:val="000000" w:themeColor="text1"/>
              </w:rPr>
            </w:pPr>
            <w:r w:rsidRPr="000C4F26">
              <w:rPr>
                <w:color w:val="000000" w:themeColor="text1"/>
              </w:rPr>
              <w:t>OAR 410-141-3525(11)(c)</w:t>
            </w:r>
          </w:p>
        </w:tc>
        <w:tc>
          <w:tcPr>
            <w:tcW w:w="5263" w:type="dxa"/>
            <w:shd w:val="clear" w:color="auto" w:fill="FFFFFF" w:themeFill="background1"/>
          </w:tcPr>
          <w:p w14:paraId="5025C981" w14:textId="33375E4B" w:rsidR="00A11A6F" w:rsidRPr="000C4F26" w:rsidRDefault="00867651" w:rsidP="00F20113">
            <w:pPr>
              <w:pStyle w:val="HSAGTableText"/>
              <w:rPr>
                <w:b/>
                <w:bCs/>
              </w:rPr>
            </w:pPr>
            <w:r w:rsidRPr="000C4F26">
              <w:rPr>
                <w:b/>
                <w:bCs/>
              </w:rPr>
              <w:lastRenderedPageBreak/>
              <w:t>HSAG Suggested Documents</w:t>
            </w:r>
            <w:r w:rsidR="00A11A6F" w:rsidRPr="000C4F26">
              <w:rPr>
                <w:b/>
                <w:bCs/>
              </w:rPr>
              <w:t>:</w:t>
            </w:r>
          </w:p>
          <w:p w14:paraId="07A247B8" w14:textId="1EF6B2A9" w:rsidR="00A11A6F" w:rsidRPr="00F20113" w:rsidRDefault="00A11A6F" w:rsidP="00F20113">
            <w:pPr>
              <w:pStyle w:val="HSAGTableBullet1"/>
              <w:rPr>
                <w:szCs w:val="20"/>
              </w:rPr>
            </w:pPr>
            <w:r w:rsidRPr="00F20113">
              <w:t>QAPI program evaluation</w:t>
            </w:r>
          </w:p>
        </w:tc>
        <w:tc>
          <w:tcPr>
            <w:tcW w:w="1715" w:type="dxa"/>
            <w:vMerge w:val="restart"/>
            <w:shd w:val="clear" w:color="auto" w:fill="FFFFFF" w:themeFill="background1"/>
          </w:tcPr>
          <w:p w14:paraId="7C1C6B26" w14:textId="77777777" w:rsidR="00867651" w:rsidRPr="000C4F26" w:rsidRDefault="00410747" w:rsidP="00867651">
            <w:pPr>
              <w:pStyle w:val="HSAGTableText"/>
            </w:pPr>
            <w:sdt>
              <w:sdtPr>
                <w:id w:val="56835042"/>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Met</w:t>
            </w:r>
          </w:p>
          <w:p w14:paraId="69478684" w14:textId="77777777" w:rsidR="00867651" w:rsidRPr="000C4F26" w:rsidRDefault="00410747" w:rsidP="00867651">
            <w:pPr>
              <w:pStyle w:val="HSAGTableText"/>
            </w:pPr>
            <w:sdt>
              <w:sdtPr>
                <w:id w:val="-1655751119"/>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Partially Met</w:t>
            </w:r>
          </w:p>
          <w:p w14:paraId="78005D93" w14:textId="77777777" w:rsidR="00867651" w:rsidRPr="000B7CC2" w:rsidRDefault="00410747" w:rsidP="00867651">
            <w:pPr>
              <w:pStyle w:val="HSAGTableText"/>
              <w:rPr>
                <w:b/>
              </w:rPr>
            </w:pPr>
            <w:sdt>
              <w:sdtPr>
                <w:id w:val="502248863"/>
                <w14:checkbox>
                  <w14:checked w14:val="0"/>
                  <w14:checkedState w14:val="2612" w14:font="MS Gothic"/>
                  <w14:uncheckedState w14:val="2610" w14:font="MS Gothic"/>
                </w14:checkbox>
              </w:sdtPr>
              <w:sdtEndPr/>
              <w:sdtContent>
                <w:r w:rsidR="00867651" w:rsidRPr="000C4F26">
                  <w:rPr>
                    <w:rFonts w:ascii="MS Gothic" w:eastAsia="MS Gothic" w:hAnsi="MS Gothic" w:hint="eastAsia"/>
                  </w:rPr>
                  <w:t>☐</w:t>
                </w:r>
              </w:sdtContent>
            </w:sdt>
            <w:r w:rsidR="00867651" w:rsidRPr="000C4F26">
              <w:t xml:space="preserve"> Not Met</w:t>
            </w:r>
          </w:p>
          <w:p w14:paraId="22C0EB2A" w14:textId="77777777" w:rsidR="00A11A6F" w:rsidRPr="00A11A6F" w:rsidRDefault="00A11A6F" w:rsidP="00A11A6F">
            <w:pPr>
              <w:spacing w:before="60" w:after="0"/>
              <w:contextualSpacing/>
              <w:rPr>
                <w:sz w:val="22"/>
              </w:rPr>
            </w:pPr>
          </w:p>
        </w:tc>
      </w:tr>
      <w:tr w:rsidR="00A11A6F" w:rsidRPr="00A11A6F" w14:paraId="0EBF57A4" w14:textId="77777777" w:rsidTr="00941CA6">
        <w:trPr>
          <w:trHeight w:val="374"/>
          <w:jc w:val="center"/>
        </w:trPr>
        <w:tc>
          <w:tcPr>
            <w:tcW w:w="5982" w:type="dxa"/>
            <w:vMerge/>
          </w:tcPr>
          <w:p w14:paraId="4F44C0C3" w14:textId="77777777" w:rsidR="00A11A6F" w:rsidRPr="00A11A6F" w:rsidRDefault="00A11A6F" w:rsidP="005E61B1">
            <w:pPr>
              <w:numPr>
                <w:ilvl w:val="0"/>
                <w:numId w:val="12"/>
              </w:numPr>
              <w:spacing w:before="0" w:after="60"/>
              <w:contextualSpacing/>
              <w:rPr>
                <w:rFonts w:cs="Times New Roman"/>
                <w:iCs/>
                <w:color w:val="000000" w:themeColor="text1"/>
                <w:sz w:val="22"/>
              </w:rPr>
            </w:pPr>
          </w:p>
        </w:tc>
        <w:tc>
          <w:tcPr>
            <w:tcW w:w="5263" w:type="dxa"/>
            <w:shd w:val="clear" w:color="auto" w:fill="FFFFFF" w:themeFill="background1"/>
          </w:tcPr>
          <w:p w14:paraId="1BA3CC3D" w14:textId="16076098" w:rsidR="00A11A6F" w:rsidRPr="00F20113" w:rsidRDefault="00A11A6F" w:rsidP="00F20113">
            <w:pPr>
              <w:pStyle w:val="HSAGTableText"/>
              <w:rPr>
                <w:b/>
                <w:bCs/>
              </w:rPr>
            </w:pPr>
            <w:r w:rsidRPr="00F20113">
              <w:rPr>
                <w:b/>
                <w:bCs/>
              </w:rPr>
              <w:t>Evidence as Submitted by the CCO:</w:t>
            </w:r>
          </w:p>
          <w:p w14:paraId="75DEFA00" w14:textId="77777777" w:rsidR="00A11A6F" w:rsidRPr="00A11A6F" w:rsidRDefault="00A11A6F" w:rsidP="005E61B1">
            <w:pPr>
              <w:numPr>
                <w:ilvl w:val="0"/>
                <w:numId w:val="11"/>
              </w:numPr>
              <w:spacing w:before="60" w:after="60"/>
              <w:contextualSpacing/>
              <w:rPr>
                <w:rFonts w:cs="Times New Roman"/>
                <w:color w:val="000000" w:themeColor="text1"/>
                <w:sz w:val="22"/>
                <w:szCs w:val="20"/>
              </w:rPr>
            </w:pPr>
          </w:p>
        </w:tc>
        <w:tc>
          <w:tcPr>
            <w:tcW w:w="1715" w:type="dxa"/>
            <w:vMerge/>
            <w:shd w:val="clear" w:color="auto" w:fill="FFFFFF" w:themeFill="background1"/>
          </w:tcPr>
          <w:p w14:paraId="0629DAE6" w14:textId="77777777" w:rsidR="00A11A6F" w:rsidRPr="00A11A6F" w:rsidRDefault="00A11A6F" w:rsidP="00A11A6F">
            <w:pPr>
              <w:spacing w:before="60" w:after="0"/>
              <w:contextualSpacing/>
              <w:rPr>
                <w:sz w:val="22"/>
              </w:rPr>
            </w:pPr>
          </w:p>
        </w:tc>
      </w:tr>
      <w:tr w:rsidR="00A11A6F" w:rsidRPr="00812E33" w14:paraId="30C0E7AA" w14:textId="77777777" w:rsidTr="00941CA6">
        <w:trPr>
          <w:trHeight w:val="374"/>
          <w:jc w:val="center"/>
        </w:trPr>
        <w:tc>
          <w:tcPr>
            <w:tcW w:w="12960" w:type="dxa"/>
            <w:gridSpan w:val="3"/>
            <w:tcBorders>
              <w:bottom w:val="single" w:sz="4" w:space="0" w:color="000000"/>
            </w:tcBorders>
            <w:vAlign w:val="center"/>
            <w:hideMark/>
          </w:tcPr>
          <w:p w14:paraId="40B9BE28" w14:textId="0765CC0A" w:rsidR="00A11A6F" w:rsidRPr="00812E33" w:rsidRDefault="00A11A6F" w:rsidP="00812E33">
            <w:pPr>
              <w:pStyle w:val="HSAGTableText"/>
              <w:rPr>
                <w:b/>
                <w:bCs/>
              </w:rPr>
            </w:pPr>
            <w:r w:rsidRPr="00812E33">
              <w:rPr>
                <w:b/>
                <w:bCs/>
              </w:rPr>
              <w:t>HSAG Findings:</w:t>
            </w:r>
            <w:r w:rsidR="00812E33" w:rsidRPr="00812E33">
              <w:t xml:space="preserve">     </w:t>
            </w:r>
          </w:p>
        </w:tc>
      </w:tr>
      <w:tr w:rsidR="00A11A6F" w:rsidRPr="00812E33" w14:paraId="2F6B92E8" w14:textId="77777777" w:rsidTr="00941CA6">
        <w:trPr>
          <w:trHeight w:val="374"/>
          <w:jc w:val="center"/>
        </w:trPr>
        <w:tc>
          <w:tcPr>
            <w:tcW w:w="12960" w:type="dxa"/>
            <w:gridSpan w:val="3"/>
            <w:tcBorders>
              <w:top w:val="single" w:sz="4" w:space="0" w:color="000000"/>
              <w:bottom w:val="single" w:sz="18" w:space="0" w:color="00549E" w:themeColor="text2"/>
            </w:tcBorders>
            <w:vAlign w:val="center"/>
          </w:tcPr>
          <w:p w14:paraId="73842425" w14:textId="2862BBBE" w:rsidR="00A11A6F" w:rsidRPr="00812E33" w:rsidRDefault="00A11A6F" w:rsidP="00812E33">
            <w:pPr>
              <w:pStyle w:val="HSAGTableText"/>
              <w:rPr>
                <w:b/>
                <w:bCs/>
              </w:rPr>
            </w:pPr>
            <w:r w:rsidRPr="00812E33">
              <w:rPr>
                <w:b/>
                <w:bCs/>
              </w:rPr>
              <w:t>Required Actions:</w:t>
            </w:r>
            <w:r w:rsidR="00812E33" w:rsidRPr="00812E33">
              <w:t xml:space="preserve">     </w:t>
            </w:r>
          </w:p>
        </w:tc>
      </w:tr>
    </w:tbl>
    <w:p w14:paraId="442596E0" w14:textId="77777777" w:rsidR="00A11A6F" w:rsidRPr="00A11A6F" w:rsidRDefault="00A11A6F" w:rsidP="00A11A6F">
      <w:pPr>
        <w:spacing w:before="0" w:after="0"/>
        <w:rPr>
          <w:rFonts w:eastAsia="Times New Roman" w:cs="Times New Roman"/>
          <w:sz w:val="4"/>
          <w:szCs w:val="4"/>
        </w:rPr>
      </w:pPr>
    </w:p>
    <w:p w14:paraId="7119F979" w14:textId="77777777" w:rsidR="00A11A6F" w:rsidRPr="00A11A6F" w:rsidRDefault="00A11A6F" w:rsidP="00A11A6F">
      <w:pPr>
        <w:rPr>
          <w:rFonts w:eastAsia="Times New Roman" w:cs="Times New Roman"/>
          <w:sz w:val="4"/>
          <w:szCs w:val="4"/>
        </w:rPr>
      </w:pPr>
    </w:p>
    <w:tbl>
      <w:tblPr>
        <w:tblW w:w="6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450"/>
        <w:gridCol w:w="990"/>
        <w:gridCol w:w="648"/>
        <w:gridCol w:w="720"/>
        <w:gridCol w:w="404"/>
        <w:gridCol w:w="1198"/>
      </w:tblGrid>
      <w:tr w:rsidR="00A11A6F" w:rsidRPr="00A11A6F" w14:paraId="51130668" w14:textId="77777777" w:rsidTr="00F20113">
        <w:trPr>
          <w:cantSplit/>
          <w:trHeight w:val="288"/>
        </w:trPr>
        <w:tc>
          <w:tcPr>
            <w:tcW w:w="6300" w:type="dxa"/>
            <w:gridSpan w:val="7"/>
            <w:shd w:val="clear" w:color="auto" w:fill="00549E" w:themeFill="accent6"/>
            <w:vAlign w:val="center"/>
          </w:tcPr>
          <w:p w14:paraId="0C847898" w14:textId="45AD7EA6" w:rsidR="00A11A6F" w:rsidRPr="00F20113" w:rsidRDefault="00050195" w:rsidP="00F20113">
            <w:pPr>
              <w:pStyle w:val="HSAGTableHeading"/>
              <w:jc w:val="left"/>
            </w:pPr>
            <w:r w:rsidRPr="00F20113">
              <w:t xml:space="preserve">Standard XII—Quality Assessment and Performance Improvement </w:t>
            </w:r>
          </w:p>
        </w:tc>
      </w:tr>
      <w:tr w:rsidR="00A11A6F" w:rsidRPr="00A11A6F" w14:paraId="78808F77" w14:textId="77777777" w:rsidTr="00F20113">
        <w:trPr>
          <w:cantSplit/>
          <w:trHeight w:val="288"/>
        </w:trPr>
        <w:tc>
          <w:tcPr>
            <w:tcW w:w="1890" w:type="dxa"/>
            <w:tcMar>
              <w:left w:w="115" w:type="dxa"/>
              <w:right w:w="115" w:type="dxa"/>
            </w:tcMar>
            <w:vAlign w:val="center"/>
          </w:tcPr>
          <w:p w14:paraId="61E99D8B" w14:textId="6007E0A8" w:rsidR="00A11A6F" w:rsidRPr="003663B8" w:rsidRDefault="00A11A6F" w:rsidP="00F20113">
            <w:pPr>
              <w:pStyle w:val="HSAGTableText"/>
              <w:jc w:val="right"/>
            </w:pPr>
            <w:r w:rsidRPr="003663B8">
              <w:t>Met</w:t>
            </w:r>
          </w:p>
        </w:tc>
        <w:tc>
          <w:tcPr>
            <w:tcW w:w="450" w:type="dxa"/>
            <w:tcMar>
              <w:left w:w="115" w:type="dxa"/>
              <w:right w:w="115" w:type="dxa"/>
            </w:tcMar>
            <w:vAlign w:val="center"/>
          </w:tcPr>
          <w:p w14:paraId="5A4DCE90" w14:textId="77777777" w:rsidR="00A11A6F" w:rsidRPr="003663B8" w:rsidRDefault="00A11A6F" w:rsidP="00F20113">
            <w:pPr>
              <w:pStyle w:val="HSAGTableText"/>
              <w:jc w:val="center"/>
            </w:pPr>
            <w:r w:rsidRPr="003663B8">
              <w:t>=</w:t>
            </w:r>
          </w:p>
        </w:tc>
        <w:tc>
          <w:tcPr>
            <w:tcW w:w="990" w:type="dxa"/>
            <w:shd w:val="clear" w:color="auto" w:fill="DFECF7" w:themeFill="accent1" w:themeFillTint="33"/>
            <w:tcMar>
              <w:left w:w="115" w:type="dxa"/>
              <w:right w:w="115" w:type="dxa"/>
            </w:tcMar>
            <w:vAlign w:val="center"/>
          </w:tcPr>
          <w:p w14:paraId="75FA47D2" w14:textId="565432E1" w:rsidR="00A11A6F" w:rsidRPr="003663B8" w:rsidRDefault="004410A1" w:rsidP="00F20113">
            <w:pPr>
              <w:pStyle w:val="HSAGTableText"/>
              <w:jc w:val="center"/>
            </w:pPr>
            <w:r w:rsidRPr="003663B8">
              <w:t>#</w:t>
            </w:r>
          </w:p>
        </w:tc>
        <w:tc>
          <w:tcPr>
            <w:tcW w:w="648" w:type="dxa"/>
            <w:tcMar>
              <w:left w:w="115" w:type="dxa"/>
              <w:right w:w="115" w:type="dxa"/>
            </w:tcMar>
            <w:vAlign w:val="center"/>
          </w:tcPr>
          <w:p w14:paraId="1DA23781" w14:textId="77777777" w:rsidR="00A11A6F" w:rsidRPr="003663B8" w:rsidRDefault="00A11A6F" w:rsidP="00F20113">
            <w:pPr>
              <w:pStyle w:val="HSAGTableText"/>
              <w:jc w:val="center"/>
            </w:pPr>
            <w:r w:rsidRPr="003663B8">
              <w:t>X</w:t>
            </w:r>
          </w:p>
        </w:tc>
        <w:tc>
          <w:tcPr>
            <w:tcW w:w="720" w:type="dxa"/>
            <w:tcMar>
              <w:left w:w="115" w:type="dxa"/>
              <w:right w:w="115" w:type="dxa"/>
            </w:tcMar>
            <w:vAlign w:val="center"/>
          </w:tcPr>
          <w:p w14:paraId="73381F36" w14:textId="55C45AD0" w:rsidR="00A11A6F" w:rsidRPr="003663B8" w:rsidRDefault="00A11A6F" w:rsidP="00F20113">
            <w:pPr>
              <w:pStyle w:val="HSAGTableText"/>
              <w:jc w:val="center"/>
            </w:pPr>
            <w:r w:rsidRPr="003663B8">
              <w:t>1</w:t>
            </w:r>
            <w:r w:rsidR="004410A1" w:rsidRPr="003663B8">
              <w:t>.0</w:t>
            </w:r>
          </w:p>
        </w:tc>
        <w:tc>
          <w:tcPr>
            <w:tcW w:w="404" w:type="dxa"/>
            <w:tcMar>
              <w:left w:w="115" w:type="dxa"/>
              <w:right w:w="115" w:type="dxa"/>
            </w:tcMar>
            <w:vAlign w:val="center"/>
          </w:tcPr>
          <w:p w14:paraId="4B12422B" w14:textId="77777777" w:rsidR="00A11A6F" w:rsidRPr="003663B8" w:rsidRDefault="00A11A6F" w:rsidP="00F20113">
            <w:pPr>
              <w:pStyle w:val="HSAGTableText"/>
              <w:jc w:val="center"/>
            </w:pPr>
            <w:r w:rsidRPr="003663B8">
              <w:t>=</w:t>
            </w:r>
          </w:p>
        </w:tc>
        <w:tc>
          <w:tcPr>
            <w:tcW w:w="1198" w:type="dxa"/>
            <w:shd w:val="clear" w:color="auto" w:fill="DFECF7" w:themeFill="accent1" w:themeFillTint="33"/>
            <w:tcMar>
              <w:left w:w="115" w:type="dxa"/>
              <w:right w:w="115" w:type="dxa"/>
            </w:tcMar>
            <w:vAlign w:val="center"/>
          </w:tcPr>
          <w:p w14:paraId="168146A9" w14:textId="0BF47085" w:rsidR="00A11A6F" w:rsidRPr="003663B8" w:rsidRDefault="004410A1" w:rsidP="00F20113">
            <w:pPr>
              <w:pStyle w:val="HSAGTableText"/>
              <w:jc w:val="center"/>
            </w:pPr>
            <w:r w:rsidRPr="003663B8">
              <w:t>#</w:t>
            </w:r>
          </w:p>
        </w:tc>
      </w:tr>
      <w:tr w:rsidR="00D02394" w:rsidRPr="00A11A6F" w14:paraId="147C97C3" w14:textId="77777777" w:rsidTr="00F20113">
        <w:trPr>
          <w:cantSplit/>
          <w:trHeight w:val="288"/>
        </w:trPr>
        <w:tc>
          <w:tcPr>
            <w:tcW w:w="1890" w:type="dxa"/>
            <w:tcMar>
              <w:left w:w="115" w:type="dxa"/>
              <w:right w:w="115" w:type="dxa"/>
            </w:tcMar>
            <w:vAlign w:val="center"/>
          </w:tcPr>
          <w:p w14:paraId="52DFA921" w14:textId="055C98DF" w:rsidR="00D02394" w:rsidRPr="003663B8" w:rsidRDefault="00D02394" w:rsidP="00F20113">
            <w:pPr>
              <w:pStyle w:val="HSAGTableText"/>
              <w:jc w:val="right"/>
            </w:pPr>
            <w:r w:rsidRPr="003663B8">
              <w:t>Partially Met</w:t>
            </w:r>
          </w:p>
        </w:tc>
        <w:tc>
          <w:tcPr>
            <w:tcW w:w="450" w:type="dxa"/>
            <w:tcMar>
              <w:left w:w="115" w:type="dxa"/>
              <w:right w:w="115" w:type="dxa"/>
            </w:tcMar>
            <w:vAlign w:val="center"/>
          </w:tcPr>
          <w:p w14:paraId="69683612" w14:textId="4C614840" w:rsidR="00D02394" w:rsidRPr="003663B8" w:rsidRDefault="00D02394" w:rsidP="00F20113">
            <w:pPr>
              <w:pStyle w:val="HSAGTableText"/>
              <w:jc w:val="center"/>
            </w:pPr>
            <w:r w:rsidRPr="003663B8">
              <w:t>=</w:t>
            </w:r>
          </w:p>
        </w:tc>
        <w:tc>
          <w:tcPr>
            <w:tcW w:w="990" w:type="dxa"/>
            <w:shd w:val="clear" w:color="auto" w:fill="DFECF7" w:themeFill="accent1" w:themeFillTint="33"/>
            <w:tcMar>
              <w:left w:w="115" w:type="dxa"/>
              <w:right w:w="115" w:type="dxa"/>
            </w:tcMar>
            <w:vAlign w:val="center"/>
          </w:tcPr>
          <w:p w14:paraId="5DEF3DA2" w14:textId="7730D74C" w:rsidR="00D02394" w:rsidRPr="003663B8" w:rsidRDefault="004410A1" w:rsidP="00F20113">
            <w:pPr>
              <w:pStyle w:val="HSAGTableText"/>
              <w:jc w:val="center"/>
            </w:pPr>
            <w:r w:rsidRPr="003663B8">
              <w:t>#</w:t>
            </w:r>
          </w:p>
        </w:tc>
        <w:tc>
          <w:tcPr>
            <w:tcW w:w="648" w:type="dxa"/>
            <w:tcMar>
              <w:left w:w="115" w:type="dxa"/>
              <w:right w:w="115" w:type="dxa"/>
            </w:tcMar>
            <w:vAlign w:val="center"/>
          </w:tcPr>
          <w:p w14:paraId="3E1C5BAC" w14:textId="4B1DA3A7" w:rsidR="00D02394" w:rsidRPr="003663B8" w:rsidRDefault="00D02394" w:rsidP="00F20113">
            <w:pPr>
              <w:pStyle w:val="HSAGTableText"/>
              <w:jc w:val="center"/>
            </w:pPr>
            <w:r w:rsidRPr="003663B8">
              <w:t>X</w:t>
            </w:r>
          </w:p>
        </w:tc>
        <w:tc>
          <w:tcPr>
            <w:tcW w:w="720" w:type="dxa"/>
            <w:tcMar>
              <w:left w:w="115" w:type="dxa"/>
              <w:right w:w="115" w:type="dxa"/>
            </w:tcMar>
            <w:vAlign w:val="center"/>
          </w:tcPr>
          <w:p w14:paraId="60F5BDEF" w14:textId="00585DA5" w:rsidR="00D02394" w:rsidRPr="003663B8" w:rsidRDefault="00D02394" w:rsidP="00F20113">
            <w:pPr>
              <w:pStyle w:val="HSAGTableText"/>
              <w:jc w:val="center"/>
            </w:pPr>
            <w:r w:rsidRPr="003663B8">
              <w:t>0.5</w:t>
            </w:r>
          </w:p>
        </w:tc>
        <w:tc>
          <w:tcPr>
            <w:tcW w:w="404" w:type="dxa"/>
            <w:tcMar>
              <w:left w:w="115" w:type="dxa"/>
              <w:right w:w="115" w:type="dxa"/>
            </w:tcMar>
            <w:vAlign w:val="center"/>
          </w:tcPr>
          <w:p w14:paraId="4E845B9B" w14:textId="590D2A81" w:rsidR="00D02394" w:rsidRPr="003663B8" w:rsidRDefault="00D02394" w:rsidP="00F20113">
            <w:pPr>
              <w:pStyle w:val="HSAGTableText"/>
              <w:jc w:val="center"/>
            </w:pPr>
            <w:r w:rsidRPr="003663B8">
              <w:t>=</w:t>
            </w:r>
          </w:p>
        </w:tc>
        <w:tc>
          <w:tcPr>
            <w:tcW w:w="1198" w:type="dxa"/>
            <w:shd w:val="clear" w:color="auto" w:fill="DFECF7" w:themeFill="accent1" w:themeFillTint="33"/>
            <w:tcMar>
              <w:left w:w="115" w:type="dxa"/>
              <w:right w:w="115" w:type="dxa"/>
            </w:tcMar>
            <w:vAlign w:val="center"/>
          </w:tcPr>
          <w:p w14:paraId="46BB24B9" w14:textId="3B8D450E" w:rsidR="00D02394" w:rsidRPr="003663B8" w:rsidRDefault="004410A1" w:rsidP="00F20113">
            <w:pPr>
              <w:pStyle w:val="HSAGTableText"/>
              <w:jc w:val="center"/>
            </w:pPr>
            <w:r w:rsidRPr="003663B8">
              <w:t>#</w:t>
            </w:r>
          </w:p>
        </w:tc>
      </w:tr>
      <w:tr w:rsidR="00A11A6F" w:rsidRPr="00A11A6F" w14:paraId="48451A09" w14:textId="77777777" w:rsidTr="00F20113">
        <w:trPr>
          <w:cantSplit/>
          <w:trHeight w:val="288"/>
        </w:trPr>
        <w:tc>
          <w:tcPr>
            <w:tcW w:w="1890" w:type="dxa"/>
            <w:tcMar>
              <w:left w:w="115" w:type="dxa"/>
              <w:right w:w="115" w:type="dxa"/>
            </w:tcMar>
            <w:vAlign w:val="center"/>
          </w:tcPr>
          <w:p w14:paraId="770CD2C5" w14:textId="77777777" w:rsidR="00A11A6F" w:rsidRPr="003663B8" w:rsidRDefault="00A11A6F" w:rsidP="00F20113">
            <w:pPr>
              <w:pStyle w:val="HSAGTableText"/>
              <w:jc w:val="right"/>
            </w:pPr>
            <w:r w:rsidRPr="003663B8">
              <w:t>Not Met</w:t>
            </w:r>
          </w:p>
        </w:tc>
        <w:tc>
          <w:tcPr>
            <w:tcW w:w="450" w:type="dxa"/>
            <w:tcMar>
              <w:left w:w="115" w:type="dxa"/>
              <w:right w:w="115" w:type="dxa"/>
            </w:tcMar>
            <w:vAlign w:val="center"/>
          </w:tcPr>
          <w:p w14:paraId="41FECA39" w14:textId="77777777" w:rsidR="00A11A6F" w:rsidRPr="003663B8" w:rsidRDefault="00A11A6F" w:rsidP="00F20113">
            <w:pPr>
              <w:pStyle w:val="HSAGTableText"/>
              <w:jc w:val="center"/>
            </w:pPr>
            <w:r w:rsidRPr="003663B8">
              <w:t>=</w:t>
            </w:r>
          </w:p>
        </w:tc>
        <w:tc>
          <w:tcPr>
            <w:tcW w:w="990" w:type="dxa"/>
            <w:shd w:val="clear" w:color="auto" w:fill="DFECF7" w:themeFill="accent1" w:themeFillTint="33"/>
            <w:tcMar>
              <w:left w:w="115" w:type="dxa"/>
              <w:right w:w="115" w:type="dxa"/>
            </w:tcMar>
            <w:vAlign w:val="center"/>
          </w:tcPr>
          <w:p w14:paraId="66A0D3E2" w14:textId="27C07E97" w:rsidR="00A11A6F" w:rsidRPr="003663B8" w:rsidRDefault="004410A1" w:rsidP="00F20113">
            <w:pPr>
              <w:pStyle w:val="HSAGTableText"/>
              <w:jc w:val="center"/>
            </w:pPr>
            <w:r w:rsidRPr="003663B8">
              <w:t>#</w:t>
            </w:r>
          </w:p>
        </w:tc>
        <w:tc>
          <w:tcPr>
            <w:tcW w:w="648" w:type="dxa"/>
            <w:tcMar>
              <w:left w:w="115" w:type="dxa"/>
              <w:right w:w="115" w:type="dxa"/>
            </w:tcMar>
            <w:vAlign w:val="center"/>
          </w:tcPr>
          <w:p w14:paraId="42ED6383" w14:textId="77777777" w:rsidR="00A11A6F" w:rsidRPr="003663B8" w:rsidRDefault="00A11A6F" w:rsidP="00F20113">
            <w:pPr>
              <w:pStyle w:val="HSAGTableText"/>
              <w:jc w:val="center"/>
            </w:pPr>
            <w:r w:rsidRPr="003663B8">
              <w:t>X</w:t>
            </w:r>
          </w:p>
        </w:tc>
        <w:tc>
          <w:tcPr>
            <w:tcW w:w="720" w:type="dxa"/>
            <w:tcMar>
              <w:left w:w="115" w:type="dxa"/>
              <w:right w:w="115" w:type="dxa"/>
            </w:tcMar>
            <w:vAlign w:val="center"/>
          </w:tcPr>
          <w:p w14:paraId="280F6D56" w14:textId="75D0E375" w:rsidR="00A11A6F" w:rsidRPr="003663B8" w:rsidRDefault="00A11A6F" w:rsidP="00F20113">
            <w:pPr>
              <w:pStyle w:val="HSAGTableText"/>
              <w:jc w:val="center"/>
            </w:pPr>
            <w:r w:rsidRPr="003663B8">
              <w:t>0</w:t>
            </w:r>
            <w:r w:rsidR="004410A1" w:rsidRPr="003663B8">
              <w:t>.0</w:t>
            </w:r>
          </w:p>
        </w:tc>
        <w:tc>
          <w:tcPr>
            <w:tcW w:w="404" w:type="dxa"/>
            <w:tcMar>
              <w:left w:w="115" w:type="dxa"/>
              <w:right w:w="115" w:type="dxa"/>
            </w:tcMar>
            <w:vAlign w:val="center"/>
          </w:tcPr>
          <w:p w14:paraId="72E2406D" w14:textId="77777777" w:rsidR="00A11A6F" w:rsidRPr="003663B8" w:rsidRDefault="00A11A6F" w:rsidP="00F20113">
            <w:pPr>
              <w:pStyle w:val="HSAGTableText"/>
              <w:jc w:val="center"/>
            </w:pPr>
            <w:r w:rsidRPr="003663B8">
              <w:t>=</w:t>
            </w:r>
          </w:p>
        </w:tc>
        <w:tc>
          <w:tcPr>
            <w:tcW w:w="1198" w:type="dxa"/>
            <w:shd w:val="clear" w:color="auto" w:fill="DFECF7" w:themeFill="accent1" w:themeFillTint="33"/>
            <w:tcMar>
              <w:left w:w="115" w:type="dxa"/>
              <w:right w:w="115" w:type="dxa"/>
            </w:tcMar>
            <w:vAlign w:val="center"/>
          </w:tcPr>
          <w:p w14:paraId="6CCE7AAC" w14:textId="359F0067" w:rsidR="00A11A6F" w:rsidRPr="003663B8" w:rsidRDefault="004410A1" w:rsidP="00F20113">
            <w:pPr>
              <w:pStyle w:val="HSAGTableText"/>
              <w:jc w:val="center"/>
            </w:pPr>
            <w:r w:rsidRPr="003663B8">
              <w:t>#</w:t>
            </w:r>
          </w:p>
        </w:tc>
      </w:tr>
      <w:tr w:rsidR="00A11A6F" w:rsidRPr="00A11A6F" w14:paraId="0E264BEC" w14:textId="77777777" w:rsidTr="00F20113">
        <w:trPr>
          <w:cantSplit/>
          <w:trHeight w:val="288"/>
        </w:trPr>
        <w:tc>
          <w:tcPr>
            <w:tcW w:w="1890" w:type="dxa"/>
            <w:tcMar>
              <w:left w:w="115" w:type="dxa"/>
              <w:right w:w="115" w:type="dxa"/>
            </w:tcMar>
            <w:vAlign w:val="center"/>
          </w:tcPr>
          <w:p w14:paraId="6D26D7B4" w14:textId="77777777" w:rsidR="00A11A6F" w:rsidRPr="00A11A6F" w:rsidRDefault="00A11A6F" w:rsidP="00F20113">
            <w:pPr>
              <w:pStyle w:val="HSAGTableText"/>
              <w:jc w:val="right"/>
              <w:rPr>
                <w:b/>
              </w:rPr>
            </w:pPr>
            <w:r w:rsidRPr="00A11A6F">
              <w:rPr>
                <w:b/>
              </w:rPr>
              <w:t>Total Applicable</w:t>
            </w:r>
          </w:p>
        </w:tc>
        <w:tc>
          <w:tcPr>
            <w:tcW w:w="450" w:type="dxa"/>
            <w:tcMar>
              <w:left w:w="115" w:type="dxa"/>
              <w:right w:w="115" w:type="dxa"/>
            </w:tcMar>
            <w:vAlign w:val="center"/>
          </w:tcPr>
          <w:p w14:paraId="062E0F6D" w14:textId="77777777" w:rsidR="00A11A6F" w:rsidRPr="00A11A6F" w:rsidRDefault="00A11A6F" w:rsidP="00F20113">
            <w:pPr>
              <w:pStyle w:val="HSAGTableText"/>
              <w:jc w:val="center"/>
              <w:rPr>
                <w:b/>
              </w:rPr>
            </w:pPr>
            <w:r w:rsidRPr="00A11A6F">
              <w:rPr>
                <w:b/>
              </w:rPr>
              <w:t>=</w:t>
            </w:r>
          </w:p>
        </w:tc>
        <w:tc>
          <w:tcPr>
            <w:tcW w:w="990" w:type="dxa"/>
            <w:shd w:val="clear" w:color="auto" w:fill="DFECF7" w:themeFill="accent1" w:themeFillTint="33"/>
            <w:tcMar>
              <w:left w:w="115" w:type="dxa"/>
              <w:right w:w="115" w:type="dxa"/>
            </w:tcMar>
            <w:vAlign w:val="center"/>
          </w:tcPr>
          <w:p w14:paraId="301285F7" w14:textId="1E69A7B9" w:rsidR="00A11A6F" w:rsidRPr="00A11A6F" w:rsidRDefault="004410A1" w:rsidP="00F20113">
            <w:pPr>
              <w:pStyle w:val="HSAGTableText"/>
              <w:jc w:val="center"/>
              <w:rPr>
                <w:b/>
              </w:rPr>
            </w:pPr>
            <w:r>
              <w:rPr>
                <w:b/>
              </w:rPr>
              <w:t>8</w:t>
            </w:r>
          </w:p>
        </w:tc>
        <w:tc>
          <w:tcPr>
            <w:tcW w:w="1368" w:type="dxa"/>
            <w:gridSpan w:val="2"/>
            <w:tcMar>
              <w:left w:w="115" w:type="dxa"/>
              <w:right w:w="115" w:type="dxa"/>
            </w:tcMar>
            <w:vAlign w:val="center"/>
          </w:tcPr>
          <w:p w14:paraId="51AA2581" w14:textId="77777777" w:rsidR="00A11A6F" w:rsidRPr="00A11A6F" w:rsidRDefault="00A11A6F" w:rsidP="00F20113">
            <w:pPr>
              <w:pStyle w:val="HSAGTableText"/>
              <w:jc w:val="center"/>
              <w:rPr>
                <w:b/>
              </w:rPr>
            </w:pPr>
            <w:r w:rsidRPr="00A11A6F">
              <w:rPr>
                <w:b/>
              </w:rPr>
              <w:t>Total Score</w:t>
            </w:r>
          </w:p>
        </w:tc>
        <w:tc>
          <w:tcPr>
            <w:tcW w:w="404" w:type="dxa"/>
            <w:tcMar>
              <w:left w:w="115" w:type="dxa"/>
              <w:right w:w="115" w:type="dxa"/>
            </w:tcMar>
            <w:vAlign w:val="center"/>
          </w:tcPr>
          <w:p w14:paraId="076D985D" w14:textId="77777777" w:rsidR="00A11A6F" w:rsidRPr="00A11A6F" w:rsidRDefault="00A11A6F" w:rsidP="00F20113">
            <w:pPr>
              <w:pStyle w:val="HSAGTableText"/>
              <w:jc w:val="center"/>
              <w:rPr>
                <w:b/>
              </w:rPr>
            </w:pPr>
            <w:r w:rsidRPr="00A11A6F">
              <w:rPr>
                <w:b/>
              </w:rPr>
              <w:t>=</w:t>
            </w:r>
          </w:p>
        </w:tc>
        <w:tc>
          <w:tcPr>
            <w:tcW w:w="1198" w:type="dxa"/>
            <w:shd w:val="clear" w:color="auto" w:fill="DFECF7" w:themeFill="accent1" w:themeFillTint="33"/>
            <w:tcMar>
              <w:left w:w="115" w:type="dxa"/>
              <w:right w:w="115" w:type="dxa"/>
            </w:tcMar>
            <w:vAlign w:val="center"/>
          </w:tcPr>
          <w:p w14:paraId="127ADABD" w14:textId="2FDF52D9" w:rsidR="00A11A6F" w:rsidRPr="00A11A6F" w:rsidRDefault="004410A1" w:rsidP="00F20113">
            <w:pPr>
              <w:pStyle w:val="HSAGTableText"/>
              <w:jc w:val="center"/>
              <w:rPr>
                <w:b/>
              </w:rPr>
            </w:pPr>
            <w:r>
              <w:rPr>
                <w:b/>
              </w:rPr>
              <w:t>#</w:t>
            </w:r>
          </w:p>
        </w:tc>
      </w:tr>
      <w:tr w:rsidR="00A11A6F" w:rsidRPr="00A11A6F" w14:paraId="41DF31A2" w14:textId="77777777" w:rsidTr="00DB2918">
        <w:trPr>
          <w:cantSplit/>
          <w:trHeight w:val="288"/>
        </w:trPr>
        <w:tc>
          <w:tcPr>
            <w:tcW w:w="4698" w:type="dxa"/>
            <w:gridSpan w:val="5"/>
            <w:shd w:val="clear" w:color="auto" w:fill="00549E" w:themeFill="accent6"/>
            <w:tcMar>
              <w:left w:w="115" w:type="dxa"/>
              <w:right w:w="115" w:type="dxa"/>
            </w:tcMar>
            <w:vAlign w:val="center"/>
          </w:tcPr>
          <w:p w14:paraId="6E3B463E" w14:textId="77777777" w:rsidR="00A11A6F" w:rsidRPr="00F20113" w:rsidRDefault="00A11A6F" w:rsidP="00F20113">
            <w:pPr>
              <w:pStyle w:val="HSAGTableHeading"/>
              <w:jc w:val="right"/>
            </w:pPr>
            <w:r w:rsidRPr="00F20113">
              <w:t xml:space="preserve">Total Score </w:t>
            </w:r>
            <w:r w:rsidRPr="00F20113">
              <w:sym w:font="Symbol" w:char="F0B8"/>
            </w:r>
            <w:r w:rsidRPr="00F20113">
              <w:t xml:space="preserve"> Total Applicable</w:t>
            </w:r>
          </w:p>
        </w:tc>
        <w:tc>
          <w:tcPr>
            <w:tcW w:w="404" w:type="dxa"/>
            <w:shd w:val="clear" w:color="auto" w:fill="00549E" w:themeFill="accent6"/>
            <w:tcMar>
              <w:left w:w="115" w:type="dxa"/>
              <w:right w:w="115" w:type="dxa"/>
            </w:tcMar>
            <w:vAlign w:val="center"/>
          </w:tcPr>
          <w:p w14:paraId="7302AA7D" w14:textId="77777777" w:rsidR="00A11A6F" w:rsidRPr="00F20113" w:rsidRDefault="00A11A6F" w:rsidP="00F20113">
            <w:pPr>
              <w:pStyle w:val="HSAGTableHeading"/>
            </w:pPr>
            <w:r w:rsidRPr="00F20113">
              <w:t>=</w:t>
            </w:r>
          </w:p>
        </w:tc>
        <w:tc>
          <w:tcPr>
            <w:tcW w:w="1198" w:type="dxa"/>
            <w:shd w:val="clear" w:color="auto" w:fill="00549E" w:themeFill="accent6"/>
            <w:tcMar>
              <w:left w:w="115" w:type="dxa"/>
              <w:right w:w="115" w:type="dxa"/>
            </w:tcMar>
            <w:vAlign w:val="center"/>
          </w:tcPr>
          <w:p w14:paraId="485361E4" w14:textId="5AADBDB3" w:rsidR="00A11A6F" w:rsidRPr="00F20113" w:rsidRDefault="004410A1" w:rsidP="00F20113">
            <w:pPr>
              <w:pStyle w:val="HSAGTableHeading"/>
            </w:pPr>
            <w:r w:rsidRPr="00F20113">
              <w:t>#%</w:t>
            </w:r>
          </w:p>
        </w:tc>
      </w:tr>
    </w:tbl>
    <w:p w14:paraId="778E9A64" w14:textId="77777777" w:rsidR="00382C8D" w:rsidRDefault="00382C8D" w:rsidP="0007241C">
      <w:pPr>
        <w:spacing w:before="0" w:after="200" w:line="276" w:lineRule="auto"/>
        <w:rPr>
          <w:rFonts w:eastAsia="Times New Roman" w:cs="Times New Roman"/>
          <w:sz w:val="4"/>
          <w:szCs w:val="4"/>
        </w:rPr>
      </w:pPr>
    </w:p>
    <w:p w14:paraId="277FB468" w14:textId="77777777" w:rsidR="00717444" w:rsidRPr="00A74ED2" w:rsidRDefault="00717444" w:rsidP="005A562B">
      <w:pPr>
        <w:rPr>
          <w:rFonts w:eastAsia="Times New Roman" w:cs="Times New Roman"/>
          <w:sz w:val="4"/>
          <w:szCs w:val="4"/>
        </w:rPr>
      </w:pPr>
    </w:p>
    <w:sectPr w:rsidR="00717444" w:rsidRPr="00A74ED2" w:rsidSect="00C20826">
      <w:headerReference w:type="default" r:id="rId8"/>
      <w:footerReference w:type="default" r:id="rId9"/>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6CFA95D7" w:rsidR="007A655B" w:rsidRPr="004B3460" w:rsidRDefault="004B3460" w:rsidP="004B3460">
    <w:pPr>
      <w:pStyle w:val="Footer"/>
    </w:pPr>
    <w:r>
      <w:rPr>
        <w:b/>
      </w:rPr>
      <w:fldChar w:fldCharType="begin"/>
    </w:r>
    <w:r>
      <w:rPr>
        <w:b/>
      </w:rPr>
      <w:instrText xml:space="preserve"> DOCPROPERTY  DCfR  \* MERGEFORMAT </w:instrText>
    </w:r>
    <w:r>
      <w:rPr>
        <w:b/>
      </w:rPr>
      <w:fldChar w:fldCharType="separate"/>
    </w:r>
    <w:r w:rsidR="00F20113">
      <w:rPr>
        <w:b/>
      </w:rPr>
      <w:t>—Draft Copy for Review—</w:t>
    </w:r>
    <w:r>
      <w:rPr>
        <w:b/>
      </w:rPr>
      <w:fldChar w:fldCharType="end"/>
    </w:r>
    <w:r w:rsidRPr="00DB3F32">
      <w:br/>
    </w:r>
    <w:bookmarkStart w:id="4" w:name="_Hlk156486174"/>
    <w:r w:rsidRPr="00F81845">
      <w:rPr>
        <w:rFonts w:asciiTheme="minorHAnsi" w:hAnsiTheme="minorHAnsi" w:cstheme="minorHAnsi"/>
        <w:bCs/>
        <w:szCs w:val="14"/>
      </w:rPr>
      <w:fldChar w:fldCharType="begin"/>
    </w:r>
    <w:r w:rsidRPr="00F81845">
      <w:rPr>
        <w:rFonts w:asciiTheme="minorHAnsi" w:hAnsiTheme="minorHAnsi" w:cstheme="minorHAnsi"/>
        <w:bCs/>
        <w:szCs w:val="14"/>
      </w:rPr>
      <w:instrText xml:space="preserve"> REF  CCO  \* MERGEFORMAT </w:instrText>
    </w:r>
    <w:r w:rsidRPr="00F81845">
      <w:rPr>
        <w:rFonts w:asciiTheme="minorHAnsi" w:hAnsiTheme="minorHAnsi" w:cstheme="minorHAnsi"/>
        <w:bCs/>
        <w:szCs w:val="14"/>
      </w:rPr>
      <w:fldChar w:fldCharType="separate"/>
    </w:r>
    <w:sdt>
      <w:sdtPr>
        <w:rPr>
          <w:rFonts w:asciiTheme="minorHAnsi" w:hAnsiTheme="minorHAnsi" w:cstheme="minorHAnsi"/>
          <w:b/>
          <w:szCs w:val="14"/>
        </w:rPr>
        <w:id w:val="677776769"/>
        <w:placeholder>
          <w:docPart w:val="1BC69C3F7C34462CB26552E933FBD678"/>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rPr>
          <w:rFonts w:ascii="Times New Roman" w:hAnsi="Times New Roman" w:cs="Times New Roman"/>
          <w:bCs/>
          <w:szCs w:val="22"/>
        </w:rPr>
      </w:sdtEndPr>
      <w:sdtContent>
        <w:r w:rsidR="00F20113" w:rsidRPr="00F20113">
          <w:rPr>
            <w:rFonts w:asciiTheme="minorHAnsi" w:hAnsiTheme="minorHAnsi" w:cstheme="minorHAnsi"/>
            <w:b/>
            <w:szCs w:val="14"/>
          </w:rPr>
          <w:t>Choose an item.</w:t>
        </w:r>
      </w:sdtContent>
    </w:sdt>
    <w:r w:rsidRPr="00F81845">
      <w:rPr>
        <w:rFonts w:asciiTheme="minorHAnsi" w:hAnsiTheme="minorHAnsi" w:cstheme="minorHAnsi"/>
        <w:bCs/>
        <w:szCs w:val="14"/>
      </w:rPr>
      <w:fldChar w:fldCharType="end"/>
    </w:r>
    <w:r w:rsidRPr="00F81845">
      <w:rPr>
        <w:rFonts w:asciiTheme="minorHAnsi" w:hAnsiTheme="minorHAnsi" w:cstheme="minorHAnsi"/>
        <w:bCs/>
        <w:szCs w:val="14"/>
      </w:rPr>
      <w:t xml:space="preserve"> </w:t>
    </w:r>
    <w:bookmarkEnd w:id="4"/>
    <w:r>
      <w:fldChar w:fldCharType="begin"/>
    </w:r>
    <w:r>
      <w:instrText xml:space="preserve"> DOCPROPERTY  Title  \* MERGEFORMAT </w:instrText>
    </w:r>
    <w:r>
      <w:fldChar w:fldCharType="separate"/>
    </w:r>
    <w:r w:rsidR="00F20113">
      <w:t>2025 CCO Compliance Monitoring Review</w:t>
    </w:r>
    <w:r>
      <w:fldChar w:fldCharType="end"/>
    </w:r>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Pr>
        <w:b/>
        <w:sz w:val="16"/>
        <w:szCs w:val="16"/>
      </w:rPr>
      <w:t>1</w:t>
    </w:r>
    <w:r w:rsidRPr="00D05CD1">
      <w:rPr>
        <w:b/>
        <w:sz w:val="16"/>
        <w:szCs w:val="16"/>
      </w:rPr>
      <w:fldChar w:fldCharType="end"/>
    </w:r>
    <w:r w:rsidRPr="00DB3F32">
      <w:br/>
      <w:t xml:space="preserve">State of </w:t>
    </w:r>
    <w:r w:rsidR="00410747">
      <w:fldChar w:fldCharType="begin"/>
    </w:r>
    <w:r w:rsidR="00410747">
      <w:instrText xml:space="preserve"> DOCPROPERTY  Company  \* MERGEFORMAT </w:instrText>
    </w:r>
    <w:r w:rsidR="00410747">
      <w:fldChar w:fldCharType="separate"/>
    </w:r>
    <w:r w:rsidR="00F20113">
      <w:t>Oregon</w:t>
    </w:r>
    <w:r w:rsidR="00410747">
      <w:fldChar w:fldCharType="end"/>
    </w:r>
    <w:r w:rsidRPr="00DB3F32">
      <w:tab/>
    </w:r>
    <w:r w:rsidRPr="00DB3F32">
      <w:tab/>
    </w:r>
    <w:r w:rsidR="00410747">
      <w:fldChar w:fldCharType="begin"/>
    </w:r>
    <w:r w:rsidR="00410747">
      <w:instrText xml:space="preserve"> DOCPROPERTY  Category  \* MERGEFORMAT </w:instrText>
    </w:r>
    <w:r w:rsidR="00410747">
      <w:fldChar w:fldCharType="separate"/>
    </w:r>
    <w:r w:rsidR="00F20113">
      <w:t>&lt;CCO&gt;_OR2025_CCO_CMR_EvalTool_T1_0125</w:t>
    </w:r>
    <w:r w:rsidR="0041074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570"/>
      <w:gridCol w:w="2970"/>
    </w:tblGrid>
    <w:tr w:rsidR="007A655B" w14:paraId="47E3FD40" w14:textId="77777777" w:rsidTr="00B13ACB">
      <w:trPr>
        <w:jc w:val="center"/>
      </w:trPr>
      <w:tc>
        <w:tcPr>
          <w:tcW w:w="3420" w:type="dxa"/>
        </w:tcPr>
        <w:p w14:paraId="26076CD1" w14:textId="77777777" w:rsidR="007A655B" w:rsidRDefault="007A655B" w:rsidP="002077EB">
          <w:pPr>
            <w:pStyle w:val="Heading3"/>
          </w:pPr>
          <w:r>
            <w:rPr>
              <w:noProof/>
            </w:rPr>
            <w:drawing>
              <wp:anchor distT="0" distB="0" distL="114300" distR="114300" simplePos="0" relativeHeight="251660288"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570" w:type="dxa"/>
        </w:tcPr>
        <w:p w14:paraId="6F449C65" w14:textId="0DBE7770" w:rsidR="007A655B" w:rsidRPr="00941CA6" w:rsidRDefault="007E354C" w:rsidP="0012341B">
          <w:pPr>
            <w:pStyle w:val="ToolHeader"/>
            <w:rPr>
              <w:color w:val="00549E"/>
            </w:rPr>
          </w:pPr>
          <w:r w:rsidRPr="00941CA6">
            <w:rPr>
              <w:color w:val="00549E"/>
            </w:rPr>
            <w:fldChar w:fldCharType="begin"/>
          </w:r>
          <w:r w:rsidRPr="00941CA6">
            <w:rPr>
              <w:color w:val="00549E"/>
            </w:rPr>
            <w:instrText xml:space="preserve"> SUBJECT   \* MERGEFORMAT </w:instrText>
          </w:r>
          <w:r w:rsidRPr="00941CA6">
            <w:rPr>
              <w:color w:val="00549E"/>
            </w:rPr>
            <w:fldChar w:fldCharType="separate"/>
          </w:r>
          <w:r w:rsidR="00745245">
            <w:rPr>
              <w:color w:val="00549E"/>
            </w:rPr>
            <w:t>Oregon Health Authority</w:t>
          </w:r>
          <w:r w:rsidRPr="00941CA6">
            <w:rPr>
              <w:color w:val="00549E"/>
            </w:rPr>
            <w:fldChar w:fldCharType="end"/>
          </w:r>
        </w:p>
        <w:p w14:paraId="1C70B269" w14:textId="050DC9A7" w:rsidR="009B09DB" w:rsidRPr="00941CA6" w:rsidRDefault="007E354C" w:rsidP="0012341B">
          <w:pPr>
            <w:pStyle w:val="ToolHeader"/>
            <w:rPr>
              <w:color w:val="00549E"/>
            </w:rPr>
          </w:pPr>
          <w:r w:rsidRPr="00941CA6">
            <w:rPr>
              <w:color w:val="00549E"/>
            </w:rPr>
            <w:fldChar w:fldCharType="begin"/>
          </w:r>
          <w:r w:rsidRPr="00941CA6">
            <w:rPr>
              <w:color w:val="00549E"/>
            </w:rPr>
            <w:instrText xml:space="preserve"> DOCPROPERTY  Title  \* MERGEFORMAT </w:instrText>
          </w:r>
          <w:r w:rsidRPr="00941CA6">
            <w:rPr>
              <w:color w:val="00549E"/>
            </w:rPr>
            <w:fldChar w:fldCharType="separate"/>
          </w:r>
          <w:r w:rsidR="00745245">
            <w:rPr>
              <w:color w:val="00549E"/>
            </w:rPr>
            <w:t>2025 CCO Compliance Monitoring Review</w:t>
          </w:r>
          <w:r w:rsidRPr="00941CA6">
            <w:rPr>
              <w:color w:val="00549E"/>
            </w:rPr>
            <w:fldChar w:fldCharType="end"/>
          </w:r>
        </w:p>
        <w:p w14:paraId="70339DE3" w14:textId="51BD14F7" w:rsidR="007A655B" w:rsidRDefault="007A655B" w:rsidP="0012341B">
          <w:pPr>
            <w:pStyle w:val="ToolHeader"/>
          </w:pPr>
          <w:r w:rsidRPr="00941CA6">
            <w:rPr>
              <w:color w:val="00549E"/>
            </w:rPr>
            <w:t>Standard Review Tool</w:t>
          </w:r>
        </w:p>
      </w:tc>
      <w:tc>
        <w:tcPr>
          <w:tcW w:w="2970" w:type="dxa"/>
        </w:tcPr>
        <w:p w14:paraId="073CF086" w14:textId="77777777" w:rsidR="007A655B" w:rsidRDefault="007A655B" w:rsidP="002077EB">
          <w:pPr>
            <w:pStyle w:val="Header"/>
            <w:jc w:val="center"/>
          </w:pPr>
        </w:p>
      </w:tc>
    </w:tr>
  </w:tbl>
  <w:p w14:paraId="10775F6A" w14:textId="77777777"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FC4AE6"/>
    <w:lvl w:ilvl="0">
      <w:start w:val="1"/>
      <w:numFmt w:val="bullet"/>
      <w:pStyle w:val="HSAGTableBullet1"/>
      <w:lvlText w:val=""/>
      <w:lvlJc w:val="left"/>
      <w:pPr>
        <w:tabs>
          <w:tab w:val="num" w:pos="720"/>
        </w:tabs>
        <w:ind w:left="720" w:hanging="360"/>
      </w:pPr>
      <w:rPr>
        <w:rFonts w:ascii="Symbol" w:hAnsi="Symbol" w:hint="default"/>
      </w:rPr>
    </w:lvl>
  </w:abstractNum>
  <w:abstractNum w:abstractNumId="1" w15:restartNumberingAfterBreak="0">
    <w:nsid w:val="03016919"/>
    <w:multiLevelType w:val="hybridMultilevel"/>
    <w:tmpl w:val="53FE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026A"/>
    <w:multiLevelType w:val="hybridMultilevel"/>
    <w:tmpl w:val="F2009B5A"/>
    <w:lvl w:ilvl="0" w:tplc="7ABCF4DE">
      <w:start w:val="1"/>
      <w:numFmt w:val="upperLetter"/>
      <w:pStyle w:val="HSAGAlphaBullet2"/>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07454"/>
    <w:multiLevelType w:val="hybridMultilevel"/>
    <w:tmpl w:val="3CE22C6A"/>
    <w:lvl w:ilvl="0" w:tplc="A552B6B0">
      <w:start w:val="1"/>
      <w:numFmt w:val="decimal"/>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BD49F8"/>
    <w:multiLevelType w:val="hybridMultilevel"/>
    <w:tmpl w:val="9580E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8546AE"/>
    <w:multiLevelType w:val="hybridMultilevel"/>
    <w:tmpl w:val="E384F984"/>
    <w:lvl w:ilvl="0" w:tplc="EA6CC1A6">
      <w:start w:val="1"/>
      <w:numFmt w:val="decimal"/>
      <w:pStyle w:val="TableNumber1"/>
      <w:lvlText w:val="%1."/>
      <w:lvlJc w:val="left"/>
      <w:pPr>
        <w:ind w:left="360" w:hanging="360"/>
      </w:pPr>
      <w:rPr>
        <w:rFonts w:hint="default"/>
        <w:i w:val="0"/>
        <w:iCs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F17EC0"/>
    <w:multiLevelType w:val="hybridMultilevel"/>
    <w:tmpl w:val="1F3C88F0"/>
    <w:lvl w:ilvl="0" w:tplc="47B2EF62">
      <w:start w:val="1"/>
      <w:numFmt w:val="bullet"/>
      <w:pStyle w:val="HSAGBullets2"/>
      <w:lvlText w:val=""/>
      <w:lvlJc w:val="left"/>
      <w:pPr>
        <w:tabs>
          <w:tab w:val="num" w:pos="360"/>
        </w:tabs>
        <w:ind w:left="360" w:hanging="360"/>
      </w:pPr>
      <w:rPr>
        <w:rFonts w:ascii="Wingdings" w:hAnsi="Wingdings" w:hint="default"/>
        <w:color w:val="003366"/>
        <w:sz w:val="12"/>
      </w:rPr>
    </w:lvl>
    <w:lvl w:ilvl="1" w:tplc="04090003">
      <w:start w:val="1"/>
      <w:numFmt w:val="bullet"/>
      <w:pStyle w:val="HSAGBullets3"/>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702935"/>
    <w:multiLevelType w:val="hybridMultilevel"/>
    <w:tmpl w:val="02248236"/>
    <w:lvl w:ilvl="0" w:tplc="6722E488">
      <w:start w:val="1"/>
      <w:numFmt w:val="lowerLetter"/>
      <w:lvlText w:val="%1."/>
      <w:lvlJc w:val="left"/>
      <w:pPr>
        <w:ind w:left="72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704983"/>
    <w:multiLevelType w:val="hybridMultilevel"/>
    <w:tmpl w:val="B19068AE"/>
    <w:lvl w:ilvl="0" w:tplc="6722E488">
      <w:start w:val="1"/>
      <w:numFmt w:val="lowerLetter"/>
      <w:lvlText w:val="%1."/>
      <w:lvlJc w:val="left"/>
      <w:pPr>
        <w:ind w:left="72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232302"/>
    <w:multiLevelType w:val="hybridMultilevel"/>
    <w:tmpl w:val="74BAA67A"/>
    <w:lvl w:ilvl="0" w:tplc="D15EAE10">
      <w:start w:val="1"/>
      <w:numFmt w:val="decimal"/>
      <w:lvlText w:val="%1."/>
      <w:lvlJc w:val="left"/>
      <w:pPr>
        <w:ind w:left="360" w:hanging="360"/>
      </w:pPr>
      <w:rPr>
        <w:rFonts w:hint="default"/>
        <w:i w:val="0"/>
        <w:iCs/>
        <w:sz w:val="22"/>
        <w:szCs w:val="20"/>
      </w:rPr>
    </w:lvl>
    <w:lvl w:ilvl="1" w:tplc="6722E488">
      <w:start w:val="1"/>
      <w:numFmt w:val="lowerLetter"/>
      <w:lvlText w:val="%2."/>
      <w:lvlJc w:val="left"/>
      <w:pPr>
        <w:ind w:left="1080" w:hanging="360"/>
      </w:pPr>
      <w:rPr>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0E230D"/>
    <w:multiLevelType w:val="hybridMultilevel"/>
    <w:tmpl w:val="00AC2360"/>
    <w:lvl w:ilvl="0" w:tplc="DCF6898A">
      <w:start w:val="1"/>
      <w:numFmt w:val="upperLetter"/>
      <w:pStyle w:val="TableBullet1-L-TNR10"/>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E26E80"/>
    <w:multiLevelType w:val="hybridMultilevel"/>
    <w:tmpl w:val="00FE82D4"/>
    <w:lvl w:ilvl="0" w:tplc="04090001">
      <w:start w:val="1"/>
      <w:numFmt w:val="bullet"/>
      <w:pStyle w:val="HSAGNumbers"/>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2" w15:restartNumberingAfterBreak="0">
    <w:nsid w:val="48DA08DE"/>
    <w:multiLevelType w:val="hybridMultilevel"/>
    <w:tmpl w:val="AD9AA0FE"/>
    <w:lvl w:ilvl="0" w:tplc="1A9C2D46">
      <w:start w:val="1"/>
      <w:numFmt w:val="bullet"/>
      <w:pStyle w:val="HSAGNumbers2"/>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85552A"/>
    <w:multiLevelType w:val="hybridMultilevel"/>
    <w:tmpl w:val="47063C90"/>
    <w:lvl w:ilvl="0" w:tplc="04090001">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744A7"/>
    <w:multiLevelType w:val="hybridMultilevel"/>
    <w:tmpl w:val="67E8886A"/>
    <w:lvl w:ilvl="0" w:tplc="DED2CEC6">
      <w:start w:val="1"/>
      <w:numFmt w:val="bullet"/>
      <w:pStyle w:val="Process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D7DAD"/>
    <w:multiLevelType w:val="hybridMultilevel"/>
    <w:tmpl w:val="F11A211E"/>
    <w:lvl w:ilvl="0" w:tplc="8D0C73FC">
      <w:start w:val="12"/>
      <w:numFmt w:val="decimal"/>
      <w:pStyle w:val="HSAGBullets"/>
      <w:lvlText w:val="%1."/>
      <w:lvlJc w:val="left"/>
      <w:pPr>
        <w:ind w:left="36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65BE3"/>
    <w:multiLevelType w:val="hybridMultilevel"/>
    <w:tmpl w:val="D51E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3821D1"/>
    <w:multiLevelType w:val="hybridMultilevel"/>
    <w:tmpl w:val="9404D0C6"/>
    <w:lvl w:ilvl="0" w:tplc="F3221768">
      <w:start w:val="1"/>
      <w:numFmt w:val="decimal"/>
      <w:lvlText w:val="%1."/>
      <w:lvlJc w:val="left"/>
      <w:pPr>
        <w:ind w:left="1080" w:hanging="360"/>
      </w:pPr>
    </w:lvl>
    <w:lvl w:ilvl="1" w:tplc="F4C00B18">
      <w:start w:val="1"/>
      <w:numFmt w:val="lowerLetter"/>
      <w:lvlText w:val="%2."/>
      <w:lvlJc w:val="left"/>
      <w:pPr>
        <w:ind w:left="1400" w:hanging="360"/>
      </w:pPr>
    </w:lvl>
    <w:lvl w:ilvl="2" w:tplc="5770D0F4">
      <w:start w:val="1"/>
      <w:numFmt w:val="decimal"/>
      <w:lvlText w:val="%3."/>
      <w:lvlJc w:val="left"/>
      <w:pPr>
        <w:ind w:left="1080" w:hanging="360"/>
      </w:pPr>
    </w:lvl>
    <w:lvl w:ilvl="3" w:tplc="CC323746">
      <w:start w:val="1"/>
      <w:numFmt w:val="decimal"/>
      <w:lvlText w:val="%4."/>
      <w:lvlJc w:val="left"/>
      <w:pPr>
        <w:ind w:left="1080" w:hanging="360"/>
      </w:pPr>
    </w:lvl>
    <w:lvl w:ilvl="4" w:tplc="CFAC7BD8">
      <w:start w:val="1"/>
      <w:numFmt w:val="decimal"/>
      <w:lvlText w:val="%5."/>
      <w:lvlJc w:val="left"/>
      <w:pPr>
        <w:ind w:left="1080" w:hanging="360"/>
      </w:pPr>
    </w:lvl>
    <w:lvl w:ilvl="5" w:tplc="7B34003E">
      <w:start w:val="1"/>
      <w:numFmt w:val="decimal"/>
      <w:lvlText w:val="%6."/>
      <w:lvlJc w:val="left"/>
      <w:pPr>
        <w:ind w:left="1080" w:hanging="360"/>
      </w:pPr>
    </w:lvl>
    <w:lvl w:ilvl="6" w:tplc="936AB0CC">
      <w:start w:val="1"/>
      <w:numFmt w:val="decimal"/>
      <w:lvlText w:val="%7."/>
      <w:lvlJc w:val="left"/>
      <w:pPr>
        <w:ind w:left="1080" w:hanging="360"/>
      </w:pPr>
    </w:lvl>
    <w:lvl w:ilvl="7" w:tplc="2A54509E">
      <w:start w:val="1"/>
      <w:numFmt w:val="decimal"/>
      <w:lvlText w:val="%8."/>
      <w:lvlJc w:val="left"/>
      <w:pPr>
        <w:ind w:left="1080" w:hanging="360"/>
      </w:pPr>
    </w:lvl>
    <w:lvl w:ilvl="8" w:tplc="54826324">
      <w:start w:val="1"/>
      <w:numFmt w:val="decimal"/>
      <w:lvlText w:val="%9."/>
      <w:lvlJc w:val="left"/>
      <w:pPr>
        <w:ind w:left="1080" w:hanging="360"/>
      </w:pPr>
    </w:lvl>
  </w:abstractNum>
  <w:num w:numId="1" w16cid:durableId="512458329">
    <w:abstractNumId w:val="15"/>
  </w:num>
  <w:num w:numId="2" w16cid:durableId="440882428">
    <w:abstractNumId w:val="6"/>
  </w:num>
  <w:num w:numId="3" w16cid:durableId="684673919">
    <w:abstractNumId w:val="11"/>
  </w:num>
  <w:num w:numId="4" w16cid:durableId="630132418">
    <w:abstractNumId w:val="12"/>
  </w:num>
  <w:num w:numId="5" w16cid:durableId="639844697">
    <w:abstractNumId w:val="0"/>
  </w:num>
  <w:num w:numId="6" w16cid:durableId="1295134335">
    <w:abstractNumId w:val="5"/>
  </w:num>
  <w:num w:numId="7" w16cid:durableId="204802337">
    <w:abstractNumId w:val="10"/>
  </w:num>
  <w:num w:numId="8" w16cid:durableId="456949356">
    <w:abstractNumId w:val="14"/>
  </w:num>
  <w:num w:numId="9" w16cid:durableId="2113355718">
    <w:abstractNumId w:val="13"/>
  </w:num>
  <w:num w:numId="10" w16cid:durableId="2076001788">
    <w:abstractNumId w:val="2"/>
  </w:num>
  <w:num w:numId="11" w16cid:durableId="580649929">
    <w:abstractNumId w:val="4"/>
  </w:num>
  <w:num w:numId="12" w16cid:durableId="423382435">
    <w:abstractNumId w:val="9"/>
  </w:num>
  <w:num w:numId="13" w16cid:durableId="2052920294">
    <w:abstractNumId w:val="1"/>
  </w:num>
  <w:num w:numId="14" w16cid:durableId="1027439406">
    <w:abstractNumId w:val="16"/>
  </w:num>
  <w:num w:numId="15" w16cid:durableId="2127040629">
    <w:abstractNumId w:val="3"/>
  </w:num>
  <w:num w:numId="16" w16cid:durableId="1482649286">
    <w:abstractNumId w:val="17"/>
  </w:num>
  <w:num w:numId="17" w16cid:durableId="934483900">
    <w:abstractNumId w:val="8"/>
  </w:num>
  <w:num w:numId="18" w16cid:durableId="34991163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MjU2NbC0sDQ2MDBS0lEKTi0uzszPAymwrAUANtoT6SwAAAA="/>
  </w:docVars>
  <w:rsids>
    <w:rsidRoot w:val="007016AB"/>
    <w:rsid w:val="0000042B"/>
    <w:rsid w:val="00000C59"/>
    <w:rsid w:val="00002FD7"/>
    <w:rsid w:val="0000382D"/>
    <w:rsid w:val="00010A4F"/>
    <w:rsid w:val="00011823"/>
    <w:rsid w:val="00012736"/>
    <w:rsid w:val="00015252"/>
    <w:rsid w:val="00016224"/>
    <w:rsid w:val="00021DD3"/>
    <w:rsid w:val="00022291"/>
    <w:rsid w:val="00025A76"/>
    <w:rsid w:val="000272EE"/>
    <w:rsid w:val="000337E9"/>
    <w:rsid w:val="00034940"/>
    <w:rsid w:val="00034C49"/>
    <w:rsid w:val="00036813"/>
    <w:rsid w:val="00037A99"/>
    <w:rsid w:val="0004342A"/>
    <w:rsid w:val="000446C8"/>
    <w:rsid w:val="000451D0"/>
    <w:rsid w:val="0004745D"/>
    <w:rsid w:val="00050195"/>
    <w:rsid w:val="00051281"/>
    <w:rsid w:val="0005214C"/>
    <w:rsid w:val="00052376"/>
    <w:rsid w:val="000535AB"/>
    <w:rsid w:val="00053CD8"/>
    <w:rsid w:val="00054202"/>
    <w:rsid w:val="000601A4"/>
    <w:rsid w:val="00060DAC"/>
    <w:rsid w:val="0006254C"/>
    <w:rsid w:val="000626A7"/>
    <w:rsid w:val="00064A0F"/>
    <w:rsid w:val="0006557A"/>
    <w:rsid w:val="00065910"/>
    <w:rsid w:val="000663C1"/>
    <w:rsid w:val="00066674"/>
    <w:rsid w:val="0007238C"/>
    <w:rsid w:val="0007241C"/>
    <w:rsid w:val="00072A2D"/>
    <w:rsid w:val="00072E97"/>
    <w:rsid w:val="00074B6D"/>
    <w:rsid w:val="00075AFD"/>
    <w:rsid w:val="000764E7"/>
    <w:rsid w:val="000772F6"/>
    <w:rsid w:val="00084B9B"/>
    <w:rsid w:val="00085522"/>
    <w:rsid w:val="00086C38"/>
    <w:rsid w:val="00094A37"/>
    <w:rsid w:val="0009668D"/>
    <w:rsid w:val="000975BB"/>
    <w:rsid w:val="00097648"/>
    <w:rsid w:val="000A0875"/>
    <w:rsid w:val="000A3094"/>
    <w:rsid w:val="000A30C7"/>
    <w:rsid w:val="000B16E4"/>
    <w:rsid w:val="000B4D8E"/>
    <w:rsid w:val="000B691E"/>
    <w:rsid w:val="000B7CC2"/>
    <w:rsid w:val="000C09A8"/>
    <w:rsid w:val="000C322C"/>
    <w:rsid w:val="000C457A"/>
    <w:rsid w:val="000C4F26"/>
    <w:rsid w:val="000C7215"/>
    <w:rsid w:val="000D0DC7"/>
    <w:rsid w:val="000D1A97"/>
    <w:rsid w:val="000D2AFD"/>
    <w:rsid w:val="000D71BD"/>
    <w:rsid w:val="000E070E"/>
    <w:rsid w:val="000E233A"/>
    <w:rsid w:val="000E7B10"/>
    <w:rsid w:val="000F0639"/>
    <w:rsid w:val="000F318B"/>
    <w:rsid w:val="000F4E94"/>
    <w:rsid w:val="000F4FC4"/>
    <w:rsid w:val="000F5D20"/>
    <w:rsid w:val="000F6CB4"/>
    <w:rsid w:val="0010129C"/>
    <w:rsid w:val="0010163B"/>
    <w:rsid w:val="00101D61"/>
    <w:rsid w:val="00102BB9"/>
    <w:rsid w:val="00103772"/>
    <w:rsid w:val="00105802"/>
    <w:rsid w:val="00107E41"/>
    <w:rsid w:val="00114B8E"/>
    <w:rsid w:val="00115E60"/>
    <w:rsid w:val="00120296"/>
    <w:rsid w:val="0012341B"/>
    <w:rsid w:val="00123CCF"/>
    <w:rsid w:val="00124956"/>
    <w:rsid w:val="00124B48"/>
    <w:rsid w:val="00130F54"/>
    <w:rsid w:val="00135A2A"/>
    <w:rsid w:val="001376F0"/>
    <w:rsid w:val="001402AB"/>
    <w:rsid w:val="00145D8B"/>
    <w:rsid w:val="00151983"/>
    <w:rsid w:val="00154B00"/>
    <w:rsid w:val="0016145E"/>
    <w:rsid w:val="00163474"/>
    <w:rsid w:val="00163A20"/>
    <w:rsid w:val="00165128"/>
    <w:rsid w:val="00166708"/>
    <w:rsid w:val="00186225"/>
    <w:rsid w:val="00187361"/>
    <w:rsid w:val="0018789D"/>
    <w:rsid w:val="00191CD3"/>
    <w:rsid w:val="00191D5E"/>
    <w:rsid w:val="0019671B"/>
    <w:rsid w:val="00197A8D"/>
    <w:rsid w:val="001A1122"/>
    <w:rsid w:val="001A49C8"/>
    <w:rsid w:val="001A4A16"/>
    <w:rsid w:val="001A655A"/>
    <w:rsid w:val="001B1225"/>
    <w:rsid w:val="001B4389"/>
    <w:rsid w:val="001B4477"/>
    <w:rsid w:val="001B5FB2"/>
    <w:rsid w:val="001B6BDA"/>
    <w:rsid w:val="001C7FAE"/>
    <w:rsid w:val="001D02AC"/>
    <w:rsid w:val="001D2DEF"/>
    <w:rsid w:val="001D6183"/>
    <w:rsid w:val="001D6FCD"/>
    <w:rsid w:val="001D7708"/>
    <w:rsid w:val="001E0FD1"/>
    <w:rsid w:val="001E2533"/>
    <w:rsid w:val="001E5F66"/>
    <w:rsid w:val="001F1A8F"/>
    <w:rsid w:val="001F25E0"/>
    <w:rsid w:val="001F4BCC"/>
    <w:rsid w:val="001F52BF"/>
    <w:rsid w:val="001F587E"/>
    <w:rsid w:val="001F65A1"/>
    <w:rsid w:val="001F675D"/>
    <w:rsid w:val="00200857"/>
    <w:rsid w:val="00201FF3"/>
    <w:rsid w:val="00202947"/>
    <w:rsid w:val="00206E5E"/>
    <w:rsid w:val="002077EB"/>
    <w:rsid w:val="00212437"/>
    <w:rsid w:val="00212FDD"/>
    <w:rsid w:val="002153F0"/>
    <w:rsid w:val="00216F8E"/>
    <w:rsid w:val="00221CA3"/>
    <w:rsid w:val="00223096"/>
    <w:rsid w:val="00232320"/>
    <w:rsid w:val="0023281B"/>
    <w:rsid w:val="00233740"/>
    <w:rsid w:val="00233783"/>
    <w:rsid w:val="00233908"/>
    <w:rsid w:val="00233F61"/>
    <w:rsid w:val="002357BA"/>
    <w:rsid w:val="00235FE3"/>
    <w:rsid w:val="00237224"/>
    <w:rsid w:val="00240DEF"/>
    <w:rsid w:val="002418BB"/>
    <w:rsid w:val="00241A00"/>
    <w:rsid w:val="00243A31"/>
    <w:rsid w:val="002465BB"/>
    <w:rsid w:val="00251A63"/>
    <w:rsid w:val="00252710"/>
    <w:rsid w:val="00255235"/>
    <w:rsid w:val="00256138"/>
    <w:rsid w:val="00256E1E"/>
    <w:rsid w:val="00257317"/>
    <w:rsid w:val="00257FE1"/>
    <w:rsid w:val="00261227"/>
    <w:rsid w:val="00263C42"/>
    <w:rsid w:val="00263CBD"/>
    <w:rsid w:val="002658CA"/>
    <w:rsid w:val="00266B6C"/>
    <w:rsid w:val="00270E49"/>
    <w:rsid w:val="00273038"/>
    <w:rsid w:val="00274820"/>
    <w:rsid w:val="00275AD9"/>
    <w:rsid w:val="00275B20"/>
    <w:rsid w:val="002829AC"/>
    <w:rsid w:val="00286055"/>
    <w:rsid w:val="002865A8"/>
    <w:rsid w:val="00286E1A"/>
    <w:rsid w:val="00287229"/>
    <w:rsid w:val="00287A16"/>
    <w:rsid w:val="00291F09"/>
    <w:rsid w:val="0029262A"/>
    <w:rsid w:val="0029543A"/>
    <w:rsid w:val="00297C5E"/>
    <w:rsid w:val="002A009F"/>
    <w:rsid w:val="002A13FD"/>
    <w:rsid w:val="002A1A20"/>
    <w:rsid w:val="002A2259"/>
    <w:rsid w:val="002A24A5"/>
    <w:rsid w:val="002A33A4"/>
    <w:rsid w:val="002A5496"/>
    <w:rsid w:val="002A5FA0"/>
    <w:rsid w:val="002A6D4A"/>
    <w:rsid w:val="002A7F3A"/>
    <w:rsid w:val="002A7F3F"/>
    <w:rsid w:val="002B303E"/>
    <w:rsid w:val="002B432A"/>
    <w:rsid w:val="002B5451"/>
    <w:rsid w:val="002B57B0"/>
    <w:rsid w:val="002B5D74"/>
    <w:rsid w:val="002B6DDB"/>
    <w:rsid w:val="002B7727"/>
    <w:rsid w:val="002C0302"/>
    <w:rsid w:val="002C04B5"/>
    <w:rsid w:val="002C101B"/>
    <w:rsid w:val="002C401D"/>
    <w:rsid w:val="002C5BB6"/>
    <w:rsid w:val="002D1633"/>
    <w:rsid w:val="002D3294"/>
    <w:rsid w:val="002D3A64"/>
    <w:rsid w:val="002D57FD"/>
    <w:rsid w:val="002D6534"/>
    <w:rsid w:val="002E4ED7"/>
    <w:rsid w:val="002E6BE4"/>
    <w:rsid w:val="002F4A01"/>
    <w:rsid w:val="002F569F"/>
    <w:rsid w:val="002F6E45"/>
    <w:rsid w:val="00301351"/>
    <w:rsid w:val="00305413"/>
    <w:rsid w:val="0030643F"/>
    <w:rsid w:val="00314CBA"/>
    <w:rsid w:val="00317636"/>
    <w:rsid w:val="00320726"/>
    <w:rsid w:val="0032201D"/>
    <w:rsid w:val="003229A2"/>
    <w:rsid w:val="003266E8"/>
    <w:rsid w:val="00333B37"/>
    <w:rsid w:val="00335BC6"/>
    <w:rsid w:val="00336CC5"/>
    <w:rsid w:val="00337571"/>
    <w:rsid w:val="0034160A"/>
    <w:rsid w:val="00341952"/>
    <w:rsid w:val="003434B0"/>
    <w:rsid w:val="00344BA9"/>
    <w:rsid w:val="0034630C"/>
    <w:rsid w:val="00347E8E"/>
    <w:rsid w:val="003504EE"/>
    <w:rsid w:val="003519E4"/>
    <w:rsid w:val="003520C2"/>
    <w:rsid w:val="00353456"/>
    <w:rsid w:val="0035350A"/>
    <w:rsid w:val="003544C3"/>
    <w:rsid w:val="003557DB"/>
    <w:rsid w:val="0035635E"/>
    <w:rsid w:val="003628D3"/>
    <w:rsid w:val="003630C9"/>
    <w:rsid w:val="0036555C"/>
    <w:rsid w:val="00365A9E"/>
    <w:rsid w:val="003663B8"/>
    <w:rsid w:val="00366B03"/>
    <w:rsid w:val="00367BB7"/>
    <w:rsid w:val="00370BEF"/>
    <w:rsid w:val="00371125"/>
    <w:rsid w:val="00372431"/>
    <w:rsid w:val="00374648"/>
    <w:rsid w:val="003750B5"/>
    <w:rsid w:val="00375B80"/>
    <w:rsid w:val="00380DD6"/>
    <w:rsid w:val="003817B8"/>
    <w:rsid w:val="0038276D"/>
    <w:rsid w:val="00382C8D"/>
    <w:rsid w:val="00383899"/>
    <w:rsid w:val="003863EC"/>
    <w:rsid w:val="00387ED4"/>
    <w:rsid w:val="0039010E"/>
    <w:rsid w:val="00390C91"/>
    <w:rsid w:val="00392830"/>
    <w:rsid w:val="00393276"/>
    <w:rsid w:val="00393C02"/>
    <w:rsid w:val="0039451F"/>
    <w:rsid w:val="00396CE6"/>
    <w:rsid w:val="003A0B5D"/>
    <w:rsid w:val="003A0F19"/>
    <w:rsid w:val="003A17E4"/>
    <w:rsid w:val="003A3A25"/>
    <w:rsid w:val="003A3B46"/>
    <w:rsid w:val="003A3DDB"/>
    <w:rsid w:val="003A4A61"/>
    <w:rsid w:val="003A7566"/>
    <w:rsid w:val="003A7ABF"/>
    <w:rsid w:val="003B0503"/>
    <w:rsid w:val="003B37CE"/>
    <w:rsid w:val="003B420E"/>
    <w:rsid w:val="003B6064"/>
    <w:rsid w:val="003C05A0"/>
    <w:rsid w:val="003C0B28"/>
    <w:rsid w:val="003C1B91"/>
    <w:rsid w:val="003C2404"/>
    <w:rsid w:val="003C40AF"/>
    <w:rsid w:val="003D46FF"/>
    <w:rsid w:val="003E0F69"/>
    <w:rsid w:val="003E1B0E"/>
    <w:rsid w:val="003E1F71"/>
    <w:rsid w:val="003E235E"/>
    <w:rsid w:val="003E5F73"/>
    <w:rsid w:val="003E717B"/>
    <w:rsid w:val="003F247D"/>
    <w:rsid w:val="003F2522"/>
    <w:rsid w:val="003F6EF0"/>
    <w:rsid w:val="004003E3"/>
    <w:rsid w:val="00400E7F"/>
    <w:rsid w:val="0040403C"/>
    <w:rsid w:val="0040532D"/>
    <w:rsid w:val="004061D2"/>
    <w:rsid w:val="00407A74"/>
    <w:rsid w:val="00407F4D"/>
    <w:rsid w:val="00410747"/>
    <w:rsid w:val="00410C62"/>
    <w:rsid w:val="00413763"/>
    <w:rsid w:val="00413F85"/>
    <w:rsid w:val="00416C5F"/>
    <w:rsid w:val="0042198F"/>
    <w:rsid w:val="00424C1F"/>
    <w:rsid w:val="0042566A"/>
    <w:rsid w:val="00426814"/>
    <w:rsid w:val="004313DD"/>
    <w:rsid w:val="004329AC"/>
    <w:rsid w:val="00432C53"/>
    <w:rsid w:val="00434240"/>
    <w:rsid w:val="00434831"/>
    <w:rsid w:val="004356F9"/>
    <w:rsid w:val="004410A1"/>
    <w:rsid w:val="0044311A"/>
    <w:rsid w:val="004446AB"/>
    <w:rsid w:val="00444A1F"/>
    <w:rsid w:val="00445E54"/>
    <w:rsid w:val="00447A32"/>
    <w:rsid w:val="00450159"/>
    <w:rsid w:val="00450942"/>
    <w:rsid w:val="00451529"/>
    <w:rsid w:val="004552C5"/>
    <w:rsid w:val="004557E3"/>
    <w:rsid w:val="00456335"/>
    <w:rsid w:val="00456F62"/>
    <w:rsid w:val="00457CE7"/>
    <w:rsid w:val="004605AD"/>
    <w:rsid w:val="00461818"/>
    <w:rsid w:val="004629C0"/>
    <w:rsid w:val="00462A2B"/>
    <w:rsid w:val="00462F60"/>
    <w:rsid w:val="00463B05"/>
    <w:rsid w:val="00465F9F"/>
    <w:rsid w:val="004710FE"/>
    <w:rsid w:val="004730B3"/>
    <w:rsid w:val="00474AD1"/>
    <w:rsid w:val="004751E2"/>
    <w:rsid w:val="00476AB8"/>
    <w:rsid w:val="00481FB4"/>
    <w:rsid w:val="0048211C"/>
    <w:rsid w:val="00483054"/>
    <w:rsid w:val="004836D7"/>
    <w:rsid w:val="00485132"/>
    <w:rsid w:val="00486860"/>
    <w:rsid w:val="004903A7"/>
    <w:rsid w:val="004929F9"/>
    <w:rsid w:val="00495908"/>
    <w:rsid w:val="00495F15"/>
    <w:rsid w:val="004A398C"/>
    <w:rsid w:val="004A493B"/>
    <w:rsid w:val="004A67D0"/>
    <w:rsid w:val="004A7DB4"/>
    <w:rsid w:val="004B2F93"/>
    <w:rsid w:val="004B3300"/>
    <w:rsid w:val="004B3460"/>
    <w:rsid w:val="004C00A9"/>
    <w:rsid w:val="004C38A5"/>
    <w:rsid w:val="004C6533"/>
    <w:rsid w:val="004D1CA6"/>
    <w:rsid w:val="004D367F"/>
    <w:rsid w:val="004D4D61"/>
    <w:rsid w:val="004E05ED"/>
    <w:rsid w:val="004E0825"/>
    <w:rsid w:val="004E3CEE"/>
    <w:rsid w:val="004E6981"/>
    <w:rsid w:val="004E76E7"/>
    <w:rsid w:val="004F0D66"/>
    <w:rsid w:val="00504F8A"/>
    <w:rsid w:val="0050559D"/>
    <w:rsid w:val="00507AC7"/>
    <w:rsid w:val="00507B91"/>
    <w:rsid w:val="00512E3F"/>
    <w:rsid w:val="00512EC1"/>
    <w:rsid w:val="00512EE6"/>
    <w:rsid w:val="005130DA"/>
    <w:rsid w:val="00513620"/>
    <w:rsid w:val="00517D0F"/>
    <w:rsid w:val="00520606"/>
    <w:rsid w:val="00522625"/>
    <w:rsid w:val="00523135"/>
    <w:rsid w:val="00525D6B"/>
    <w:rsid w:val="00527630"/>
    <w:rsid w:val="005337CD"/>
    <w:rsid w:val="005345F5"/>
    <w:rsid w:val="00536C2E"/>
    <w:rsid w:val="00536E7E"/>
    <w:rsid w:val="00537ECB"/>
    <w:rsid w:val="00541934"/>
    <w:rsid w:val="0054364B"/>
    <w:rsid w:val="00545A4C"/>
    <w:rsid w:val="00546BBA"/>
    <w:rsid w:val="0054752E"/>
    <w:rsid w:val="0054774A"/>
    <w:rsid w:val="0055119C"/>
    <w:rsid w:val="00551A1B"/>
    <w:rsid w:val="00557FED"/>
    <w:rsid w:val="00563C67"/>
    <w:rsid w:val="0056412C"/>
    <w:rsid w:val="00566251"/>
    <w:rsid w:val="00567654"/>
    <w:rsid w:val="00567EC4"/>
    <w:rsid w:val="005710D4"/>
    <w:rsid w:val="0057189C"/>
    <w:rsid w:val="00572A6F"/>
    <w:rsid w:val="00572E1C"/>
    <w:rsid w:val="00575122"/>
    <w:rsid w:val="005808E0"/>
    <w:rsid w:val="0058134A"/>
    <w:rsid w:val="00583C13"/>
    <w:rsid w:val="0058547E"/>
    <w:rsid w:val="00586582"/>
    <w:rsid w:val="00590818"/>
    <w:rsid w:val="005941BB"/>
    <w:rsid w:val="005A0718"/>
    <w:rsid w:val="005A18A7"/>
    <w:rsid w:val="005A2210"/>
    <w:rsid w:val="005A25BD"/>
    <w:rsid w:val="005A29EE"/>
    <w:rsid w:val="005A31E9"/>
    <w:rsid w:val="005A562B"/>
    <w:rsid w:val="005B26C5"/>
    <w:rsid w:val="005B659A"/>
    <w:rsid w:val="005B710A"/>
    <w:rsid w:val="005C1FEE"/>
    <w:rsid w:val="005C42AB"/>
    <w:rsid w:val="005C4520"/>
    <w:rsid w:val="005C452C"/>
    <w:rsid w:val="005C4C0D"/>
    <w:rsid w:val="005C6F29"/>
    <w:rsid w:val="005C7117"/>
    <w:rsid w:val="005D2200"/>
    <w:rsid w:val="005D426A"/>
    <w:rsid w:val="005D5930"/>
    <w:rsid w:val="005D60F7"/>
    <w:rsid w:val="005E063B"/>
    <w:rsid w:val="005E0BDA"/>
    <w:rsid w:val="005E419B"/>
    <w:rsid w:val="005E4B23"/>
    <w:rsid w:val="005E61B1"/>
    <w:rsid w:val="005F3C72"/>
    <w:rsid w:val="005F3EED"/>
    <w:rsid w:val="005F6DAA"/>
    <w:rsid w:val="006002CC"/>
    <w:rsid w:val="00604277"/>
    <w:rsid w:val="006043A9"/>
    <w:rsid w:val="0060775C"/>
    <w:rsid w:val="006101B7"/>
    <w:rsid w:val="00610684"/>
    <w:rsid w:val="006108F0"/>
    <w:rsid w:val="00613135"/>
    <w:rsid w:val="00614600"/>
    <w:rsid w:val="006156CE"/>
    <w:rsid w:val="00616E7A"/>
    <w:rsid w:val="00620441"/>
    <w:rsid w:val="00625353"/>
    <w:rsid w:val="006276F5"/>
    <w:rsid w:val="00631939"/>
    <w:rsid w:val="00632100"/>
    <w:rsid w:val="006332CF"/>
    <w:rsid w:val="00633EE8"/>
    <w:rsid w:val="00634A86"/>
    <w:rsid w:val="00637E72"/>
    <w:rsid w:val="006414D4"/>
    <w:rsid w:val="00641CD3"/>
    <w:rsid w:val="00641F18"/>
    <w:rsid w:val="00645021"/>
    <w:rsid w:val="0065385B"/>
    <w:rsid w:val="00656D31"/>
    <w:rsid w:val="006600DB"/>
    <w:rsid w:val="00660B83"/>
    <w:rsid w:val="006720DB"/>
    <w:rsid w:val="00672321"/>
    <w:rsid w:val="00672949"/>
    <w:rsid w:val="00672B43"/>
    <w:rsid w:val="0067354A"/>
    <w:rsid w:val="00674DE2"/>
    <w:rsid w:val="006806DF"/>
    <w:rsid w:val="00680982"/>
    <w:rsid w:val="006823F6"/>
    <w:rsid w:val="0068240C"/>
    <w:rsid w:val="00684098"/>
    <w:rsid w:val="00686A84"/>
    <w:rsid w:val="00687153"/>
    <w:rsid w:val="006901A7"/>
    <w:rsid w:val="00693DAE"/>
    <w:rsid w:val="00695387"/>
    <w:rsid w:val="006A08DD"/>
    <w:rsid w:val="006A2B18"/>
    <w:rsid w:val="006A6969"/>
    <w:rsid w:val="006A72BA"/>
    <w:rsid w:val="006A7741"/>
    <w:rsid w:val="006A7DC6"/>
    <w:rsid w:val="006B3DE8"/>
    <w:rsid w:val="006B66BB"/>
    <w:rsid w:val="006B71E9"/>
    <w:rsid w:val="006C027D"/>
    <w:rsid w:val="006C0ABC"/>
    <w:rsid w:val="006C2500"/>
    <w:rsid w:val="006C27E1"/>
    <w:rsid w:val="006C2D69"/>
    <w:rsid w:val="006C302D"/>
    <w:rsid w:val="006C317B"/>
    <w:rsid w:val="006C516D"/>
    <w:rsid w:val="006C738F"/>
    <w:rsid w:val="006D0718"/>
    <w:rsid w:val="006D19BA"/>
    <w:rsid w:val="006D4E04"/>
    <w:rsid w:val="006D546F"/>
    <w:rsid w:val="006D6154"/>
    <w:rsid w:val="006E3B6F"/>
    <w:rsid w:val="006E6DB3"/>
    <w:rsid w:val="006F1862"/>
    <w:rsid w:val="006F2EBB"/>
    <w:rsid w:val="006F325F"/>
    <w:rsid w:val="006F37FD"/>
    <w:rsid w:val="006F4AB6"/>
    <w:rsid w:val="006F7473"/>
    <w:rsid w:val="00700352"/>
    <w:rsid w:val="0070042B"/>
    <w:rsid w:val="007016AB"/>
    <w:rsid w:val="00704233"/>
    <w:rsid w:val="00705DAA"/>
    <w:rsid w:val="00707156"/>
    <w:rsid w:val="00711719"/>
    <w:rsid w:val="00716B02"/>
    <w:rsid w:val="00717444"/>
    <w:rsid w:val="0072094F"/>
    <w:rsid w:val="007209E1"/>
    <w:rsid w:val="00722498"/>
    <w:rsid w:val="00723288"/>
    <w:rsid w:val="00723449"/>
    <w:rsid w:val="00725DE5"/>
    <w:rsid w:val="00726823"/>
    <w:rsid w:val="00726D4B"/>
    <w:rsid w:val="007303EC"/>
    <w:rsid w:val="00730B70"/>
    <w:rsid w:val="00734CDF"/>
    <w:rsid w:val="007357CF"/>
    <w:rsid w:val="00735BFE"/>
    <w:rsid w:val="00740820"/>
    <w:rsid w:val="007410F2"/>
    <w:rsid w:val="00741D1C"/>
    <w:rsid w:val="00745245"/>
    <w:rsid w:val="00751908"/>
    <w:rsid w:val="00751A7F"/>
    <w:rsid w:val="00753297"/>
    <w:rsid w:val="007533C5"/>
    <w:rsid w:val="007570A6"/>
    <w:rsid w:val="00760FFA"/>
    <w:rsid w:val="00763CF3"/>
    <w:rsid w:val="0076508F"/>
    <w:rsid w:val="00766907"/>
    <w:rsid w:val="00770845"/>
    <w:rsid w:val="00770AA1"/>
    <w:rsid w:val="0077189E"/>
    <w:rsid w:val="00773482"/>
    <w:rsid w:val="007738F1"/>
    <w:rsid w:val="00775C32"/>
    <w:rsid w:val="00775C58"/>
    <w:rsid w:val="0078092C"/>
    <w:rsid w:val="0078414F"/>
    <w:rsid w:val="00784D6B"/>
    <w:rsid w:val="00787556"/>
    <w:rsid w:val="00790F5C"/>
    <w:rsid w:val="007936B8"/>
    <w:rsid w:val="007942B6"/>
    <w:rsid w:val="00796564"/>
    <w:rsid w:val="00796B53"/>
    <w:rsid w:val="007A1B35"/>
    <w:rsid w:val="007A4557"/>
    <w:rsid w:val="007A655B"/>
    <w:rsid w:val="007B1DD8"/>
    <w:rsid w:val="007B29CD"/>
    <w:rsid w:val="007B389F"/>
    <w:rsid w:val="007C01F6"/>
    <w:rsid w:val="007C2E7C"/>
    <w:rsid w:val="007C5185"/>
    <w:rsid w:val="007C6C45"/>
    <w:rsid w:val="007D0B54"/>
    <w:rsid w:val="007D1F44"/>
    <w:rsid w:val="007D2CBA"/>
    <w:rsid w:val="007D4C56"/>
    <w:rsid w:val="007E0549"/>
    <w:rsid w:val="007E0BB9"/>
    <w:rsid w:val="007E2A18"/>
    <w:rsid w:val="007E354C"/>
    <w:rsid w:val="007E4675"/>
    <w:rsid w:val="007E5F33"/>
    <w:rsid w:val="007F1A61"/>
    <w:rsid w:val="007F1E23"/>
    <w:rsid w:val="007F4314"/>
    <w:rsid w:val="007F4D0B"/>
    <w:rsid w:val="007F5FAD"/>
    <w:rsid w:val="007F6CB7"/>
    <w:rsid w:val="007F7DA9"/>
    <w:rsid w:val="008000BC"/>
    <w:rsid w:val="0080025B"/>
    <w:rsid w:val="00800B28"/>
    <w:rsid w:val="0080258B"/>
    <w:rsid w:val="00804141"/>
    <w:rsid w:val="00810E5A"/>
    <w:rsid w:val="00812E33"/>
    <w:rsid w:val="00815EF2"/>
    <w:rsid w:val="0082369F"/>
    <w:rsid w:val="00825105"/>
    <w:rsid w:val="008355F9"/>
    <w:rsid w:val="00835A06"/>
    <w:rsid w:val="00836BBE"/>
    <w:rsid w:val="00837A0F"/>
    <w:rsid w:val="008411F9"/>
    <w:rsid w:val="0084262B"/>
    <w:rsid w:val="00843102"/>
    <w:rsid w:val="008478A0"/>
    <w:rsid w:val="00851DB1"/>
    <w:rsid w:val="00852547"/>
    <w:rsid w:val="00854018"/>
    <w:rsid w:val="00855A73"/>
    <w:rsid w:val="00857578"/>
    <w:rsid w:val="008576BB"/>
    <w:rsid w:val="00862C3F"/>
    <w:rsid w:val="00863355"/>
    <w:rsid w:val="008634E8"/>
    <w:rsid w:val="00867651"/>
    <w:rsid w:val="00874682"/>
    <w:rsid w:val="00875A42"/>
    <w:rsid w:val="00876E0E"/>
    <w:rsid w:val="008771D2"/>
    <w:rsid w:val="00880DC2"/>
    <w:rsid w:val="008830A1"/>
    <w:rsid w:val="00884A57"/>
    <w:rsid w:val="00886592"/>
    <w:rsid w:val="00887B2F"/>
    <w:rsid w:val="00890F1A"/>
    <w:rsid w:val="00893BD0"/>
    <w:rsid w:val="0089489C"/>
    <w:rsid w:val="00895D84"/>
    <w:rsid w:val="008A09E3"/>
    <w:rsid w:val="008A3B6F"/>
    <w:rsid w:val="008B255E"/>
    <w:rsid w:val="008B6376"/>
    <w:rsid w:val="008C23FB"/>
    <w:rsid w:val="008C370C"/>
    <w:rsid w:val="008C4FE5"/>
    <w:rsid w:val="008C73C9"/>
    <w:rsid w:val="008D151C"/>
    <w:rsid w:val="008D2017"/>
    <w:rsid w:val="008D2C47"/>
    <w:rsid w:val="008D5D9E"/>
    <w:rsid w:val="008D7178"/>
    <w:rsid w:val="008E1993"/>
    <w:rsid w:val="008E3DF3"/>
    <w:rsid w:val="008E4EDE"/>
    <w:rsid w:val="008E5CA0"/>
    <w:rsid w:val="008E6AE5"/>
    <w:rsid w:val="008F243E"/>
    <w:rsid w:val="008F3266"/>
    <w:rsid w:val="008F4C4E"/>
    <w:rsid w:val="008F53D0"/>
    <w:rsid w:val="008F6C74"/>
    <w:rsid w:val="008F72A1"/>
    <w:rsid w:val="00901625"/>
    <w:rsid w:val="00902D2E"/>
    <w:rsid w:val="00902F7E"/>
    <w:rsid w:val="00903135"/>
    <w:rsid w:val="009078C5"/>
    <w:rsid w:val="009120FA"/>
    <w:rsid w:val="0091322F"/>
    <w:rsid w:val="009144BC"/>
    <w:rsid w:val="009202A6"/>
    <w:rsid w:val="00922CC8"/>
    <w:rsid w:val="00925826"/>
    <w:rsid w:val="00926287"/>
    <w:rsid w:val="009267DB"/>
    <w:rsid w:val="00926991"/>
    <w:rsid w:val="00927D8D"/>
    <w:rsid w:val="00932085"/>
    <w:rsid w:val="00932C94"/>
    <w:rsid w:val="0093531F"/>
    <w:rsid w:val="00941CA6"/>
    <w:rsid w:val="009420FD"/>
    <w:rsid w:val="009446E5"/>
    <w:rsid w:val="00944ADD"/>
    <w:rsid w:val="0094520F"/>
    <w:rsid w:val="00945714"/>
    <w:rsid w:val="00946191"/>
    <w:rsid w:val="00946E40"/>
    <w:rsid w:val="00946F50"/>
    <w:rsid w:val="009470CC"/>
    <w:rsid w:val="00950770"/>
    <w:rsid w:val="009570AC"/>
    <w:rsid w:val="0095728C"/>
    <w:rsid w:val="00960998"/>
    <w:rsid w:val="0096183A"/>
    <w:rsid w:val="00971664"/>
    <w:rsid w:val="0097253E"/>
    <w:rsid w:val="00980F52"/>
    <w:rsid w:val="00981E9D"/>
    <w:rsid w:val="00983342"/>
    <w:rsid w:val="00984740"/>
    <w:rsid w:val="00990E65"/>
    <w:rsid w:val="00993339"/>
    <w:rsid w:val="00995671"/>
    <w:rsid w:val="00995991"/>
    <w:rsid w:val="00995FEC"/>
    <w:rsid w:val="00997EEE"/>
    <w:rsid w:val="009A4970"/>
    <w:rsid w:val="009A5BCE"/>
    <w:rsid w:val="009A64A3"/>
    <w:rsid w:val="009B0391"/>
    <w:rsid w:val="009B09DB"/>
    <w:rsid w:val="009B128C"/>
    <w:rsid w:val="009B2399"/>
    <w:rsid w:val="009B28E2"/>
    <w:rsid w:val="009B30BC"/>
    <w:rsid w:val="009B3167"/>
    <w:rsid w:val="009B37DE"/>
    <w:rsid w:val="009C0ECE"/>
    <w:rsid w:val="009C44DE"/>
    <w:rsid w:val="009C54C7"/>
    <w:rsid w:val="009C5C62"/>
    <w:rsid w:val="009D4B66"/>
    <w:rsid w:val="009D62B0"/>
    <w:rsid w:val="009E3EF6"/>
    <w:rsid w:val="009E532E"/>
    <w:rsid w:val="009E65DB"/>
    <w:rsid w:val="009E6ECA"/>
    <w:rsid w:val="009E7CB6"/>
    <w:rsid w:val="009F0991"/>
    <w:rsid w:val="009F2269"/>
    <w:rsid w:val="009F2F57"/>
    <w:rsid w:val="009F4005"/>
    <w:rsid w:val="009F4E19"/>
    <w:rsid w:val="009F5E43"/>
    <w:rsid w:val="009F64D3"/>
    <w:rsid w:val="009F6697"/>
    <w:rsid w:val="00A06116"/>
    <w:rsid w:val="00A062A0"/>
    <w:rsid w:val="00A11A6F"/>
    <w:rsid w:val="00A12018"/>
    <w:rsid w:val="00A1269B"/>
    <w:rsid w:val="00A13EE5"/>
    <w:rsid w:val="00A14085"/>
    <w:rsid w:val="00A2035B"/>
    <w:rsid w:val="00A21EE8"/>
    <w:rsid w:val="00A21F84"/>
    <w:rsid w:val="00A23EDC"/>
    <w:rsid w:val="00A23F9B"/>
    <w:rsid w:val="00A242A1"/>
    <w:rsid w:val="00A26A36"/>
    <w:rsid w:val="00A330AE"/>
    <w:rsid w:val="00A33ACA"/>
    <w:rsid w:val="00A3490D"/>
    <w:rsid w:val="00A352D9"/>
    <w:rsid w:val="00A36C0F"/>
    <w:rsid w:val="00A4068F"/>
    <w:rsid w:val="00A42F81"/>
    <w:rsid w:val="00A4660F"/>
    <w:rsid w:val="00A46AE2"/>
    <w:rsid w:val="00A47962"/>
    <w:rsid w:val="00A5211D"/>
    <w:rsid w:val="00A52D72"/>
    <w:rsid w:val="00A551EF"/>
    <w:rsid w:val="00A55CFE"/>
    <w:rsid w:val="00A6144D"/>
    <w:rsid w:val="00A61565"/>
    <w:rsid w:val="00A65A96"/>
    <w:rsid w:val="00A73012"/>
    <w:rsid w:val="00A73144"/>
    <w:rsid w:val="00A73B6B"/>
    <w:rsid w:val="00A74ED2"/>
    <w:rsid w:val="00A7647F"/>
    <w:rsid w:val="00A7661B"/>
    <w:rsid w:val="00A770F7"/>
    <w:rsid w:val="00A77C53"/>
    <w:rsid w:val="00A817AE"/>
    <w:rsid w:val="00A831BA"/>
    <w:rsid w:val="00A84D54"/>
    <w:rsid w:val="00A84DA7"/>
    <w:rsid w:val="00A84DFC"/>
    <w:rsid w:val="00A957DF"/>
    <w:rsid w:val="00A96D82"/>
    <w:rsid w:val="00A9705F"/>
    <w:rsid w:val="00AA1540"/>
    <w:rsid w:val="00AA4840"/>
    <w:rsid w:val="00AA6FB4"/>
    <w:rsid w:val="00AB1437"/>
    <w:rsid w:val="00AB536E"/>
    <w:rsid w:val="00AB77A5"/>
    <w:rsid w:val="00AC1CAD"/>
    <w:rsid w:val="00AC42F8"/>
    <w:rsid w:val="00AC6456"/>
    <w:rsid w:val="00AD3C03"/>
    <w:rsid w:val="00AD63EC"/>
    <w:rsid w:val="00AD7B31"/>
    <w:rsid w:val="00AE1F5C"/>
    <w:rsid w:val="00AE2226"/>
    <w:rsid w:val="00AE4955"/>
    <w:rsid w:val="00AE530E"/>
    <w:rsid w:val="00AE70C7"/>
    <w:rsid w:val="00AE77B4"/>
    <w:rsid w:val="00AF046A"/>
    <w:rsid w:val="00AF1426"/>
    <w:rsid w:val="00AF18D5"/>
    <w:rsid w:val="00AF1D3F"/>
    <w:rsid w:val="00AF414F"/>
    <w:rsid w:val="00AF44EA"/>
    <w:rsid w:val="00B00E91"/>
    <w:rsid w:val="00B01243"/>
    <w:rsid w:val="00B02146"/>
    <w:rsid w:val="00B03426"/>
    <w:rsid w:val="00B036FD"/>
    <w:rsid w:val="00B03B5D"/>
    <w:rsid w:val="00B06899"/>
    <w:rsid w:val="00B0720D"/>
    <w:rsid w:val="00B1008C"/>
    <w:rsid w:val="00B112FE"/>
    <w:rsid w:val="00B11D3D"/>
    <w:rsid w:val="00B12F9A"/>
    <w:rsid w:val="00B13ACB"/>
    <w:rsid w:val="00B13CF4"/>
    <w:rsid w:val="00B1403F"/>
    <w:rsid w:val="00B14424"/>
    <w:rsid w:val="00B2099A"/>
    <w:rsid w:val="00B20F2A"/>
    <w:rsid w:val="00B21AD1"/>
    <w:rsid w:val="00B2233D"/>
    <w:rsid w:val="00B22E22"/>
    <w:rsid w:val="00B26949"/>
    <w:rsid w:val="00B31425"/>
    <w:rsid w:val="00B3216B"/>
    <w:rsid w:val="00B37CA2"/>
    <w:rsid w:val="00B412AA"/>
    <w:rsid w:val="00B41DF9"/>
    <w:rsid w:val="00B5179B"/>
    <w:rsid w:val="00B51865"/>
    <w:rsid w:val="00B5320F"/>
    <w:rsid w:val="00B5352E"/>
    <w:rsid w:val="00B53B4D"/>
    <w:rsid w:val="00B57A61"/>
    <w:rsid w:val="00B604F7"/>
    <w:rsid w:val="00B610B2"/>
    <w:rsid w:val="00B62661"/>
    <w:rsid w:val="00B62ED6"/>
    <w:rsid w:val="00B66E1D"/>
    <w:rsid w:val="00B70986"/>
    <w:rsid w:val="00B7337C"/>
    <w:rsid w:val="00B74BA6"/>
    <w:rsid w:val="00B771D1"/>
    <w:rsid w:val="00B80FA5"/>
    <w:rsid w:val="00B81F46"/>
    <w:rsid w:val="00B82686"/>
    <w:rsid w:val="00B834CC"/>
    <w:rsid w:val="00B841F0"/>
    <w:rsid w:val="00B8570C"/>
    <w:rsid w:val="00B85AFB"/>
    <w:rsid w:val="00B91E77"/>
    <w:rsid w:val="00B9475A"/>
    <w:rsid w:val="00B95F35"/>
    <w:rsid w:val="00BA2D0A"/>
    <w:rsid w:val="00BA32C2"/>
    <w:rsid w:val="00BA548D"/>
    <w:rsid w:val="00BA607F"/>
    <w:rsid w:val="00BA6362"/>
    <w:rsid w:val="00BA7D45"/>
    <w:rsid w:val="00BB148B"/>
    <w:rsid w:val="00BB2982"/>
    <w:rsid w:val="00BB401C"/>
    <w:rsid w:val="00BB51DC"/>
    <w:rsid w:val="00BC1320"/>
    <w:rsid w:val="00BC16B1"/>
    <w:rsid w:val="00BC4C97"/>
    <w:rsid w:val="00BC5A26"/>
    <w:rsid w:val="00BD222C"/>
    <w:rsid w:val="00BD275D"/>
    <w:rsid w:val="00BD5D4F"/>
    <w:rsid w:val="00BD7CDE"/>
    <w:rsid w:val="00BE0513"/>
    <w:rsid w:val="00BE2762"/>
    <w:rsid w:val="00BE78C0"/>
    <w:rsid w:val="00BF1D18"/>
    <w:rsid w:val="00BF3168"/>
    <w:rsid w:val="00BF478A"/>
    <w:rsid w:val="00BF4883"/>
    <w:rsid w:val="00BF6C23"/>
    <w:rsid w:val="00BF6D6D"/>
    <w:rsid w:val="00BF6FA9"/>
    <w:rsid w:val="00BF7784"/>
    <w:rsid w:val="00C0189D"/>
    <w:rsid w:val="00C04EE9"/>
    <w:rsid w:val="00C05E2D"/>
    <w:rsid w:val="00C12D4F"/>
    <w:rsid w:val="00C13748"/>
    <w:rsid w:val="00C14B67"/>
    <w:rsid w:val="00C16BAD"/>
    <w:rsid w:val="00C20826"/>
    <w:rsid w:val="00C224E3"/>
    <w:rsid w:val="00C235B1"/>
    <w:rsid w:val="00C26643"/>
    <w:rsid w:val="00C31CA5"/>
    <w:rsid w:val="00C3517B"/>
    <w:rsid w:val="00C37273"/>
    <w:rsid w:val="00C43F1F"/>
    <w:rsid w:val="00C461D3"/>
    <w:rsid w:val="00C55226"/>
    <w:rsid w:val="00C552B7"/>
    <w:rsid w:val="00C5768C"/>
    <w:rsid w:val="00C60295"/>
    <w:rsid w:val="00C60854"/>
    <w:rsid w:val="00C6209A"/>
    <w:rsid w:val="00C64744"/>
    <w:rsid w:val="00C672FD"/>
    <w:rsid w:val="00C73410"/>
    <w:rsid w:val="00C73607"/>
    <w:rsid w:val="00C74511"/>
    <w:rsid w:val="00C7616A"/>
    <w:rsid w:val="00C761BA"/>
    <w:rsid w:val="00C80ABE"/>
    <w:rsid w:val="00C81088"/>
    <w:rsid w:val="00C81198"/>
    <w:rsid w:val="00C879C2"/>
    <w:rsid w:val="00C90077"/>
    <w:rsid w:val="00C904E7"/>
    <w:rsid w:val="00C94883"/>
    <w:rsid w:val="00C97269"/>
    <w:rsid w:val="00C974C6"/>
    <w:rsid w:val="00CA3FD0"/>
    <w:rsid w:val="00CA4186"/>
    <w:rsid w:val="00CA4E01"/>
    <w:rsid w:val="00CA517A"/>
    <w:rsid w:val="00CA57A0"/>
    <w:rsid w:val="00CA67E7"/>
    <w:rsid w:val="00CB1EA0"/>
    <w:rsid w:val="00CB268D"/>
    <w:rsid w:val="00CB4A18"/>
    <w:rsid w:val="00CB61B8"/>
    <w:rsid w:val="00CB6209"/>
    <w:rsid w:val="00CB7D99"/>
    <w:rsid w:val="00CC0115"/>
    <w:rsid w:val="00CC06F1"/>
    <w:rsid w:val="00CC1426"/>
    <w:rsid w:val="00CC1EB5"/>
    <w:rsid w:val="00CC52C1"/>
    <w:rsid w:val="00CC649D"/>
    <w:rsid w:val="00CC7C9B"/>
    <w:rsid w:val="00CD0BA4"/>
    <w:rsid w:val="00CD3A76"/>
    <w:rsid w:val="00CD51DB"/>
    <w:rsid w:val="00CD5E6D"/>
    <w:rsid w:val="00CE06AD"/>
    <w:rsid w:val="00CE21F4"/>
    <w:rsid w:val="00CE4671"/>
    <w:rsid w:val="00CE54CB"/>
    <w:rsid w:val="00CE6651"/>
    <w:rsid w:val="00CE7A7A"/>
    <w:rsid w:val="00CF29DD"/>
    <w:rsid w:val="00CF31CE"/>
    <w:rsid w:val="00CF460F"/>
    <w:rsid w:val="00D000D4"/>
    <w:rsid w:val="00D011FC"/>
    <w:rsid w:val="00D01A86"/>
    <w:rsid w:val="00D02394"/>
    <w:rsid w:val="00D02B9A"/>
    <w:rsid w:val="00D031FE"/>
    <w:rsid w:val="00D03974"/>
    <w:rsid w:val="00D05CD1"/>
    <w:rsid w:val="00D066D8"/>
    <w:rsid w:val="00D119AE"/>
    <w:rsid w:val="00D221F5"/>
    <w:rsid w:val="00D22619"/>
    <w:rsid w:val="00D31171"/>
    <w:rsid w:val="00D31295"/>
    <w:rsid w:val="00D34E36"/>
    <w:rsid w:val="00D37140"/>
    <w:rsid w:val="00D41932"/>
    <w:rsid w:val="00D41AD2"/>
    <w:rsid w:val="00D42FA9"/>
    <w:rsid w:val="00D5041C"/>
    <w:rsid w:val="00D52168"/>
    <w:rsid w:val="00D619F8"/>
    <w:rsid w:val="00D6438D"/>
    <w:rsid w:val="00D645EA"/>
    <w:rsid w:val="00D64A9C"/>
    <w:rsid w:val="00D65058"/>
    <w:rsid w:val="00D65414"/>
    <w:rsid w:val="00D65897"/>
    <w:rsid w:val="00D65E6B"/>
    <w:rsid w:val="00D70858"/>
    <w:rsid w:val="00D71168"/>
    <w:rsid w:val="00D711E7"/>
    <w:rsid w:val="00D74164"/>
    <w:rsid w:val="00D748CB"/>
    <w:rsid w:val="00D756EE"/>
    <w:rsid w:val="00D75E48"/>
    <w:rsid w:val="00D76619"/>
    <w:rsid w:val="00D7767A"/>
    <w:rsid w:val="00D779C4"/>
    <w:rsid w:val="00D77EDC"/>
    <w:rsid w:val="00D802D6"/>
    <w:rsid w:val="00D8190C"/>
    <w:rsid w:val="00D8216C"/>
    <w:rsid w:val="00D90FE2"/>
    <w:rsid w:val="00D949BD"/>
    <w:rsid w:val="00D95683"/>
    <w:rsid w:val="00DA06E7"/>
    <w:rsid w:val="00DA0703"/>
    <w:rsid w:val="00DA0735"/>
    <w:rsid w:val="00DA28E6"/>
    <w:rsid w:val="00DA49ED"/>
    <w:rsid w:val="00DA622D"/>
    <w:rsid w:val="00DB2699"/>
    <w:rsid w:val="00DB2918"/>
    <w:rsid w:val="00DB3181"/>
    <w:rsid w:val="00DB3F32"/>
    <w:rsid w:val="00DB4076"/>
    <w:rsid w:val="00DB43A0"/>
    <w:rsid w:val="00DB7159"/>
    <w:rsid w:val="00DC07E5"/>
    <w:rsid w:val="00DC260A"/>
    <w:rsid w:val="00DC2BC9"/>
    <w:rsid w:val="00DC3388"/>
    <w:rsid w:val="00DC4720"/>
    <w:rsid w:val="00DC51C9"/>
    <w:rsid w:val="00DC64A0"/>
    <w:rsid w:val="00DC76C5"/>
    <w:rsid w:val="00DD0499"/>
    <w:rsid w:val="00DD3D2C"/>
    <w:rsid w:val="00DD560B"/>
    <w:rsid w:val="00DD730E"/>
    <w:rsid w:val="00DE2361"/>
    <w:rsid w:val="00DE2690"/>
    <w:rsid w:val="00DE2B5C"/>
    <w:rsid w:val="00DE5F4B"/>
    <w:rsid w:val="00DE7760"/>
    <w:rsid w:val="00DF10BC"/>
    <w:rsid w:val="00E00B53"/>
    <w:rsid w:val="00E0290C"/>
    <w:rsid w:val="00E030B4"/>
    <w:rsid w:val="00E0713F"/>
    <w:rsid w:val="00E11969"/>
    <w:rsid w:val="00E132EE"/>
    <w:rsid w:val="00E14B6F"/>
    <w:rsid w:val="00E20D4C"/>
    <w:rsid w:val="00E226FC"/>
    <w:rsid w:val="00E255B2"/>
    <w:rsid w:val="00E25D82"/>
    <w:rsid w:val="00E2665A"/>
    <w:rsid w:val="00E3013F"/>
    <w:rsid w:val="00E306F9"/>
    <w:rsid w:val="00E311DD"/>
    <w:rsid w:val="00E32609"/>
    <w:rsid w:val="00E33EEB"/>
    <w:rsid w:val="00E361FC"/>
    <w:rsid w:val="00E4012E"/>
    <w:rsid w:val="00E41522"/>
    <w:rsid w:val="00E419C0"/>
    <w:rsid w:val="00E4528D"/>
    <w:rsid w:val="00E45D56"/>
    <w:rsid w:val="00E4732A"/>
    <w:rsid w:val="00E50347"/>
    <w:rsid w:val="00E5361A"/>
    <w:rsid w:val="00E53B1D"/>
    <w:rsid w:val="00E54F01"/>
    <w:rsid w:val="00E55895"/>
    <w:rsid w:val="00E56C21"/>
    <w:rsid w:val="00E601BE"/>
    <w:rsid w:val="00E60535"/>
    <w:rsid w:val="00E62C27"/>
    <w:rsid w:val="00E648AE"/>
    <w:rsid w:val="00E66C42"/>
    <w:rsid w:val="00E67E60"/>
    <w:rsid w:val="00E71EC9"/>
    <w:rsid w:val="00E726A7"/>
    <w:rsid w:val="00E77B18"/>
    <w:rsid w:val="00E83FB8"/>
    <w:rsid w:val="00E856E6"/>
    <w:rsid w:val="00E948F0"/>
    <w:rsid w:val="00EA30E3"/>
    <w:rsid w:val="00EA548D"/>
    <w:rsid w:val="00EA7958"/>
    <w:rsid w:val="00EB0349"/>
    <w:rsid w:val="00EB29BD"/>
    <w:rsid w:val="00EB2D09"/>
    <w:rsid w:val="00EB44B9"/>
    <w:rsid w:val="00EB5CDD"/>
    <w:rsid w:val="00EB68C4"/>
    <w:rsid w:val="00EC175B"/>
    <w:rsid w:val="00EC19F0"/>
    <w:rsid w:val="00EC333D"/>
    <w:rsid w:val="00EC3B28"/>
    <w:rsid w:val="00EC3C7F"/>
    <w:rsid w:val="00EC401D"/>
    <w:rsid w:val="00EC7C66"/>
    <w:rsid w:val="00ED2EAB"/>
    <w:rsid w:val="00ED5432"/>
    <w:rsid w:val="00ED6A54"/>
    <w:rsid w:val="00EE1D5C"/>
    <w:rsid w:val="00EE285C"/>
    <w:rsid w:val="00EE35E2"/>
    <w:rsid w:val="00EE58F7"/>
    <w:rsid w:val="00EE7242"/>
    <w:rsid w:val="00EF0A72"/>
    <w:rsid w:val="00EF3DE8"/>
    <w:rsid w:val="00EF4AF5"/>
    <w:rsid w:val="00EF5BA5"/>
    <w:rsid w:val="00EF7F8C"/>
    <w:rsid w:val="00F00D62"/>
    <w:rsid w:val="00F01A37"/>
    <w:rsid w:val="00F01FDF"/>
    <w:rsid w:val="00F03928"/>
    <w:rsid w:val="00F03FED"/>
    <w:rsid w:val="00F068BE"/>
    <w:rsid w:val="00F07810"/>
    <w:rsid w:val="00F07B80"/>
    <w:rsid w:val="00F10326"/>
    <w:rsid w:val="00F12A08"/>
    <w:rsid w:val="00F14AC1"/>
    <w:rsid w:val="00F162C1"/>
    <w:rsid w:val="00F1761A"/>
    <w:rsid w:val="00F178F2"/>
    <w:rsid w:val="00F17CB4"/>
    <w:rsid w:val="00F17CD7"/>
    <w:rsid w:val="00F20113"/>
    <w:rsid w:val="00F2241D"/>
    <w:rsid w:val="00F22AA1"/>
    <w:rsid w:val="00F22E99"/>
    <w:rsid w:val="00F2484A"/>
    <w:rsid w:val="00F26DB1"/>
    <w:rsid w:val="00F272F4"/>
    <w:rsid w:val="00F30D7C"/>
    <w:rsid w:val="00F31E72"/>
    <w:rsid w:val="00F32D53"/>
    <w:rsid w:val="00F33AB2"/>
    <w:rsid w:val="00F37540"/>
    <w:rsid w:val="00F37DED"/>
    <w:rsid w:val="00F40409"/>
    <w:rsid w:val="00F41E0F"/>
    <w:rsid w:val="00F42B04"/>
    <w:rsid w:val="00F43062"/>
    <w:rsid w:val="00F444BF"/>
    <w:rsid w:val="00F5178A"/>
    <w:rsid w:val="00F52E95"/>
    <w:rsid w:val="00F54E72"/>
    <w:rsid w:val="00F565AB"/>
    <w:rsid w:val="00F56FB2"/>
    <w:rsid w:val="00F57218"/>
    <w:rsid w:val="00F60175"/>
    <w:rsid w:val="00F62732"/>
    <w:rsid w:val="00F63F20"/>
    <w:rsid w:val="00F64A92"/>
    <w:rsid w:val="00F65D7D"/>
    <w:rsid w:val="00F70DFB"/>
    <w:rsid w:val="00F7361B"/>
    <w:rsid w:val="00F74284"/>
    <w:rsid w:val="00F75526"/>
    <w:rsid w:val="00F7586C"/>
    <w:rsid w:val="00F76C70"/>
    <w:rsid w:val="00F76FBD"/>
    <w:rsid w:val="00F77DCC"/>
    <w:rsid w:val="00F8018F"/>
    <w:rsid w:val="00F84F58"/>
    <w:rsid w:val="00F855D3"/>
    <w:rsid w:val="00F861F8"/>
    <w:rsid w:val="00F876E1"/>
    <w:rsid w:val="00F87D84"/>
    <w:rsid w:val="00F87DB7"/>
    <w:rsid w:val="00F90BBD"/>
    <w:rsid w:val="00F90E4E"/>
    <w:rsid w:val="00F92A7E"/>
    <w:rsid w:val="00F93587"/>
    <w:rsid w:val="00F95858"/>
    <w:rsid w:val="00FA0509"/>
    <w:rsid w:val="00FA21FE"/>
    <w:rsid w:val="00FA2873"/>
    <w:rsid w:val="00FA49DB"/>
    <w:rsid w:val="00FA539D"/>
    <w:rsid w:val="00FA7DAA"/>
    <w:rsid w:val="00FB0C51"/>
    <w:rsid w:val="00FB2056"/>
    <w:rsid w:val="00FC031A"/>
    <w:rsid w:val="00FC1E12"/>
    <w:rsid w:val="00FC1F09"/>
    <w:rsid w:val="00FC2A87"/>
    <w:rsid w:val="00FC3331"/>
    <w:rsid w:val="00FC5894"/>
    <w:rsid w:val="00FD015D"/>
    <w:rsid w:val="00FD0690"/>
    <w:rsid w:val="00FD2D02"/>
    <w:rsid w:val="00FD3010"/>
    <w:rsid w:val="00FD5ADC"/>
    <w:rsid w:val="00FE00B6"/>
    <w:rsid w:val="00FE0B13"/>
    <w:rsid w:val="00FE0EEE"/>
    <w:rsid w:val="00FE22A9"/>
    <w:rsid w:val="00FE3231"/>
    <w:rsid w:val="00FF2118"/>
    <w:rsid w:val="00FF2138"/>
    <w:rsid w:val="00FF4533"/>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B14424"/>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shd w:val="clear" w:color="auto" w:fill="00549E" w:themeFill="text2"/>
      <w:spacing w:before="60" w:after="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unhideWhenUsed/>
    <w:qFormat/>
    <w:rsid w:val="006D6154"/>
    <w:pPr>
      <w:keepNext/>
      <w:keepLines/>
      <w:spacing w:before="40" w:after="0" w:line="259" w:lineRule="auto"/>
      <w:ind w:left="1296" w:hanging="360"/>
      <w:outlineLvl w:val="6"/>
    </w:pPr>
    <w:rPr>
      <w:rFonts w:eastAsiaTheme="majorEastAsia" w:cstheme="majorBidi"/>
      <w:iCs/>
      <w:sz w:val="22"/>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941CA6"/>
    <w:pPr>
      <w:numPr>
        <w:numId w:val="5"/>
      </w:numPr>
      <w:tabs>
        <w:tab w:val="clear" w:pos="720"/>
        <w:tab w:val="num" w:pos="360"/>
      </w:tabs>
      <w:spacing w:before="40" w:after="40"/>
      <w:ind w:left="360"/>
    </w:pPr>
    <w:rPr>
      <w:szCs w:val="22"/>
    </w:rPr>
  </w:style>
  <w:style w:type="paragraph" w:customStyle="1" w:styleId="HSAGTableBullet2">
    <w:name w:val="HSAG Table Bullet 2"/>
    <w:basedOn w:val="HSAGBullets2"/>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3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numPr>
        <w:numId w:val="6"/>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before="0" w:after="0"/>
      <w:ind w:left="72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rsid w:val="00B13ACB"/>
    <w:pPr>
      <w:numPr>
        <w:numId w:val="9"/>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tabs>
        <w:tab w:val="num" w:pos="360"/>
      </w:tabs>
      <w:spacing w:before="60" w:after="60"/>
      <w:ind w:left="0" w:firstLine="0"/>
    </w:pPr>
    <w:rPr>
      <w:rFonts w:eastAsia="Times New Roman" w:cs="Times New Roman"/>
      <w:sz w:val="22"/>
    </w:rPr>
  </w:style>
  <w:style w:type="character" w:customStyle="1" w:styleId="Heading7Char">
    <w:name w:val="Heading 7 Char"/>
    <w:basedOn w:val="DefaultParagraphFont"/>
    <w:link w:val="Heading7"/>
    <w:uiPriority w:val="9"/>
    <w:rsid w:val="006D6154"/>
    <w:rPr>
      <w:rFonts w:ascii="Times New Roman" w:eastAsiaTheme="majorEastAsia" w:hAnsi="Times New Roman" w:cstheme="majorBidi"/>
      <w:i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FA49DB"/>
    <w:pPr>
      <w:ind w:left="600"/>
    </w:pPr>
    <w:rPr>
      <w:i/>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styleId="ListNumber2">
    <w:name w:val="List Number 2"/>
    <w:basedOn w:val="Normal"/>
    <w:link w:val="ListNumber2Char"/>
    <w:rsid w:val="00836BBE"/>
    <w:pPr>
      <w:tabs>
        <w:tab w:val="num" w:pos="720"/>
      </w:tabs>
      <w:spacing w:before="0" w:after="0"/>
      <w:ind w:left="720" w:hanging="360"/>
    </w:pPr>
    <w:rPr>
      <w:rFonts w:eastAsia="Times New Roman" w:cs="Times New Roman"/>
      <w:szCs w:val="24"/>
      <w:lang w:val="x-none" w:eastAsia="x-none"/>
    </w:rPr>
  </w:style>
  <w:style w:type="character" w:customStyle="1" w:styleId="ListNumber2Char">
    <w:name w:val="List Number 2 Char"/>
    <w:link w:val="ListNumber2"/>
    <w:rsid w:val="00836BBE"/>
    <w:rPr>
      <w:rFonts w:ascii="Times New Roman" w:eastAsia="Times New Roman" w:hAnsi="Times New Roman" w:cs="Times New Roman"/>
      <w:sz w:val="24"/>
      <w:szCs w:val="24"/>
      <w:lang w:val="x-none" w:eastAsia="x-none"/>
    </w:rPr>
  </w:style>
  <w:style w:type="paragraph" w:customStyle="1" w:styleId="psection-2">
    <w:name w:val="psection-2"/>
    <w:basedOn w:val="Normal"/>
    <w:rsid w:val="00D949BD"/>
    <w:pPr>
      <w:spacing w:before="100" w:beforeAutospacing="1" w:after="100" w:afterAutospacing="1"/>
      <w:ind w:left="240"/>
    </w:pPr>
    <w:rPr>
      <w:rFonts w:eastAsia="Times New Roman" w:cs="Times New Roman"/>
      <w:szCs w:val="24"/>
    </w:rPr>
  </w:style>
  <w:style w:type="character" w:styleId="PlaceholderText">
    <w:name w:val="Placeholder Text"/>
    <w:basedOn w:val="DefaultParagraphFont"/>
    <w:uiPriority w:val="99"/>
    <w:semiHidden/>
    <w:rsid w:val="00216F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70018A19C4F19864EF33A76A9449B"/>
        <w:category>
          <w:name w:val="General"/>
          <w:gallery w:val="placeholder"/>
        </w:category>
        <w:types>
          <w:type w:val="bbPlcHdr"/>
        </w:types>
        <w:behaviors>
          <w:behavior w:val="content"/>
        </w:behaviors>
        <w:guid w:val="{18DD3916-9B93-43A4-A46D-8F66E4B9864D}"/>
      </w:docPartPr>
      <w:docPartBody>
        <w:p w:rsidR="00AB3BA4" w:rsidRDefault="0079394C" w:rsidP="0079394C">
          <w:pPr>
            <w:pStyle w:val="7DA70018A19C4F19864EF33A76A9449B1"/>
          </w:pPr>
          <w:r w:rsidRPr="003B6F3C">
            <w:rPr>
              <w:rStyle w:val="PlaceholderText"/>
            </w:rPr>
            <w:t>Choose an item.</w:t>
          </w:r>
        </w:p>
      </w:docPartBody>
    </w:docPart>
    <w:docPart>
      <w:docPartPr>
        <w:name w:val="1BC69C3F7C34462CB26552E933FBD678"/>
        <w:category>
          <w:name w:val="General"/>
          <w:gallery w:val="placeholder"/>
        </w:category>
        <w:types>
          <w:type w:val="bbPlcHdr"/>
        </w:types>
        <w:behaviors>
          <w:behavior w:val="content"/>
        </w:behaviors>
        <w:guid w:val="{26EEBA86-5E40-4C0D-8A67-3BBA98D9416C}"/>
      </w:docPartPr>
      <w:docPartBody>
        <w:p w:rsidR="00257757" w:rsidRDefault="00257757" w:rsidP="00257757">
          <w:pPr>
            <w:pStyle w:val="1BC69C3F7C34462CB26552E933FBD678"/>
          </w:pPr>
          <w:r w:rsidRPr="003B6F3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257757"/>
    <w:rsid w:val="00666490"/>
    <w:rsid w:val="0079394C"/>
    <w:rsid w:val="00AB3BA4"/>
    <w:rsid w:val="00CA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757"/>
    <w:rPr>
      <w:color w:val="808080"/>
    </w:rPr>
  </w:style>
  <w:style w:type="paragraph" w:customStyle="1" w:styleId="7DA70018A19C4F19864EF33A76A9449B1">
    <w:name w:val="7DA70018A19C4F19864EF33A76A9449B1"/>
    <w:rsid w:val="0079394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1BC69C3F7C34462CB26552E933FBD678">
    <w:name w:val="1BC69C3F7C34462CB26552E933FBD678"/>
    <w:rsid w:val="0025775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2025-02-12T08:00:00+00:00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https://www.oregon.gov/oha/HSD/OHP/CCO/CMR_Standard%20XII—Quality%20Assessment%20and%20Performance%20Improvement_2025.docx</Url>
      <Description>CMR_Standard XII—Quality Assessment and Performance Improvement_2025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3A00C9FE-FF16-45D6-92F1-7B7D1F32042C}"/>
</file>

<file path=customXml/itemProps3.xml><?xml version="1.0" encoding="utf-8"?>
<ds:datastoreItem xmlns:ds="http://schemas.openxmlformats.org/officeDocument/2006/customXml" ds:itemID="{57E1CA31-60BB-4418-A381-9255F425E64A}"/>
</file>

<file path=customXml/itemProps4.xml><?xml version="1.0" encoding="utf-8"?>
<ds:datastoreItem xmlns:ds="http://schemas.openxmlformats.org/officeDocument/2006/customXml" ds:itemID="{35DA3061-D50A-461A-89E9-B4043B76301E}"/>
</file>

<file path=docProps/app.xml><?xml version="1.0" encoding="utf-8"?>
<Properties xmlns="http://schemas.openxmlformats.org/officeDocument/2006/extended-properties" xmlns:vt="http://schemas.openxmlformats.org/officeDocument/2006/docPropsVTypes">
  <Template>Normal</Template>
  <TotalTime>1083</TotalTime>
  <Pages>5</Pages>
  <Words>925</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2025 CCO Compliance Monitoring Review</vt:lpstr>
    </vt:vector>
  </TitlesOfParts>
  <Manager>Tmiller@hsag.com</Manager>
  <Company>Oregon</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CMR_Standard XII—Quality Assessment and Performance Improvement_2025</dc:title>
  <dc:subject>Oregon Health Authority</dc:subject>
  <dc:creator>bstewart@hsag.com</dc:creator>
  <cp:keywords>&lt;CCO&gt;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Merilee Carter</cp:lastModifiedBy>
  <cp:revision>15</cp:revision>
  <cp:lastPrinted>2014-07-03T16:53:00Z</cp:lastPrinted>
  <dcterms:created xsi:type="dcterms:W3CDTF">2025-01-14T12:54:00Z</dcterms:created>
  <dcterms:modified xsi:type="dcterms:W3CDTF">2025-01-29T00:28:00Z</dcterms:modified>
  <cp:category>&lt;CCO&gt;_OR2025_CCO_CMR_EvalTool_T1_0125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GrammarlyDocumentId">
    <vt:lpwstr>f0684e551dfe07a74c90dbbddb77fdffde7facd424cdd10abe9a994d3fab1915</vt:lpwstr>
  </property>
  <property fmtid="{D5CDD505-2E9C-101B-9397-08002B2CF9AE}" pid="6" name="ContentTypeId">
    <vt:lpwstr>0x0101004FC3AD29F9C3BA4492D9BCF45F3C0A51</vt:lpwstr>
  </property>
  <property fmtid="{D5CDD505-2E9C-101B-9397-08002B2CF9AE}" pid="7" name="WorkflowChangePath">
    <vt:lpwstr>dff07ce7-2fe0-44e5-9d33-eb01c4950507,4;</vt:lpwstr>
  </property>
</Properties>
</file>