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8" w:tblpY="-158"/>
        <w:tblW w:w="10918" w:type="dxa"/>
        <w:tblBorders>
          <w:bottom w:val="single" w:sz="8" w:space="0" w:color="F79646"/>
          <w:insideH w:val="single" w:sz="4" w:space="0" w:color="F79646"/>
        </w:tblBorders>
        <w:tblLook w:val="04A0" w:firstRow="1" w:lastRow="0" w:firstColumn="1" w:lastColumn="0" w:noHBand="0" w:noVBand="1"/>
      </w:tblPr>
      <w:tblGrid>
        <w:gridCol w:w="7668"/>
        <w:gridCol w:w="3250"/>
      </w:tblGrid>
      <w:tr w:rsidR="00750132" w:rsidRPr="00750132" w14:paraId="5DED6643" w14:textId="77777777" w:rsidTr="008C160E">
        <w:trPr>
          <w:trHeight w:val="865"/>
        </w:trPr>
        <w:tc>
          <w:tcPr>
            <w:tcW w:w="7668" w:type="dxa"/>
            <w:tcBorders>
              <w:top w:val="nil"/>
              <w:bottom w:val="single" w:sz="12" w:space="0" w:color="F79646"/>
            </w:tcBorders>
            <w:vAlign w:val="bottom"/>
          </w:tcPr>
          <w:p w14:paraId="75D2E9B7" w14:textId="280E6C3D" w:rsidR="00035B07" w:rsidRPr="008C160E" w:rsidRDefault="00710552" w:rsidP="008C160E">
            <w:pPr>
              <w:spacing w:after="60"/>
              <w:ind w:left="-90"/>
              <w:rPr>
                <w:rFonts w:ascii="Arial" w:hAnsi="Arial" w:cs="Arial"/>
                <w:color w:val="005595"/>
                <w:sz w:val="24"/>
              </w:rPr>
            </w:pPr>
            <w:bookmarkStart w:id="0" w:name="Text6"/>
            <w:r>
              <w:rPr>
                <w:rFonts w:ascii="Arial" w:hAnsi="Arial" w:cs="Arial"/>
                <w:color w:val="005595"/>
                <w:sz w:val="24"/>
              </w:rPr>
              <w:t>OHA MEDICAID</w:t>
            </w:r>
            <w:r w:rsidR="00F50B13" w:rsidRPr="008C160E">
              <w:rPr>
                <w:rFonts w:ascii="Arial" w:hAnsi="Arial" w:cs="Arial"/>
                <w:color w:val="005595"/>
                <w:sz w:val="24"/>
              </w:rPr>
              <w:t xml:space="preserve"> DIVISION</w:t>
            </w:r>
          </w:p>
          <w:bookmarkEnd w:id="0"/>
          <w:p w14:paraId="375D03E6" w14:textId="77777777" w:rsidR="00750132" w:rsidRPr="00750132" w:rsidRDefault="00750132" w:rsidP="00FD5E65">
            <w:pPr>
              <w:spacing w:after="60"/>
              <w:rPr>
                <w:rFonts w:ascii="Arial" w:hAnsi="Arial" w:cs="Arial"/>
              </w:rPr>
            </w:pPr>
          </w:p>
        </w:tc>
        <w:tc>
          <w:tcPr>
            <w:tcW w:w="3250" w:type="dxa"/>
            <w:vMerge w:val="restart"/>
            <w:tcBorders>
              <w:top w:val="nil"/>
            </w:tcBorders>
            <w:vAlign w:val="center"/>
          </w:tcPr>
          <w:p w14:paraId="066B501F" w14:textId="77777777" w:rsidR="00750132" w:rsidRPr="00750132" w:rsidRDefault="007A78BF" w:rsidP="00F47162">
            <w:pPr>
              <w:rPr>
                <w:rFonts w:ascii="Arial" w:hAnsi="Arial" w:cs="Arial"/>
              </w:rPr>
            </w:pPr>
            <w:r w:rsidRPr="00750132">
              <w:rPr>
                <w:rFonts w:ascii="Arial" w:hAnsi="Arial" w:cs="Arial"/>
                <w:noProof/>
                <w:color w:val="2B579A"/>
                <w:shd w:val="clear" w:color="auto" w:fill="E6E6E6"/>
              </w:rPr>
              <w:drawing>
                <wp:inline distT="0" distB="0" distL="0" distR="0" wp14:anchorId="3311B240" wp14:editId="48F0037D">
                  <wp:extent cx="1924050" cy="723900"/>
                  <wp:effectExtent l="0" t="0" r="0" b="0"/>
                  <wp:docPr id="1" name="Picture 1" descr="oregon_health_authority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_health_authority_fi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4050" cy="723900"/>
                          </a:xfrm>
                          <a:prstGeom prst="rect">
                            <a:avLst/>
                          </a:prstGeom>
                          <a:noFill/>
                          <a:ln>
                            <a:noFill/>
                          </a:ln>
                        </pic:spPr>
                      </pic:pic>
                    </a:graphicData>
                  </a:graphic>
                </wp:inline>
              </w:drawing>
            </w:r>
          </w:p>
        </w:tc>
      </w:tr>
      <w:tr w:rsidR="00750132" w:rsidRPr="00750132" w14:paraId="68949899" w14:textId="77777777" w:rsidTr="00F47162">
        <w:trPr>
          <w:trHeight w:val="285"/>
        </w:trPr>
        <w:tc>
          <w:tcPr>
            <w:tcW w:w="7668" w:type="dxa"/>
            <w:tcBorders>
              <w:top w:val="single" w:sz="12" w:space="0" w:color="F79646"/>
              <w:bottom w:val="nil"/>
            </w:tcBorders>
          </w:tcPr>
          <w:p w14:paraId="77791099" w14:textId="77777777" w:rsidR="00750132" w:rsidRPr="00750132" w:rsidRDefault="00750132" w:rsidP="00F47162">
            <w:pPr>
              <w:rPr>
                <w:rFonts w:ascii="Arial" w:hAnsi="Arial" w:cs="Arial"/>
              </w:rPr>
            </w:pPr>
          </w:p>
        </w:tc>
        <w:tc>
          <w:tcPr>
            <w:tcW w:w="3250" w:type="dxa"/>
            <w:vMerge/>
            <w:tcBorders>
              <w:bottom w:val="nil"/>
            </w:tcBorders>
            <w:vAlign w:val="bottom"/>
          </w:tcPr>
          <w:p w14:paraId="7A7EABE0" w14:textId="77777777" w:rsidR="00750132" w:rsidRPr="00750132" w:rsidRDefault="00750132" w:rsidP="00F47162">
            <w:pPr>
              <w:jc w:val="right"/>
              <w:rPr>
                <w:rFonts w:ascii="Arial" w:hAnsi="Arial" w:cs="Arial"/>
              </w:rPr>
            </w:pPr>
          </w:p>
        </w:tc>
      </w:tr>
    </w:tbl>
    <w:p w14:paraId="7A24B3A2" w14:textId="77777777" w:rsidR="0030386B" w:rsidRPr="009B00AF" w:rsidRDefault="0030386B" w:rsidP="0040022B">
      <w:pPr>
        <w:pStyle w:val="Heading1"/>
        <w:rPr>
          <w:b w:val="0"/>
          <w:bCs w:val="0"/>
          <w:sz w:val="24"/>
          <w:szCs w:val="24"/>
        </w:rPr>
      </w:pPr>
      <w:bookmarkStart w:id="1" w:name="_Hlk54779688"/>
    </w:p>
    <w:p w14:paraId="5A14E155" w14:textId="77777777" w:rsidR="0051657A" w:rsidRDefault="006850A2" w:rsidP="009B00AF">
      <w:pPr>
        <w:pStyle w:val="Heading1"/>
        <w:spacing w:line="360" w:lineRule="auto"/>
        <w:rPr>
          <w:color w:val="1F4E79" w:themeColor="accent1" w:themeShade="80"/>
          <w:sz w:val="32"/>
          <w:szCs w:val="32"/>
        </w:rPr>
      </w:pPr>
      <w:r w:rsidRPr="009B00AF">
        <w:rPr>
          <w:color w:val="1F4E79" w:themeColor="accent1" w:themeShade="80"/>
          <w:sz w:val="32"/>
          <w:szCs w:val="32"/>
        </w:rPr>
        <w:t>R</w:t>
      </w:r>
      <w:bookmarkEnd w:id="1"/>
      <w:r w:rsidRPr="009B00AF">
        <w:rPr>
          <w:color w:val="1F4E79" w:themeColor="accent1" w:themeShade="80"/>
          <w:sz w:val="32"/>
          <w:szCs w:val="32"/>
        </w:rPr>
        <w:t xml:space="preserve">eminder </w:t>
      </w:r>
      <w:r w:rsidR="009114CD">
        <w:rPr>
          <w:color w:val="1F4E79" w:themeColor="accent1" w:themeShade="80"/>
          <w:sz w:val="32"/>
          <w:szCs w:val="32"/>
        </w:rPr>
        <w:t>&amp; Update for</w:t>
      </w:r>
      <w:r w:rsidRPr="009B00AF">
        <w:rPr>
          <w:color w:val="1F4E79" w:themeColor="accent1" w:themeShade="80"/>
          <w:sz w:val="32"/>
          <w:szCs w:val="32"/>
        </w:rPr>
        <w:t xml:space="preserve"> </w:t>
      </w:r>
      <w:bookmarkStart w:id="2" w:name="_Hlk54875030"/>
      <w:r w:rsidR="00710552">
        <w:rPr>
          <w:color w:val="1F4E79" w:themeColor="accent1" w:themeShade="80"/>
          <w:sz w:val="32"/>
          <w:szCs w:val="32"/>
        </w:rPr>
        <w:t>CY2025 CCO-LTSS MOU</w:t>
      </w:r>
      <w:r w:rsidR="009114CD">
        <w:rPr>
          <w:color w:val="1F4E79" w:themeColor="accent1" w:themeShade="80"/>
          <w:sz w:val="32"/>
          <w:szCs w:val="32"/>
        </w:rPr>
        <w:t xml:space="preserve"> CCO Deliverable</w:t>
      </w:r>
    </w:p>
    <w:bookmarkEnd w:id="2"/>
    <w:p w14:paraId="02053DF5" w14:textId="63D15020" w:rsidR="002C03A5" w:rsidRDefault="0051657A" w:rsidP="002C03A5">
      <w:pPr>
        <w:pStyle w:val="FactText1"/>
      </w:pPr>
      <w:r>
        <w:t>The updated MOU period aligns with the CCO 2.0 contract extension through 2026 set by the Oregon legislature. Any updates for CY2026 will follow the normal contract deliverable date.</w:t>
      </w:r>
      <w:r w:rsidR="002C03A5">
        <w:t xml:space="preserve"> </w:t>
      </w:r>
      <w:r w:rsidR="004576C6">
        <w:t xml:space="preserve">We are extending the due date for CY2025 CCO-LTSS MOUs. </w:t>
      </w:r>
      <w:r w:rsidR="002C03A5">
        <w:t xml:space="preserve"> CCOs should be aligning MOUs with feedback from CCO-LTSS MOU reporting and updated CCO care coordination OARS </w:t>
      </w:r>
      <w:r w:rsidR="077B27FA">
        <w:t>(</w:t>
      </w:r>
      <w:r w:rsidR="077B27FA" w:rsidRPr="313AB35A">
        <w:t xml:space="preserve">OAR 410-141-3860, 410-141-3865, 410-141-3870, 410-141-3875, </w:t>
      </w:r>
      <w:r w:rsidR="6AA3BB05" w:rsidRPr="313AB35A">
        <w:t>411-004-0020</w:t>
      </w:r>
      <w:r w:rsidR="23B583F8" w:rsidRPr="313AB35A">
        <w:t>) r</w:t>
      </w:r>
      <w:r w:rsidR="002C03A5">
        <w:t>eleased in 2024.   Technical assistance is available for any questions.</w:t>
      </w:r>
    </w:p>
    <w:p w14:paraId="27AF18E6" w14:textId="1E26914F" w:rsidR="0040022B" w:rsidRPr="0051657A" w:rsidRDefault="0040022B" w:rsidP="009B00AF">
      <w:pPr>
        <w:pStyle w:val="Heading1"/>
        <w:spacing w:line="360" w:lineRule="auto"/>
        <w:rPr>
          <w:b w:val="0"/>
          <w:bCs w:val="0"/>
          <w:color w:val="auto"/>
          <w:sz w:val="24"/>
          <w:szCs w:val="24"/>
        </w:rPr>
      </w:pPr>
    </w:p>
    <w:p w14:paraId="4B831DA6" w14:textId="2C2026BD" w:rsidR="00307802" w:rsidRDefault="00710552" w:rsidP="00D10358">
      <w:pPr>
        <w:pStyle w:val="FactText1"/>
        <w:numPr>
          <w:ilvl w:val="0"/>
          <w:numId w:val="31"/>
        </w:numPr>
        <w:spacing w:after="60"/>
        <w:ind w:left="806"/>
      </w:pPr>
      <w:r>
        <w:t>CCO-LTSS MOUs must all be updated through meetings with your local APD/AAA districts.</w:t>
      </w:r>
      <w:r w:rsidR="009F72EB">
        <w:t xml:space="preserve"> </w:t>
      </w:r>
      <w:r w:rsidR="002C03A5">
        <w:t xml:space="preserve"> Please reach out to schedule conversations to hear your local partner concerns or ideas for improvement. </w:t>
      </w:r>
    </w:p>
    <w:p w14:paraId="00155355" w14:textId="65286EB8" w:rsidR="00FB50FF" w:rsidRPr="0051657A" w:rsidRDefault="0051657A" w:rsidP="00D10358">
      <w:pPr>
        <w:pStyle w:val="FactText1"/>
        <w:numPr>
          <w:ilvl w:val="0"/>
          <w:numId w:val="31"/>
        </w:numPr>
        <w:spacing w:after="120"/>
        <w:rPr>
          <w:b/>
          <w:bCs/>
        </w:rPr>
      </w:pPr>
      <w:r w:rsidRPr="1B405B20">
        <w:rPr>
          <w:b/>
          <w:bCs/>
        </w:rPr>
        <w:t xml:space="preserve">For CY2025 CCO-LTSS MOUs we are extending the due date to </w:t>
      </w:r>
      <w:r w:rsidR="23312349" w:rsidRPr="1B405B20">
        <w:rPr>
          <w:b/>
          <w:bCs/>
        </w:rPr>
        <w:t>March 31</w:t>
      </w:r>
      <w:r w:rsidRPr="1B405B20">
        <w:rPr>
          <w:b/>
          <w:bCs/>
        </w:rPr>
        <w:t xml:space="preserve">, </w:t>
      </w:r>
      <w:r w:rsidR="0005233F" w:rsidRPr="1B405B20">
        <w:rPr>
          <w:b/>
          <w:bCs/>
        </w:rPr>
        <w:t>2025,</w:t>
      </w:r>
      <w:r w:rsidRPr="1B405B20">
        <w:rPr>
          <w:b/>
          <w:bCs/>
        </w:rPr>
        <w:t xml:space="preserve"> to</w:t>
      </w:r>
      <w:r w:rsidR="00710552" w:rsidRPr="1B405B20">
        <w:rPr>
          <w:b/>
          <w:bCs/>
        </w:rPr>
        <w:t xml:space="preserve"> ensure adequate time for these meetings and conversations,    </w:t>
      </w:r>
    </w:p>
    <w:p w14:paraId="71D3D556" w14:textId="49F4974A" w:rsidR="00BA07F0" w:rsidRDefault="00315B02" w:rsidP="00D10358">
      <w:pPr>
        <w:pStyle w:val="FactText1"/>
        <w:numPr>
          <w:ilvl w:val="0"/>
          <w:numId w:val="31"/>
        </w:numPr>
        <w:spacing w:after="120"/>
      </w:pPr>
      <w:r>
        <w:t xml:space="preserve">Updated MOUs should improve on long-standing expectations where needed. </w:t>
      </w:r>
      <w:r w:rsidR="00710552">
        <w:t xml:space="preserve">While the CCO-LTSS guidance is largely the same </w:t>
      </w:r>
      <w:r w:rsidR="004576C6">
        <w:t>posted guidance</w:t>
      </w:r>
      <w:r w:rsidR="40AC89D5">
        <w:t>-- the</w:t>
      </w:r>
      <w:r w:rsidR="00710552">
        <w:t xml:space="preserve"> following updates were made:</w:t>
      </w:r>
    </w:p>
    <w:p w14:paraId="3C5665D8" w14:textId="52C3F3BD" w:rsidR="00710552" w:rsidRDefault="00710552" w:rsidP="00710552">
      <w:pPr>
        <w:pStyle w:val="FactText1"/>
        <w:spacing w:after="120"/>
        <w:ind w:left="1440"/>
      </w:pPr>
      <w:r>
        <w:t>--Updates to align with care coordination rules finalized in 2024</w:t>
      </w:r>
    </w:p>
    <w:p w14:paraId="4440115C" w14:textId="4376F560" w:rsidR="00710552" w:rsidRDefault="00710552" w:rsidP="00710552">
      <w:pPr>
        <w:pStyle w:val="FactText1"/>
        <w:spacing w:after="120"/>
        <w:ind w:left="1440"/>
      </w:pPr>
      <w:r>
        <w:t>--Updates to reflect new 1115 HRSN waiver services</w:t>
      </w:r>
    </w:p>
    <w:p w14:paraId="07534860" w14:textId="091A2476" w:rsidR="00710552" w:rsidRDefault="00710552" w:rsidP="00710552">
      <w:pPr>
        <w:pStyle w:val="FactText1"/>
        <w:spacing w:after="120"/>
        <w:ind w:left="1440"/>
      </w:pPr>
      <w:r>
        <w:t>--Alignment with updated definitions of terms in the glossary to reflect changes in CCO OARS.</w:t>
      </w:r>
    </w:p>
    <w:p w14:paraId="46092999" w14:textId="77777777" w:rsidR="00E7375F" w:rsidRDefault="0051657A" w:rsidP="0051657A">
      <w:pPr>
        <w:pStyle w:val="FactText1"/>
        <w:numPr>
          <w:ilvl w:val="0"/>
          <w:numId w:val="32"/>
        </w:numPr>
      </w:pPr>
      <w:bookmarkStart w:id="3" w:name="_Hlk183449476"/>
      <w:r>
        <w:t xml:space="preserve">CCOs should use issues identified in annual MOU reports to improve their MOUs and prepare for </w:t>
      </w:r>
      <w:r w:rsidR="00E7375F">
        <w:t>continued tracking for annual reporting to OHA.</w:t>
      </w:r>
    </w:p>
    <w:p w14:paraId="665C1C55" w14:textId="7B427DDF" w:rsidR="00E7375F" w:rsidRDefault="0051657A" w:rsidP="00E7375F">
      <w:pPr>
        <w:pStyle w:val="FactText1"/>
        <w:numPr>
          <w:ilvl w:val="1"/>
          <w:numId w:val="32"/>
        </w:numPr>
      </w:pPr>
      <w:r>
        <w:t xml:space="preserve">Updated MOUs for this </w:t>
      </w:r>
      <w:r w:rsidR="00F14993">
        <w:t>two-year</w:t>
      </w:r>
      <w:r>
        <w:t xml:space="preserve"> period should address weaknesses </w:t>
      </w:r>
      <w:r w:rsidR="00E7375F">
        <w:t>as noted in feedback such as:</w:t>
      </w:r>
    </w:p>
    <w:p w14:paraId="18B6E6E2" w14:textId="3ACA40BD" w:rsidR="00E7375F" w:rsidRDefault="00E7375F" w:rsidP="00E7375F">
      <w:pPr>
        <w:pStyle w:val="FactText1"/>
        <w:numPr>
          <w:ilvl w:val="2"/>
          <w:numId w:val="32"/>
        </w:numPr>
      </w:pPr>
      <w:r>
        <w:t>Ability to t</w:t>
      </w:r>
      <w:r w:rsidR="0051657A">
        <w:t xml:space="preserve">rack communication with APD/AAA offices and staff,  </w:t>
      </w:r>
    </w:p>
    <w:p w14:paraId="25BBF074" w14:textId="1C574EDD" w:rsidR="00E7375F" w:rsidRDefault="00E7375F" w:rsidP="00E7375F">
      <w:pPr>
        <w:pStyle w:val="FactText1"/>
        <w:numPr>
          <w:ilvl w:val="2"/>
          <w:numId w:val="32"/>
        </w:numPr>
      </w:pPr>
      <w:r>
        <w:t xml:space="preserve">Use of </w:t>
      </w:r>
      <w:r w:rsidR="0051657A">
        <w:t xml:space="preserve">Hospital Event Notifications (HEN) and Skilled Nursing Facility (SNF) </w:t>
      </w:r>
      <w:proofErr w:type="spellStart"/>
      <w:r w:rsidR="0051657A">
        <w:t>PointClick</w:t>
      </w:r>
      <w:proofErr w:type="spellEnd"/>
      <w:r w:rsidR="00225DF6">
        <w:t xml:space="preserve"> Collective Platform</w:t>
      </w:r>
      <w:r w:rsidR="0051657A">
        <w:t xml:space="preserve"> notifications to trigger communication </w:t>
      </w:r>
      <w:r w:rsidR="00FB10BA">
        <w:t xml:space="preserve">with APD/AAA offices </w:t>
      </w:r>
      <w:r w:rsidR="0051657A">
        <w:t xml:space="preserve">especially concerning care setting transitions, </w:t>
      </w:r>
    </w:p>
    <w:p w14:paraId="761CEE4E" w14:textId="618A1B0C" w:rsidR="00FD5E65" w:rsidRDefault="00E7375F" w:rsidP="00E7375F">
      <w:pPr>
        <w:pStyle w:val="FactText1"/>
        <w:numPr>
          <w:ilvl w:val="2"/>
          <w:numId w:val="32"/>
        </w:numPr>
      </w:pPr>
      <w:r>
        <w:t>E</w:t>
      </w:r>
      <w:r w:rsidR="0051657A">
        <w:t xml:space="preserve">nsuring development of care plans for a greater proportion of CCO members with LTSS or needing LTSS.   </w:t>
      </w:r>
    </w:p>
    <w:p w14:paraId="4C187AD2" w14:textId="795719D0" w:rsidR="00E7375F" w:rsidRDefault="00E7375F" w:rsidP="00E7375F">
      <w:pPr>
        <w:pStyle w:val="FactText1"/>
        <w:numPr>
          <w:ilvl w:val="2"/>
          <w:numId w:val="32"/>
        </w:numPr>
      </w:pPr>
      <w:r>
        <w:t>Addressing needs at care-setting transitions for discharge to prevent readmissions or unnecessary hospitalizations.</w:t>
      </w:r>
    </w:p>
    <w:p w14:paraId="3E7E7E45" w14:textId="36252538" w:rsidR="00E7375F" w:rsidRDefault="00E7375F" w:rsidP="00E7375F">
      <w:pPr>
        <w:pStyle w:val="FactText1"/>
        <w:numPr>
          <w:ilvl w:val="2"/>
          <w:numId w:val="32"/>
        </w:numPr>
      </w:pPr>
      <w:r>
        <w:t>Sharing how referrals and supports for members may be enhanced with new 1115 waiver services.</w:t>
      </w:r>
    </w:p>
    <w:p w14:paraId="2246DD96" w14:textId="77777777" w:rsidR="00E7375F" w:rsidRPr="000636B8" w:rsidRDefault="00E7375F" w:rsidP="00E7375F">
      <w:pPr>
        <w:pStyle w:val="FactText1"/>
        <w:ind w:left="2250"/>
      </w:pPr>
    </w:p>
    <w:bookmarkEnd w:id="3"/>
    <w:p w14:paraId="2B23846F" w14:textId="193B45CF" w:rsidR="009114CD" w:rsidRDefault="009114CD" w:rsidP="00B32530">
      <w:pPr>
        <w:pStyle w:val="FactText1"/>
      </w:pPr>
      <w:r>
        <w:t>Guidance and updated template for the CCO-LTSS MOU Report will be released in 2025.</w:t>
      </w:r>
      <w:r w:rsidR="00894033">
        <w:t xml:space="preserve"> Tracking for the fields in CY2024 report template should be continued to prepare for CY2025 reporting.</w:t>
      </w:r>
    </w:p>
    <w:p w14:paraId="507CCD10" w14:textId="72A47EFD" w:rsidR="1B405B20" w:rsidRDefault="1B405B20" w:rsidP="1B405B20">
      <w:pPr>
        <w:pStyle w:val="FactText1"/>
      </w:pPr>
    </w:p>
    <w:p w14:paraId="3C0B2D2F" w14:textId="55597DD5" w:rsidR="33304755" w:rsidRPr="00D316B0" w:rsidRDefault="33304755" w:rsidP="1B405B20">
      <w:pPr>
        <w:tabs>
          <w:tab w:val="left" w:pos="1396"/>
        </w:tabs>
        <w:ind w:left="120" w:right="191"/>
        <w:rPr>
          <w:rFonts w:ascii="Arial" w:eastAsia="Arial" w:hAnsi="Arial" w:cs="Arial"/>
          <w:sz w:val="24"/>
        </w:rPr>
      </w:pPr>
      <w:r w:rsidRPr="00D316B0">
        <w:rPr>
          <w:rFonts w:ascii="Arial" w:eastAsia="Arial" w:hAnsi="Arial" w:cs="Arial"/>
          <w:sz w:val="24"/>
        </w:rPr>
        <w:t>MOUs will be reviewed as in the past by a review of the completeness of each MOU’s addressing each required domains’ minimum expectations and the listed CCO and APD expectations.  Each section should ensure to address each area clearly.  Governance sections must also be completed and documents must have obtained required signatures.</w:t>
      </w:r>
    </w:p>
    <w:p w14:paraId="4EABE15C" w14:textId="77777777" w:rsidR="00370804" w:rsidRDefault="00370804" w:rsidP="1B405B20">
      <w:pPr>
        <w:pStyle w:val="FactText1"/>
        <w:ind w:left="0"/>
      </w:pPr>
    </w:p>
    <w:p w14:paraId="748793A9" w14:textId="0CCF4A6A" w:rsidR="00370804" w:rsidRDefault="00370804" w:rsidP="00B32530">
      <w:pPr>
        <w:pStyle w:val="FactText1"/>
      </w:pPr>
      <w:r>
        <w:lastRenderedPageBreak/>
        <w:t xml:space="preserve">Please submit through the CCO portal at </w:t>
      </w:r>
      <w:r w:rsidR="00FE3277" w:rsidRPr="00FE3277">
        <w:t xml:space="preserve">via the Contract Deliverables portal located at </w:t>
      </w:r>
      <w:hyperlink r:id="rId8" w:history="1">
        <w:r w:rsidR="00422D15" w:rsidRPr="00FB536D">
          <w:rPr>
            <w:rStyle w:val="Hyperlink"/>
          </w:rPr>
          <w:t>https://oha-cco.powerappsportals.us/</w:t>
        </w:r>
      </w:hyperlink>
      <w:r w:rsidR="00422D15">
        <w:t xml:space="preserve">.  </w:t>
      </w:r>
      <w:r w:rsidR="00422D15" w:rsidRPr="00422D15">
        <w:t>This report content is subject to public posting and redaction. It will be shared without redaction with the Centers for Medicare and Medicaid Services (CMS) and with the Oregon Department of Human Services.</w:t>
      </w:r>
    </w:p>
    <w:p w14:paraId="63998B94" w14:textId="77777777" w:rsidR="009114CD" w:rsidRDefault="009114CD" w:rsidP="00B32530">
      <w:pPr>
        <w:pStyle w:val="FactText1"/>
      </w:pPr>
    </w:p>
    <w:p w14:paraId="1B212E6F" w14:textId="6AB3F4A7" w:rsidR="00370804" w:rsidRDefault="00422D15" w:rsidP="00B32530">
      <w:pPr>
        <w:pStyle w:val="FactText1"/>
        <w:rPr>
          <w:b/>
          <w:bCs/>
        </w:rPr>
      </w:pPr>
      <w:r>
        <w:rPr>
          <w:b/>
          <w:bCs/>
        </w:rPr>
        <w:t xml:space="preserve">CY2025 </w:t>
      </w:r>
      <w:r w:rsidR="00370804" w:rsidRPr="00370804">
        <w:rPr>
          <w:b/>
          <w:bCs/>
        </w:rPr>
        <w:t xml:space="preserve">Due Dates: </w:t>
      </w:r>
    </w:p>
    <w:p w14:paraId="7B3AF898" w14:textId="2C59C833" w:rsidR="001D79B6" w:rsidRDefault="001D79B6" w:rsidP="00B32530">
      <w:pPr>
        <w:pStyle w:val="FactText1"/>
        <w:rPr>
          <w:b/>
          <w:bCs/>
        </w:rPr>
      </w:pPr>
    </w:p>
    <w:p w14:paraId="29ABEA72" w14:textId="09F6F974" w:rsidR="001D79B6" w:rsidRDefault="1C82A1D0" w:rsidP="00311B33">
      <w:pPr>
        <w:pStyle w:val="FactText1"/>
      </w:pPr>
      <w:r>
        <w:rPr>
          <w:noProof/>
        </w:rPr>
        <w:drawing>
          <wp:inline distT="0" distB="0" distL="0" distR="0" wp14:anchorId="6FCB73FF" wp14:editId="754E0280">
            <wp:extent cx="6858000" cy="1266825"/>
            <wp:effectExtent l="0" t="0" r="0" b="0"/>
            <wp:docPr id="546283820" name="Picture 54628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283820"/>
                    <pic:cNvPicPr/>
                  </pic:nvPicPr>
                  <pic:blipFill>
                    <a:blip r:embed="rId9">
                      <a:extLst>
                        <a:ext uri="{28A0092B-C50C-407E-A947-70E740481C1C}">
                          <a14:useLocalDpi xmlns:a14="http://schemas.microsoft.com/office/drawing/2010/main" val="0"/>
                        </a:ext>
                      </a:extLst>
                    </a:blip>
                    <a:stretch>
                      <a:fillRect/>
                    </a:stretch>
                  </pic:blipFill>
                  <pic:spPr>
                    <a:xfrm>
                      <a:off x="0" y="0"/>
                      <a:ext cx="6858000" cy="1266825"/>
                    </a:xfrm>
                    <a:prstGeom prst="rect">
                      <a:avLst/>
                    </a:prstGeom>
                  </pic:spPr>
                </pic:pic>
              </a:graphicData>
            </a:graphic>
          </wp:inline>
        </w:drawing>
      </w:r>
    </w:p>
    <w:p w14:paraId="2CA6710D" w14:textId="077B421A" w:rsidR="001D79B6" w:rsidRDefault="001D79B6" w:rsidP="00B32530">
      <w:pPr>
        <w:pStyle w:val="FactText1"/>
        <w:rPr>
          <w:b/>
          <w:bCs/>
        </w:rPr>
      </w:pPr>
    </w:p>
    <w:p w14:paraId="2509EDD1" w14:textId="06C48FCD" w:rsidR="001D79B6" w:rsidRDefault="001D79B6" w:rsidP="00B32530">
      <w:pPr>
        <w:pStyle w:val="FactText1"/>
        <w:rPr>
          <w:b/>
          <w:bCs/>
        </w:rPr>
      </w:pPr>
    </w:p>
    <w:p w14:paraId="623BD11C" w14:textId="2B5535EA" w:rsidR="001D79B6" w:rsidRDefault="001D79B6" w:rsidP="00B32530">
      <w:pPr>
        <w:pStyle w:val="FactText1"/>
        <w:rPr>
          <w:b/>
          <w:bCs/>
        </w:rPr>
      </w:pPr>
    </w:p>
    <w:p w14:paraId="40A637BA" w14:textId="36E32C0C" w:rsidR="001D79B6" w:rsidRDefault="001D79B6" w:rsidP="00B32530">
      <w:pPr>
        <w:pStyle w:val="FactText1"/>
        <w:rPr>
          <w:b/>
          <w:bCs/>
        </w:rPr>
      </w:pPr>
    </w:p>
    <w:p w14:paraId="06B21E7C" w14:textId="1C7197DF" w:rsidR="0350EBBA" w:rsidRDefault="0350EBBA" w:rsidP="0350EBBA">
      <w:pPr>
        <w:pStyle w:val="FactText1"/>
        <w:rPr>
          <w:b/>
          <w:bCs/>
          <w:i/>
          <w:iCs/>
        </w:rPr>
      </w:pPr>
    </w:p>
    <w:p w14:paraId="12DDC5E5" w14:textId="51C6307E" w:rsidR="00087C09" w:rsidRPr="009B00AF" w:rsidRDefault="00D13170" w:rsidP="006F6465">
      <w:pPr>
        <w:pStyle w:val="FactText1"/>
        <w:rPr>
          <w:b/>
          <w:bCs/>
          <w:i/>
          <w:iCs/>
        </w:rPr>
      </w:pPr>
      <w:r w:rsidRPr="009B00AF">
        <w:rPr>
          <w:b/>
          <w:bCs/>
          <w:i/>
          <w:iCs/>
        </w:rPr>
        <w:t xml:space="preserve">Please contact the </w:t>
      </w:r>
      <w:r w:rsidR="009114CD">
        <w:rPr>
          <w:b/>
          <w:bCs/>
          <w:i/>
          <w:iCs/>
        </w:rPr>
        <w:t>Medicaid</w:t>
      </w:r>
      <w:r w:rsidR="00FB50FF" w:rsidRPr="009B00AF">
        <w:rPr>
          <w:b/>
          <w:bCs/>
          <w:i/>
          <w:iCs/>
        </w:rPr>
        <w:t xml:space="preserve"> leads below with questions</w:t>
      </w:r>
      <w:r w:rsidR="006F39EA">
        <w:rPr>
          <w:b/>
          <w:bCs/>
          <w:i/>
          <w:iCs/>
        </w:rPr>
        <w:t>:</w:t>
      </w:r>
      <w:r w:rsidR="006F39EA" w:rsidRPr="009B00AF">
        <w:rPr>
          <w:b/>
          <w:bCs/>
          <w:i/>
          <w:iCs/>
        </w:rPr>
        <w:t xml:space="preserve"> </w:t>
      </w:r>
    </w:p>
    <w:tbl>
      <w:tblPr>
        <w:tblStyle w:val="GridTable2-Accent5"/>
        <w:tblW w:w="0" w:type="auto"/>
        <w:tblLook w:val="0420" w:firstRow="1" w:lastRow="0" w:firstColumn="0" w:lastColumn="0" w:noHBand="0" w:noVBand="1"/>
      </w:tblPr>
      <w:tblGrid>
        <w:gridCol w:w="5352"/>
        <w:gridCol w:w="5352"/>
      </w:tblGrid>
      <w:tr w:rsidR="00087C09" w14:paraId="53455ABC" w14:textId="77777777" w:rsidTr="38DEAFCE">
        <w:trPr>
          <w:cnfStyle w:val="100000000000" w:firstRow="1" w:lastRow="0" w:firstColumn="0" w:lastColumn="0" w:oddVBand="0" w:evenVBand="0" w:oddHBand="0" w:evenHBand="0" w:firstRowFirstColumn="0" w:firstRowLastColumn="0" w:lastRowFirstColumn="0" w:lastRowLastColumn="0"/>
        </w:trPr>
        <w:tc>
          <w:tcPr>
            <w:tcW w:w="5352" w:type="dxa"/>
          </w:tcPr>
          <w:p w14:paraId="60FDA0E8" w14:textId="77777777" w:rsidR="00087C09" w:rsidRDefault="00087C09" w:rsidP="00087C09">
            <w:pPr>
              <w:pStyle w:val="FactText1"/>
            </w:pPr>
          </w:p>
        </w:tc>
        <w:tc>
          <w:tcPr>
            <w:tcW w:w="5352" w:type="dxa"/>
          </w:tcPr>
          <w:p w14:paraId="7D12BF64" w14:textId="77777777" w:rsidR="00087C09" w:rsidRDefault="00087C09" w:rsidP="00087C09">
            <w:pPr>
              <w:pStyle w:val="FactText1"/>
            </w:pPr>
          </w:p>
        </w:tc>
      </w:tr>
      <w:tr w:rsidR="00087C09" w14:paraId="3016158D" w14:textId="77777777" w:rsidTr="38DEAFCE">
        <w:trPr>
          <w:cnfStyle w:val="000000100000" w:firstRow="0" w:lastRow="0" w:firstColumn="0" w:lastColumn="0" w:oddVBand="0" w:evenVBand="0" w:oddHBand="1" w:evenHBand="0" w:firstRowFirstColumn="0" w:firstRowLastColumn="0" w:lastRowFirstColumn="0" w:lastRowLastColumn="0"/>
        </w:trPr>
        <w:tc>
          <w:tcPr>
            <w:tcW w:w="5352" w:type="dxa"/>
          </w:tcPr>
          <w:p w14:paraId="557D7D51" w14:textId="2677A735" w:rsidR="00087C09" w:rsidRDefault="00307802" w:rsidP="00087C09">
            <w:pPr>
              <w:pStyle w:val="FactText1"/>
            </w:pPr>
            <w:r>
              <w:t>Cheryl Henning</w:t>
            </w:r>
          </w:p>
        </w:tc>
        <w:tc>
          <w:tcPr>
            <w:tcW w:w="5352" w:type="dxa"/>
          </w:tcPr>
          <w:p w14:paraId="4A3D6344" w14:textId="2CD51AE3" w:rsidR="00087C09" w:rsidRDefault="68E2F16B" w:rsidP="00087C09">
            <w:pPr>
              <w:pStyle w:val="FactText1"/>
            </w:pPr>
            <w:r>
              <w:t>Jennifer Valentine</w:t>
            </w:r>
          </w:p>
        </w:tc>
      </w:tr>
      <w:tr w:rsidR="00087C09" w14:paraId="31F88174" w14:textId="77777777" w:rsidTr="38DEAFCE">
        <w:tc>
          <w:tcPr>
            <w:tcW w:w="5352" w:type="dxa"/>
          </w:tcPr>
          <w:p w14:paraId="5A4580A3" w14:textId="42C7D8CF" w:rsidR="00087C09" w:rsidRDefault="00D13170" w:rsidP="00087C09">
            <w:pPr>
              <w:pStyle w:val="FactText1"/>
            </w:pPr>
            <w:r>
              <w:t>C</w:t>
            </w:r>
            <w:r w:rsidR="00307802">
              <w:t xml:space="preserve">CO Contracts </w:t>
            </w:r>
            <w:r w:rsidR="008523AB">
              <w:t>Administrator</w:t>
            </w:r>
          </w:p>
        </w:tc>
        <w:tc>
          <w:tcPr>
            <w:tcW w:w="5352" w:type="dxa"/>
          </w:tcPr>
          <w:p w14:paraId="3764D2D2" w14:textId="687E14DF" w:rsidR="00087C09" w:rsidRDefault="00307802" w:rsidP="00087C09">
            <w:pPr>
              <w:pStyle w:val="FactText1"/>
            </w:pPr>
            <w:r>
              <w:t>Medicare-Medicaid</w:t>
            </w:r>
            <w:r w:rsidR="009114CD">
              <w:t>/CCO-LTSS</w:t>
            </w:r>
            <w:r>
              <w:t xml:space="preserve"> Policy Analyst</w:t>
            </w:r>
          </w:p>
        </w:tc>
      </w:tr>
      <w:tr w:rsidR="00087C09" w14:paraId="7AB8CF8A" w14:textId="77777777" w:rsidTr="38DEAFCE">
        <w:trPr>
          <w:cnfStyle w:val="000000100000" w:firstRow="0" w:lastRow="0" w:firstColumn="0" w:lastColumn="0" w:oddVBand="0" w:evenVBand="0" w:oddHBand="1" w:evenHBand="0" w:firstRowFirstColumn="0" w:firstRowLastColumn="0" w:lastRowFirstColumn="0" w:lastRowLastColumn="0"/>
        </w:trPr>
        <w:tc>
          <w:tcPr>
            <w:tcW w:w="5352" w:type="dxa"/>
          </w:tcPr>
          <w:p w14:paraId="2336B27D" w14:textId="1CCF1C61" w:rsidR="00087C09" w:rsidRDefault="00307802" w:rsidP="00087C09">
            <w:pPr>
              <w:pStyle w:val="FactText1"/>
            </w:pPr>
            <w:r w:rsidRPr="00307802">
              <w:t>Cheryl.L.Henning@</w:t>
            </w:r>
            <w:r w:rsidR="00C101BD">
              <w:t>oha.oregon.gov</w:t>
            </w:r>
          </w:p>
        </w:tc>
        <w:tc>
          <w:tcPr>
            <w:tcW w:w="5352" w:type="dxa"/>
          </w:tcPr>
          <w:p w14:paraId="046A3D28" w14:textId="2E6F251C" w:rsidR="00087C09" w:rsidRDefault="00307802" w:rsidP="00087C09">
            <w:pPr>
              <w:pStyle w:val="FactText1"/>
            </w:pPr>
            <w:r w:rsidRPr="00307802">
              <w:t>Jennifer.B.Valentine@</w:t>
            </w:r>
            <w:r w:rsidR="00C101BD">
              <w:t>oha.oregon.gov</w:t>
            </w:r>
          </w:p>
        </w:tc>
      </w:tr>
    </w:tbl>
    <w:p w14:paraId="53E68173" w14:textId="6FF530B0" w:rsidR="009E6EB2" w:rsidRPr="009E6EB2" w:rsidRDefault="009E6EB2" w:rsidP="009E6EB2"/>
    <w:sectPr w:rsidR="009E6EB2" w:rsidRPr="009E6EB2" w:rsidSect="00490DFA">
      <w:footerReference w:type="default" r:id="rId10"/>
      <w:type w:val="continuous"/>
      <w:pgSz w:w="12240" w:h="15840" w:code="1"/>
      <w:pgMar w:top="720" w:right="720" w:bottom="432" w:left="720" w:header="432" w:footer="432"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04484" w14:textId="77777777" w:rsidR="00E86646" w:rsidRDefault="00E86646">
      <w:r>
        <w:separator/>
      </w:r>
    </w:p>
  </w:endnote>
  <w:endnote w:type="continuationSeparator" w:id="0">
    <w:p w14:paraId="7B5AEEB6" w14:textId="77777777" w:rsidR="00E86646" w:rsidRDefault="00E86646">
      <w:r>
        <w:continuationSeparator/>
      </w:r>
    </w:p>
  </w:endnote>
  <w:endnote w:type="continuationNotice" w:id="1">
    <w:p w14:paraId="7E7C12A0" w14:textId="77777777" w:rsidR="00E86646" w:rsidRDefault="00E86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8B00" w14:textId="37E8EC81" w:rsidR="00D622C6" w:rsidRPr="00490DFA" w:rsidRDefault="00FF5656" w:rsidP="00490DFA">
    <w:pPr>
      <w:pStyle w:val="Footer"/>
    </w:pPr>
    <w:r>
      <w:t>Reminder</w:t>
    </w:r>
    <w:r w:rsidR="00620352">
      <w:t xml:space="preserve"> about </w:t>
    </w:r>
    <w:r w:rsidR="006A2B3D">
      <w:t>CY2025 CCO-LTSS MOU Deliverable</w:t>
    </w:r>
    <w:r w:rsidR="006A2B3D">
      <w:tab/>
    </w:r>
    <w:r w:rsidR="00235407" w:rsidRPr="00490DFA">
      <w:tab/>
    </w:r>
    <w:r w:rsidR="00871699" w:rsidRPr="00490DFA">
      <w:t xml:space="preserve">Last updated </w:t>
    </w:r>
    <w:r w:rsidR="006A2B3D">
      <w:t>11</w:t>
    </w:r>
    <w:r w:rsidR="009E6EB2">
      <w:t>/</w:t>
    </w:r>
    <w:r w:rsidR="006A2B3D">
      <w:t>22</w:t>
    </w:r>
    <w:r w:rsidR="009E6EB2">
      <w:t>/202</w:t>
    </w:r>
    <w:r w:rsidR="006A2B3D">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89456" w14:textId="77777777" w:rsidR="00E86646" w:rsidRDefault="00E86646">
      <w:r>
        <w:separator/>
      </w:r>
    </w:p>
  </w:footnote>
  <w:footnote w:type="continuationSeparator" w:id="0">
    <w:p w14:paraId="664E8265" w14:textId="77777777" w:rsidR="00E86646" w:rsidRDefault="00E86646">
      <w:r>
        <w:continuationSeparator/>
      </w:r>
    </w:p>
  </w:footnote>
  <w:footnote w:type="continuationNotice" w:id="1">
    <w:p w14:paraId="675402E8" w14:textId="77777777" w:rsidR="00E86646" w:rsidRDefault="00E86646"/>
  </w:footnote>
</w:footnotes>
</file>

<file path=word/intelligence2.xml><?xml version="1.0" encoding="utf-8"?>
<int2:intelligence xmlns:int2="http://schemas.microsoft.com/office/intelligence/2020/intelligence" xmlns:oel="http://schemas.microsoft.com/office/2019/extlst">
  <int2:observations>
    <int2:textHash int2:hashCode="MhRfO+70oFpcEu" int2:id="O4QPhEv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82C6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529D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D8B2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1EBA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1B0EE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080D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4C1E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6471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9455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DE36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93492"/>
    <w:multiLevelType w:val="hybridMultilevel"/>
    <w:tmpl w:val="86C6F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6AD5275"/>
    <w:multiLevelType w:val="hybridMultilevel"/>
    <w:tmpl w:val="29F63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BC950EB"/>
    <w:multiLevelType w:val="hybridMultilevel"/>
    <w:tmpl w:val="FDFAF5E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71D6787"/>
    <w:multiLevelType w:val="hybridMultilevel"/>
    <w:tmpl w:val="E3FCF1B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BE12CA6"/>
    <w:multiLevelType w:val="hybridMultilevel"/>
    <w:tmpl w:val="EABE18B6"/>
    <w:lvl w:ilvl="0" w:tplc="2FE244A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8D2D15"/>
    <w:multiLevelType w:val="hybridMultilevel"/>
    <w:tmpl w:val="788E4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D362D90"/>
    <w:multiLevelType w:val="hybridMultilevel"/>
    <w:tmpl w:val="3D2C3C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DD50E43"/>
    <w:multiLevelType w:val="hybridMultilevel"/>
    <w:tmpl w:val="3920D1C4"/>
    <w:lvl w:ilvl="0" w:tplc="B5ECBC02">
      <w:start w:val="1"/>
      <w:numFmt w:val="upp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DA45C7"/>
    <w:multiLevelType w:val="hybridMultilevel"/>
    <w:tmpl w:val="69821BA2"/>
    <w:lvl w:ilvl="0" w:tplc="869227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3D1C26"/>
    <w:multiLevelType w:val="hybridMultilevel"/>
    <w:tmpl w:val="23BEA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F42859"/>
    <w:multiLevelType w:val="hybridMultilevel"/>
    <w:tmpl w:val="10607A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91D6E6B"/>
    <w:multiLevelType w:val="hybridMultilevel"/>
    <w:tmpl w:val="6284E64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BD8493C"/>
    <w:multiLevelType w:val="hybridMultilevel"/>
    <w:tmpl w:val="73389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6D135A"/>
    <w:multiLevelType w:val="hybridMultilevel"/>
    <w:tmpl w:val="27263F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65D43CD7"/>
    <w:multiLevelType w:val="hybridMultilevel"/>
    <w:tmpl w:val="671288C2"/>
    <w:lvl w:ilvl="0" w:tplc="FF3C278C">
      <w:start w:val="1"/>
      <w:numFmt w:val="bullet"/>
      <w:lvlText w:val=""/>
      <w:lvlJc w:val="left"/>
      <w:pPr>
        <w:ind w:left="1080" w:hanging="360"/>
      </w:pPr>
      <w:rPr>
        <w:rFonts w:ascii="Symbol" w:hAnsi="Symbol"/>
      </w:rPr>
    </w:lvl>
    <w:lvl w:ilvl="1" w:tplc="770681D4">
      <w:start w:val="1"/>
      <w:numFmt w:val="bullet"/>
      <w:lvlText w:val=""/>
      <w:lvlJc w:val="left"/>
      <w:pPr>
        <w:ind w:left="1080" w:hanging="360"/>
      </w:pPr>
      <w:rPr>
        <w:rFonts w:ascii="Symbol" w:hAnsi="Symbol"/>
      </w:rPr>
    </w:lvl>
    <w:lvl w:ilvl="2" w:tplc="3C749ABA">
      <w:start w:val="1"/>
      <w:numFmt w:val="bullet"/>
      <w:lvlText w:val=""/>
      <w:lvlJc w:val="left"/>
      <w:pPr>
        <w:ind w:left="1080" w:hanging="360"/>
      </w:pPr>
      <w:rPr>
        <w:rFonts w:ascii="Symbol" w:hAnsi="Symbol"/>
      </w:rPr>
    </w:lvl>
    <w:lvl w:ilvl="3" w:tplc="3BC8FBAC">
      <w:start w:val="1"/>
      <w:numFmt w:val="bullet"/>
      <w:lvlText w:val=""/>
      <w:lvlJc w:val="left"/>
      <w:pPr>
        <w:ind w:left="1080" w:hanging="360"/>
      </w:pPr>
      <w:rPr>
        <w:rFonts w:ascii="Symbol" w:hAnsi="Symbol"/>
      </w:rPr>
    </w:lvl>
    <w:lvl w:ilvl="4" w:tplc="80D86B46">
      <w:start w:val="1"/>
      <w:numFmt w:val="bullet"/>
      <w:lvlText w:val=""/>
      <w:lvlJc w:val="left"/>
      <w:pPr>
        <w:ind w:left="1080" w:hanging="360"/>
      </w:pPr>
      <w:rPr>
        <w:rFonts w:ascii="Symbol" w:hAnsi="Symbol"/>
      </w:rPr>
    </w:lvl>
    <w:lvl w:ilvl="5" w:tplc="C28892EC">
      <w:start w:val="1"/>
      <w:numFmt w:val="bullet"/>
      <w:lvlText w:val=""/>
      <w:lvlJc w:val="left"/>
      <w:pPr>
        <w:ind w:left="1080" w:hanging="360"/>
      </w:pPr>
      <w:rPr>
        <w:rFonts w:ascii="Symbol" w:hAnsi="Symbol"/>
      </w:rPr>
    </w:lvl>
    <w:lvl w:ilvl="6" w:tplc="EF402062">
      <w:start w:val="1"/>
      <w:numFmt w:val="bullet"/>
      <w:lvlText w:val=""/>
      <w:lvlJc w:val="left"/>
      <w:pPr>
        <w:ind w:left="1080" w:hanging="360"/>
      </w:pPr>
      <w:rPr>
        <w:rFonts w:ascii="Symbol" w:hAnsi="Symbol"/>
      </w:rPr>
    </w:lvl>
    <w:lvl w:ilvl="7" w:tplc="C00AE42A">
      <w:start w:val="1"/>
      <w:numFmt w:val="bullet"/>
      <w:lvlText w:val=""/>
      <w:lvlJc w:val="left"/>
      <w:pPr>
        <w:ind w:left="1080" w:hanging="360"/>
      </w:pPr>
      <w:rPr>
        <w:rFonts w:ascii="Symbol" w:hAnsi="Symbol"/>
      </w:rPr>
    </w:lvl>
    <w:lvl w:ilvl="8" w:tplc="BE94C42A">
      <w:start w:val="1"/>
      <w:numFmt w:val="bullet"/>
      <w:lvlText w:val=""/>
      <w:lvlJc w:val="left"/>
      <w:pPr>
        <w:ind w:left="1080" w:hanging="360"/>
      </w:pPr>
      <w:rPr>
        <w:rFonts w:ascii="Symbol" w:hAnsi="Symbol"/>
      </w:rPr>
    </w:lvl>
  </w:abstractNum>
  <w:abstractNum w:abstractNumId="25" w15:restartNumberingAfterBreak="0">
    <w:nsid w:val="664536EB"/>
    <w:multiLevelType w:val="hybridMultilevel"/>
    <w:tmpl w:val="B9522BC8"/>
    <w:lvl w:ilvl="0" w:tplc="7C380B2A">
      <w:start w:val="1"/>
      <w:numFmt w:val="upp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9D01C46"/>
    <w:multiLevelType w:val="hybridMultilevel"/>
    <w:tmpl w:val="A6D849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6D2F60A7"/>
    <w:multiLevelType w:val="hybridMultilevel"/>
    <w:tmpl w:val="507401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70CE64EA"/>
    <w:multiLevelType w:val="hybridMultilevel"/>
    <w:tmpl w:val="571062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751E48AA"/>
    <w:multiLevelType w:val="hybridMultilevel"/>
    <w:tmpl w:val="D63C74C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77FD6CC8"/>
    <w:multiLevelType w:val="hybridMultilevel"/>
    <w:tmpl w:val="04220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692580"/>
    <w:multiLevelType w:val="hybridMultilevel"/>
    <w:tmpl w:val="C8DE6A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7FDF5553"/>
    <w:multiLevelType w:val="hybridMultilevel"/>
    <w:tmpl w:val="6FD4AB74"/>
    <w:lvl w:ilvl="0" w:tplc="21C6324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3217054">
    <w:abstractNumId w:val="9"/>
  </w:num>
  <w:num w:numId="2" w16cid:durableId="165560325">
    <w:abstractNumId w:val="7"/>
  </w:num>
  <w:num w:numId="3" w16cid:durableId="1548909713">
    <w:abstractNumId w:val="6"/>
  </w:num>
  <w:num w:numId="4" w16cid:durableId="1140224159">
    <w:abstractNumId w:val="5"/>
  </w:num>
  <w:num w:numId="5" w16cid:durableId="243339022">
    <w:abstractNumId w:val="4"/>
  </w:num>
  <w:num w:numId="6" w16cid:durableId="1271085486">
    <w:abstractNumId w:val="8"/>
  </w:num>
  <w:num w:numId="7" w16cid:durableId="1074163212">
    <w:abstractNumId w:val="3"/>
  </w:num>
  <w:num w:numId="8" w16cid:durableId="954214545">
    <w:abstractNumId w:val="2"/>
  </w:num>
  <w:num w:numId="9" w16cid:durableId="551771776">
    <w:abstractNumId w:val="1"/>
  </w:num>
  <w:num w:numId="10" w16cid:durableId="384765796">
    <w:abstractNumId w:val="0"/>
  </w:num>
  <w:num w:numId="11" w16cid:durableId="2027244808">
    <w:abstractNumId w:val="16"/>
  </w:num>
  <w:num w:numId="12" w16cid:durableId="1879967593">
    <w:abstractNumId w:val="31"/>
  </w:num>
  <w:num w:numId="13" w16cid:durableId="589895434">
    <w:abstractNumId w:val="12"/>
  </w:num>
  <w:num w:numId="14" w16cid:durableId="756755464">
    <w:abstractNumId w:val="30"/>
  </w:num>
  <w:num w:numId="15" w16cid:durableId="1988972127">
    <w:abstractNumId w:val="19"/>
  </w:num>
  <w:num w:numId="16" w16cid:durableId="860892883">
    <w:abstractNumId w:val="22"/>
  </w:num>
  <w:num w:numId="17" w16cid:durableId="716855939">
    <w:abstractNumId w:val="15"/>
  </w:num>
  <w:num w:numId="18" w16cid:durableId="1406563180">
    <w:abstractNumId w:val="11"/>
  </w:num>
  <w:num w:numId="19" w16cid:durableId="472985248">
    <w:abstractNumId w:val="10"/>
  </w:num>
  <w:num w:numId="20" w16cid:durableId="1126509028">
    <w:abstractNumId w:val="25"/>
  </w:num>
  <w:num w:numId="21" w16cid:durableId="663631329">
    <w:abstractNumId w:val="18"/>
  </w:num>
  <w:num w:numId="22" w16cid:durableId="2079208912">
    <w:abstractNumId w:val="17"/>
  </w:num>
  <w:num w:numId="23" w16cid:durableId="1671519925">
    <w:abstractNumId w:val="14"/>
  </w:num>
  <w:num w:numId="24" w16cid:durableId="51276595">
    <w:abstractNumId w:val="32"/>
  </w:num>
  <w:num w:numId="25" w16cid:durableId="1127508625">
    <w:abstractNumId w:val="23"/>
  </w:num>
  <w:num w:numId="26" w16cid:durableId="248659332">
    <w:abstractNumId w:val="27"/>
  </w:num>
  <w:num w:numId="27" w16cid:durableId="887961596">
    <w:abstractNumId w:val="28"/>
  </w:num>
  <w:num w:numId="28" w16cid:durableId="366755918">
    <w:abstractNumId w:val="20"/>
  </w:num>
  <w:num w:numId="29" w16cid:durableId="608120155">
    <w:abstractNumId w:val="26"/>
  </w:num>
  <w:num w:numId="30" w16cid:durableId="991372641">
    <w:abstractNumId w:val="21"/>
  </w:num>
  <w:num w:numId="31" w16cid:durableId="434713000">
    <w:abstractNumId w:val="29"/>
  </w:num>
  <w:num w:numId="32" w16cid:durableId="705905775">
    <w:abstractNumId w:val="13"/>
  </w:num>
  <w:num w:numId="33" w16cid:durableId="20856420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65"/>
    <w:rsid w:val="00000937"/>
    <w:rsid w:val="000028D3"/>
    <w:rsid w:val="00017AAC"/>
    <w:rsid w:val="000259D9"/>
    <w:rsid w:val="00027861"/>
    <w:rsid w:val="00035B07"/>
    <w:rsid w:val="0005233F"/>
    <w:rsid w:val="00056120"/>
    <w:rsid w:val="000636B8"/>
    <w:rsid w:val="0006406C"/>
    <w:rsid w:val="0007538F"/>
    <w:rsid w:val="00087C09"/>
    <w:rsid w:val="000B1927"/>
    <w:rsid w:val="000C1EBD"/>
    <w:rsid w:val="000C7909"/>
    <w:rsid w:val="000D5DD5"/>
    <w:rsid w:val="000F51A0"/>
    <w:rsid w:val="00101D54"/>
    <w:rsid w:val="00135DE8"/>
    <w:rsid w:val="00136CB9"/>
    <w:rsid w:val="00147815"/>
    <w:rsid w:val="00170B1D"/>
    <w:rsid w:val="00187E17"/>
    <w:rsid w:val="001B420F"/>
    <w:rsid w:val="001D15E0"/>
    <w:rsid w:val="001D36CD"/>
    <w:rsid w:val="001D79B6"/>
    <w:rsid w:val="001F10DE"/>
    <w:rsid w:val="001F3FDA"/>
    <w:rsid w:val="00215A62"/>
    <w:rsid w:val="002236E0"/>
    <w:rsid w:val="00225DF6"/>
    <w:rsid w:val="00235407"/>
    <w:rsid w:val="002441CF"/>
    <w:rsid w:val="00257971"/>
    <w:rsid w:val="00283943"/>
    <w:rsid w:val="002928DB"/>
    <w:rsid w:val="002A696F"/>
    <w:rsid w:val="002C03A5"/>
    <w:rsid w:val="002C4F38"/>
    <w:rsid w:val="002D40F9"/>
    <w:rsid w:val="002D4DA4"/>
    <w:rsid w:val="002D5D15"/>
    <w:rsid w:val="002F1158"/>
    <w:rsid w:val="002F1F2A"/>
    <w:rsid w:val="002F3631"/>
    <w:rsid w:val="003023EC"/>
    <w:rsid w:val="0030386B"/>
    <w:rsid w:val="00307802"/>
    <w:rsid w:val="00310D92"/>
    <w:rsid w:val="00311B33"/>
    <w:rsid w:val="00315B02"/>
    <w:rsid w:val="00315D6F"/>
    <w:rsid w:val="00327005"/>
    <w:rsid w:val="00350C2A"/>
    <w:rsid w:val="0035484D"/>
    <w:rsid w:val="00357F59"/>
    <w:rsid w:val="00370804"/>
    <w:rsid w:val="003A0310"/>
    <w:rsid w:val="003B3E6D"/>
    <w:rsid w:val="003C20AB"/>
    <w:rsid w:val="003D3324"/>
    <w:rsid w:val="003D7B49"/>
    <w:rsid w:val="003E51BC"/>
    <w:rsid w:val="003E6C21"/>
    <w:rsid w:val="003F44D8"/>
    <w:rsid w:val="0040022B"/>
    <w:rsid w:val="0040063D"/>
    <w:rsid w:val="00406877"/>
    <w:rsid w:val="004079D3"/>
    <w:rsid w:val="00411245"/>
    <w:rsid w:val="00412733"/>
    <w:rsid w:val="00414432"/>
    <w:rsid w:val="00422D15"/>
    <w:rsid w:val="004576C6"/>
    <w:rsid w:val="00463370"/>
    <w:rsid w:val="00470E04"/>
    <w:rsid w:val="00472664"/>
    <w:rsid w:val="00485F9F"/>
    <w:rsid w:val="00490C8A"/>
    <w:rsid w:val="00490DFA"/>
    <w:rsid w:val="004962FB"/>
    <w:rsid w:val="004977BE"/>
    <w:rsid w:val="004B4F3C"/>
    <w:rsid w:val="004B7C4F"/>
    <w:rsid w:val="0050491D"/>
    <w:rsid w:val="0051657A"/>
    <w:rsid w:val="00532CC5"/>
    <w:rsid w:val="00564097"/>
    <w:rsid w:val="005B4F79"/>
    <w:rsid w:val="005D05E0"/>
    <w:rsid w:val="005D56D7"/>
    <w:rsid w:val="005D657F"/>
    <w:rsid w:val="005D6D01"/>
    <w:rsid w:val="0061239C"/>
    <w:rsid w:val="00613F3A"/>
    <w:rsid w:val="00620352"/>
    <w:rsid w:val="00622885"/>
    <w:rsid w:val="006337E3"/>
    <w:rsid w:val="0063545B"/>
    <w:rsid w:val="00636B81"/>
    <w:rsid w:val="006379C5"/>
    <w:rsid w:val="006456EA"/>
    <w:rsid w:val="00647609"/>
    <w:rsid w:val="00651044"/>
    <w:rsid w:val="0065527B"/>
    <w:rsid w:val="006769FA"/>
    <w:rsid w:val="006776B3"/>
    <w:rsid w:val="00684518"/>
    <w:rsid w:val="006850A2"/>
    <w:rsid w:val="00686479"/>
    <w:rsid w:val="006A2B3D"/>
    <w:rsid w:val="006A3E7B"/>
    <w:rsid w:val="006C1AF7"/>
    <w:rsid w:val="006C2690"/>
    <w:rsid w:val="006C3EC3"/>
    <w:rsid w:val="006D175E"/>
    <w:rsid w:val="006D6501"/>
    <w:rsid w:val="006E69ED"/>
    <w:rsid w:val="006E6AD3"/>
    <w:rsid w:val="006F39EA"/>
    <w:rsid w:val="006F6465"/>
    <w:rsid w:val="00707942"/>
    <w:rsid w:val="00707CA0"/>
    <w:rsid w:val="00710552"/>
    <w:rsid w:val="00710A75"/>
    <w:rsid w:val="00723FD3"/>
    <w:rsid w:val="00744970"/>
    <w:rsid w:val="00746859"/>
    <w:rsid w:val="00750132"/>
    <w:rsid w:val="00750F02"/>
    <w:rsid w:val="0079094A"/>
    <w:rsid w:val="0079151E"/>
    <w:rsid w:val="00791FF6"/>
    <w:rsid w:val="00796536"/>
    <w:rsid w:val="007A6B38"/>
    <w:rsid w:val="007A73DC"/>
    <w:rsid w:val="007A78BF"/>
    <w:rsid w:val="007B5254"/>
    <w:rsid w:val="007E5AC3"/>
    <w:rsid w:val="00802F24"/>
    <w:rsid w:val="0081314F"/>
    <w:rsid w:val="00825779"/>
    <w:rsid w:val="00840485"/>
    <w:rsid w:val="008445C2"/>
    <w:rsid w:val="008523AB"/>
    <w:rsid w:val="00860E07"/>
    <w:rsid w:val="00862A8D"/>
    <w:rsid w:val="008637DF"/>
    <w:rsid w:val="00867C18"/>
    <w:rsid w:val="00871699"/>
    <w:rsid w:val="0088758B"/>
    <w:rsid w:val="00887818"/>
    <w:rsid w:val="00894033"/>
    <w:rsid w:val="008B48DF"/>
    <w:rsid w:val="008C12FE"/>
    <w:rsid w:val="008C160E"/>
    <w:rsid w:val="008C545D"/>
    <w:rsid w:val="008D7E32"/>
    <w:rsid w:val="008E3AF4"/>
    <w:rsid w:val="008F170B"/>
    <w:rsid w:val="009114CD"/>
    <w:rsid w:val="009161C6"/>
    <w:rsid w:val="00917791"/>
    <w:rsid w:val="0092661C"/>
    <w:rsid w:val="00933828"/>
    <w:rsid w:val="00947DE9"/>
    <w:rsid w:val="00951D16"/>
    <w:rsid w:val="00974EDD"/>
    <w:rsid w:val="009A2C99"/>
    <w:rsid w:val="009B00AF"/>
    <w:rsid w:val="009B04DC"/>
    <w:rsid w:val="009C53E5"/>
    <w:rsid w:val="009D624F"/>
    <w:rsid w:val="009E6EB2"/>
    <w:rsid w:val="009F72EB"/>
    <w:rsid w:val="00A110B2"/>
    <w:rsid w:val="00A43859"/>
    <w:rsid w:val="00A67C23"/>
    <w:rsid w:val="00A711C9"/>
    <w:rsid w:val="00A77F3A"/>
    <w:rsid w:val="00A842CD"/>
    <w:rsid w:val="00A9403B"/>
    <w:rsid w:val="00AB5B4F"/>
    <w:rsid w:val="00AD4070"/>
    <w:rsid w:val="00AD468C"/>
    <w:rsid w:val="00AD53A3"/>
    <w:rsid w:val="00AF4F25"/>
    <w:rsid w:val="00B0170D"/>
    <w:rsid w:val="00B04549"/>
    <w:rsid w:val="00B2315F"/>
    <w:rsid w:val="00B32530"/>
    <w:rsid w:val="00B344D2"/>
    <w:rsid w:val="00B404AD"/>
    <w:rsid w:val="00B732DB"/>
    <w:rsid w:val="00B93F5C"/>
    <w:rsid w:val="00B96728"/>
    <w:rsid w:val="00BA07F0"/>
    <w:rsid w:val="00BA12DC"/>
    <w:rsid w:val="00BA7A1C"/>
    <w:rsid w:val="00BC165F"/>
    <w:rsid w:val="00BD7E0F"/>
    <w:rsid w:val="00BE3E17"/>
    <w:rsid w:val="00BF0FA9"/>
    <w:rsid w:val="00BF1A88"/>
    <w:rsid w:val="00C101BD"/>
    <w:rsid w:val="00C139EF"/>
    <w:rsid w:val="00C24C3F"/>
    <w:rsid w:val="00C376EE"/>
    <w:rsid w:val="00C40994"/>
    <w:rsid w:val="00C43DE2"/>
    <w:rsid w:val="00C4625C"/>
    <w:rsid w:val="00C63100"/>
    <w:rsid w:val="00C75174"/>
    <w:rsid w:val="00C815E9"/>
    <w:rsid w:val="00C81A4A"/>
    <w:rsid w:val="00C870A3"/>
    <w:rsid w:val="00CA0933"/>
    <w:rsid w:val="00CA2C68"/>
    <w:rsid w:val="00CA4B07"/>
    <w:rsid w:val="00CB0356"/>
    <w:rsid w:val="00CD7F19"/>
    <w:rsid w:val="00CE2B79"/>
    <w:rsid w:val="00D015F4"/>
    <w:rsid w:val="00D05110"/>
    <w:rsid w:val="00D100E9"/>
    <w:rsid w:val="00D10358"/>
    <w:rsid w:val="00D13170"/>
    <w:rsid w:val="00D316B0"/>
    <w:rsid w:val="00D3185F"/>
    <w:rsid w:val="00D3239E"/>
    <w:rsid w:val="00D33A0D"/>
    <w:rsid w:val="00D4618F"/>
    <w:rsid w:val="00D50E2F"/>
    <w:rsid w:val="00D622C6"/>
    <w:rsid w:val="00D63FD8"/>
    <w:rsid w:val="00D66D03"/>
    <w:rsid w:val="00D82ABE"/>
    <w:rsid w:val="00D86AD5"/>
    <w:rsid w:val="00DA583B"/>
    <w:rsid w:val="00DC0D62"/>
    <w:rsid w:val="00DC42D6"/>
    <w:rsid w:val="00DD317D"/>
    <w:rsid w:val="00DE7944"/>
    <w:rsid w:val="00E211B7"/>
    <w:rsid w:val="00E402C3"/>
    <w:rsid w:val="00E407AF"/>
    <w:rsid w:val="00E4605E"/>
    <w:rsid w:val="00E7375F"/>
    <w:rsid w:val="00E86646"/>
    <w:rsid w:val="00E948DC"/>
    <w:rsid w:val="00EC07D0"/>
    <w:rsid w:val="00EC5344"/>
    <w:rsid w:val="00EE0046"/>
    <w:rsid w:val="00EE49BE"/>
    <w:rsid w:val="00F14993"/>
    <w:rsid w:val="00F16328"/>
    <w:rsid w:val="00F378A7"/>
    <w:rsid w:val="00F37FE0"/>
    <w:rsid w:val="00F41C62"/>
    <w:rsid w:val="00F462AE"/>
    <w:rsid w:val="00F47162"/>
    <w:rsid w:val="00F50B13"/>
    <w:rsid w:val="00F5734A"/>
    <w:rsid w:val="00F702F4"/>
    <w:rsid w:val="00F715F5"/>
    <w:rsid w:val="00F73B66"/>
    <w:rsid w:val="00F772CE"/>
    <w:rsid w:val="00F86122"/>
    <w:rsid w:val="00F875F6"/>
    <w:rsid w:val="00F90279"/>
    <w:rsid w:val="00F941B1"/>
    <w:rsid w:val="00FB10BA"/>
    <w:rsid w:val="00FB4F2E"/>
    <w:rsid w:val="00FB50FF"/>
    <w:rsid w:val="00FC5CE0"/>
    <w:rsid w:val="00FC6A01"/>
    <w:rsid w:val="00FD5E65"/>
    <w:rsid w:val="00FE3277"/>
    <w:rsid w:val="00FE36B1"/>
    <w:rsid w:val="00FF5656"/>
    <w:rsid w:val="0350EBBA"/>
    <w:rsid w:val="077B27FA"/>
    <w:rsid w:val="0EC67653"/>
    <w:rsid w:val="11C148E5"/>
    <w:rsid w:val="15D173A0"/>
    <w:rsid w:val="1621CF9C"/>
    <w:rsid w:val="17DE9C17"/>
    <w:rsid w:val="19234E9B"/>
    <w:rsid w:val="1B405B20"/>
    <w:rsid w:val="1C82A1D0"/>
    <w:rsid w:val="23312349"/>
    <w:rsid w:val="23B583F8"/>
    <w:rsid w:val="2524A2BF"/>
    <w:rsid w:val="313AB35A"/>
    <w:rsid w:val="33304755"/>
    <w:rsid w:val="38DEAFCE"/>
    <w:rsid w:val="40AC89D5"/>
    <w:rsid w:val="4413B4A0"/>
    <w:rsid w:val="5BCA9756"/>
    <w:rsid w:val="5E6E35E6"/>
    <w:rsid w:val="68E2F16B"/>
    <w:rsid w:val="6AA3B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D8096"/>
  <w15:chartTrackingRefBased/>
  <w15:docId w15:val="{C9DD72BC-63A7-485C-8ADA-ECD0D167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2C6"/>
    <w:rPr>
      <w:sz w:val="28"/>
      <w:szCs w:val="24"/>
    </w:rPr>
  </w:style>
  <w:style w:type="paragraph" w:styleId="Heading1">
    <w:name w:val="heading 1"/>
    <w:basedOn w:val="Normal"/>
    <w:next w:val="Normal"/>
    <w:link w:val="Heading1Char"/>
    <w:uiPriority w:val="9"/>
    <w:qFormat/>
    <w:rsid w:val="008C160E"/>
    <w:pPr>
      <w:keepNext/>
      <w:keepLines/>
      <w:spacing w:after="60"/>
      <w:ind w:left="86"/>
      <w:outlineLvl w:val="0"/>
    </w:pPr>
    <w:rPr>
      <w:rFonts w:ascii="Arial" w:hAnsi="Arial"/>
      <w:b/>
      <w:bCs/>
      <w:color w:val="005595"/>
      <w:sz w:val="36"/>
      <w:szCs w:val="36"/>
    </w:rPr>
  </w:style>
  <w:style w:type="paragraph" w:styleId="Heading2">
    <w:name w:val="heading 2"/>
    <w:basedOn w:val="Normal"/>
    <w:next w:val="Normal"/>
    <w:link w:val="Heading2Char"/>
    <w:uiPriority w:val="9"/>
    <w:unhideWhenUsed/>
    <w:qFormat/>
    <w:rsid w:val="008C160E"/>
    <w:pPr>
      <w:keepNext/>
      <w:keepLines/>
      <w:spacing w:before="360" w:after="60"/>
      <w:ind w:left="86"/>
      <w:outlineLvl w:val="1"/>
    </w:pPr>
    <w:rPr>
      <w:rFonts w:ascii="Arial" w:hAnsi="Arial" w:cs="Arial"/>
      <w:b/>
      <w:bCs/>
      <w:w w:val="9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83943"/>
    <w:pPr>
      <w:tabs>
        <w:tab w:val="center" w:pos="4320"/>
        <w:tab w:val="right" w:pos="8640"/>
      </w:tabs>
    </w:pPr>
  </w:style>
  <w:style w:type="paragraph" w:styleId="Footer">
    <w:name w:val="footer"/>
    <w:basedOn w:val="Normal"/>
    <w:rsid w:val="00490DFA"/>
    <w:pPr>
      <w:pBdr>
        <w:top w:val="single" w:sz="4" w:space="1" w:color="365F91"/>
      </w:pBdr>
      <w:tabs>
        <w:tab w:val="center" w:pos="5400"/>
        <w:tab w:val="right" w:pos="10800"/>
      </w:tabs>
    </w:pPr>
    <w:rPr>
      <w:rFonts w:ascii="Arial" w:hAnsi="Arial" w:cs="Arial"/>
      <w:color w:val="005595"/>
      <w:sz w:val="22"/>
      <w:szCs w:val="22"/>
    </w:rPr>
  </w:style>
  <w:style w:type="character" w:customStyle="1" w:styleId="Heading1Char">
    <w:name w:val="Heading 1 Char"/>
    <w:link w:val="Heading1"/>
    <w:uiPriority w:val="9"/>
    <w:rsid w:val="008C160E"/>
    <w:rPr>
      <w:rFonts w:ascii="Arial" w:hAnsi="Arial"/>
      <w:b/>
      <w:bCs/>
      <w:color w:val="005595"/>
      <w:sz w:val="36"/>
      <w:szCs w:val="36"/>
    </w:rPr>
  </w:style>
  <w:style w:type="character" w:customStyle="1" w:styleId="Heading2Char">
    <w:name w:val="Heading 2 Char"/>
    <w:link w:val="Heading2"/>
    <w:uiPriority w:val="9"/>
    <w:rsid w:val="008C160E"/>
    <w:rPr>
      <w:rFonts w:ascii="Arial" w:hAnsi="Arial" w:cs="Arial"/>
      <w:b/>
      <w:bCs/>
      <w:w w:val="90"/>
      <w:sz w:val="28"/>
      <w:szCs w:val="28"/>
    </w:rPr>
  </w:style>
  <w:style w:type="character" w:styleId="Hyperlink">
    <w:name w:val="Hyperlink"/>
    <w:rsid w:val="00D33A0D"/>
    <w:rPr>
      <w:color w:val="0000FF"/>
      <w:u w:val="single"/>
    </w:rPr>
  </w:style>
  <w:style w:type="paragraph" w:customStyle="1" w:styleId="FactText1">
    <w:name w:val="Fact Text 1"/>
    <w:qFormat/>
    <w:rsid w:val="00F47162"/>
    <w:pPr>
      <w:ind w:left="90"/>
    </w:pPr>
    <w:rPr>
      <w:rFonts w:ascii="Arial" w:hAnsi="Arial"/>
      <w:sz w:val="24"/>
      <w:szCs w:val="24"/>
    </w:rPr>
  </w:style>
  <w:style w:type="paragraph" w:customStyle="1" w:styleId="FactText2">
    <w:name w:val="Fact Text 2"/>
    <w:basedOn w:val="FactText1"/>
    <w:qFormat/>
    <w:rsid w:val="00BF0FA9"/>
    <w:pPr>
      <w:spacing w:before="240"/>
      <w:ind w:left="86"/>
    </w:pPr>
  </w:style>
  <w:style w:type="table" w:styleId="GridTable2-Accent5">
    <w:name w:val="Grid Table 2 Accent 5"/>
    <w:basedOn w:val="TableNormal"/>
    <w:uiPriority w:val="47"/>
    <w:rsid w:val="00087C0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rsid w:val="00FD5E65"/>
    <w:rPr>
      <w:rFonts w:ascii="Segoe UI" w:hAnsi="Segoe UI" w:cs="Segoe UI"/>
      <w:sz w:val="18"/>
      <w:szCs w:val="18"/>
    </w:rPr>
  </w:style>
  <w:style w:type="character" w:customStyle="1" w:styleId="BalloonTextChar">
    <w:name w:val="Balloon Text Char"/>
    <w:basedOn w:val="DefaultParagraphFont"/>
    <w:link w:val="BalloonText"/>
    <w:rsid w:val="00FD5E65"/>
    <w:rPr>
      <w:rFonts w:ascii="Segoe UI" w:hAnsi="Segoe UI" w:cs="Segoe UI"/>
      <w:sz w:val="18"/>
      <w:szCs w:val="18"/>
    </w:rPr>
  </w:style>
  <w:style w:type="character" w:styleId="UnresolvedMention">
    <w:name w:val="Unresolved Mention"/>
    <w:basedOn w:val="DefaultParagraphFont"/>
    <w:uiPriority w:val="99"/>
    <w:semiHidden/>
    <w:unhideWhenUsed/>
    <w:rsid w:val="00307802"/>
    <w:rPr>
      <w:color w:val="605E5C"/>
      <w:shd w:val="clear" w:color="auto" w:fill="E1DFDD"/>
    </w:rPr>
  </w:style>
  <w:style w:type="character" w:styleId="CommentReference">
    <w:name w:val="annotation reference"/>
    <w:basedOn w:val="DefaultParagraphFont"/>
    <w:rsid w:val="00FB50FF"/>
    <w:rPr>
      <w:sz w:val="16"/>
      <w:szCs w:val="16"/>
    </w:rPr>
  </w:style>
  <w:style w:type="paragraph" w:styleId="CommentText">
    <w:name w:val="annotation text"/>
    <w:basedOn w:val="Normal"/>
    <w:link w:val="CommentTextChar"/>
    <w:rsid w:val="00FB50FF"/>
    <w:rPr>
      <w:sz w:val="20"/>
      <w:szCs w:val="20"/>
    </w:rPr>
  </w:style>
  <w:style w:type="character" w:customStyle="1" w:styleId="CommentTextChar">
    <w:name w:val="Comment Text Char"/>
    <w:basedOn w:val="DefaultParagraphFont"/>
    <w:link w:val="CommentText"/>
    <w:rsid w:val="00FB50FF"/>
  </w:style>
  <w:style w:type="paragraph" w:styleId="CommentSubject">
    <w:name w:val="annotation subject"/>
    <w:basedOn w:val="CommentText"/>
    <w:next w:val="CommentText"/>
    <w:link w:val="CommentSubjectChar"/>
    <w:rsid w:val="00FB50FF"/>
    <w:rPr>
      <w:b/>
      <w:bCs/>
    </w:rPr>
  </w:style>
  <w:style w:type="character" w:customStyle="1" w:styleId="CommentSubjectChar">
    <w:name w:val="Comment Subject Char"/>
    <w:basedOn w:val="CommentTextChar"/>
    <w:link w:val="CommentSubject"/>
    <w:rsid w:val="00FB50FF"/>
    <w:rPr>
      <w:b/>
      <w:bCs/>
    </w:rPr>
  </w:style>
  <w:style w:type="paragraph" w:styleId="ListParagraph">
    <w:name w:val="List Paragraph"/>
    <w:basedOn w:val="Normal"/>
    <w:uiPriority w:val="34"/>
    <w:qFormat/>
    <w:rsid w:val="001D36CD"/>
    <w:pPr>
      <w:ind w:left="720"/>
      <w:contextualSpacing/>
    </w:pPr>
  </w:style>
  <w:style w:type="paragraph" w:styleId="Revision">
    <w:name w:val="Revision"/>
    <w:hidden/>
    <w:uiPriority w:val="99"/>
    <w:semiHidden/>
    <w:rsid w:val="00E407AF"/>
    <w:rPr>
      <w:sz w:val="28"/>
      <w:szCs w:val="24"/>
    </w:rPr>
  </w:style>
  <w:style w:type="character" w:styleId="FollowedHyperlink">
    <w:name w:val="FollowedHyperlink"/>
    <w:basedOn w:val="DefaultParagraphFont"/>
    <w:rsid w:val="002441CF"/>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customStyle="1" w:styleId="Default">
    <w:name w:val="Default"/>
    <w:rsid w:val="00CD7F19"/>
    <w:pPr>
      <w:spacing w:line="256" w:lineRule="auto"/>
    </w:pPr>
    <w:rPr>
      <w:rFonts w:ascii="Calibri" w:hAnsi="Calibri" w:cs="Calibri"/>
      <w:color w:val="000000"/>
      <w:kern w:val="28"/>
      <w:sz w:val="24"/>
      <w:szCs w:val="24"/>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ha-cco.powerappsportals.us/"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2024-12-31T08:00:00+00:00</Effective_x0020_dat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https://www.oregon.gov/oha/HSD/OHP/CCO/LTSS-MOU-Reminder%20and%20Update%20CY%202025-26.docx</Url>
      <Description>LTSS-MOU-Reminder and Update CY 2025-26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D9FCF9FA-47DB-4D9E-B910-EDA1DC680959}"/>
</file>

<file path=customXml/itemProps2.xml><?xml version="1.0" encoding="utf-8"?>
<ds:datastoreItem xmlns:ds="http://schemas.openxmlformats.org/officeDocument/2006/customXml" ds:itemID="{236543B9-D556-41C7-B273-26F03989D980}"/>
</file>

<file path=customXml/itemProps3.xml><?xml version="1.0" encoding="utf-8"?>
<ds:datastoreItem xmlns:ds="http://schemas.openxmlformats.org/officeDocument/2006/customXml" ds:itemID="{376D7FB6-2A27-45FF-BFEF-60C5858F0C38}"/>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2817</Characters>
  <Application>Microsoft Office Word</Application>
  <DocSecurity>0</DocSecurity>
  <Lines>23</Lines>
  <Paragraphs>6</Paragraphs>
  <ScaleCrop>false</ScaleCrop>
  <Manager/>
  <Company>State of Oregon</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LTSS-MOU-Reminder and Update CY 2025-26</dc:title>
  <dc:subject>For example, "Oregon [Meeting or Program Name] Information"</dc:subject>
  <dc:creator>Valentine Jennifer B</dc:creator>
  <cp:keywords/>
  <dc:description/>
  <cp:lastModifiedBy>Valentine Jennifer B</cp:lastModifiedBy>
  <cp:revision>34</cp:revision>
  <cp:lastPrinted>2022-09-08T17:44:00Z</cp:lastPrinted>
  <dcterms:created xsi:type="dcterms:W3CDTF">2024-11-26T18:58:00Z</dcterms:created>
  <dcterms:modified xsi:type="dcterms:W3CDTF">2024-12-31T23:25:00Z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2024-08-09T02:51:57Z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27f4c00f-6781-4222-ba53-0d0dbed5f744</vt:lpwstr>
  </property>
  <property fmtid="{D5CDD505-2E9C-101B-9397-08002B2CF9AE}" pid="8" name="MSIP_Label_11a67c04-f371-4d71-a575-202b566caae1_ContentBits">
    <vt:lpwstr>0</vt:lpwstr>
  </property>
  <property fmtid="{D5CDD505-2E9C-101B-9397-08002B2CF9AE}" pid="9" name="ContentTypeId">
    <vt:lpwstr>0x0101004FC3AD29F9C3BA4492D9BCF45F3C0A51</vt:lpwstr>
  </property>
  <property fmtid="{D5CDD505-2E9C-101B-9397-08002B2CF9AE}" pid="10" name="WorkflowChangePath">
    <vt:lpwstr>dff07ce7-2fe0-44e5-9d33-eb01c4950507,4;</vt:lpwstr>
  </property>
</Properties>
</file>