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8CFBD" w14:textId="5E284B2D" w:rsidR="00323294" w:rsidRPr="009F74B1" w:rsidRDefault="00B97D67" w:rsidP="0032329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CCO Quality Pool Distribution Plan</w:t>
      </w:r>
      <w:r w:rsidR="00323294" w:rsidRPr="009F74B1">
        <w:rPr>
          <w:rFonts w:ascii="Arial" w:hAnsi="Arial" w:cs="Arial"/>
          <w:b/>
          <w:bCs/>
          <w:sz w:val="28"/>
          <w:szCs w:val="28"/>
        </w:rPr>
        <w:t xml:space="preserve"> Evaluation Criteria</w:t>
      </w:r>
    </w:p>
    <w:p w14:paraId="575B6EA3" w14:textId="02928B7A" w:rsidR="00964888" w:rsidRPr="009F74B1" w:rsidRDefault="00F05EE4">
      <w:pPr>
        <w:rPr>
          <w:rFonts w:ascii="Arial" w:hAnsi="Arial" w:cs="Arial"/>
          <w:sz w:val="28"/>
          <w:szCs w:val="28"/>
        </w:rPr>
      </w:pPr>
      <w:r w:rsidRPr="768F3BD5">
        <w:rPr>
          <w:rFonts w:ascii="Arial" w:hAnsi="Arial" w:cs="Arial"/>
          <w:sz w:val="28"/>
          <w:szCs w:val="28"/>
        </w:rPr>
        <w:t>To</w:t>
      </w:r>
      <w:r w:rsidR="00964888" w:rsidRPr="768F3BD5">
        <w:rPr>
          <w:rFonts w:ascii="Arial" w:hAnsi="Arial" w:cs="Arial"/>
          <w:sz w:val="28"/>
          <w:szCs w:val="28"/>
        </w:rPr>
        <w:t xml:space="preserve"> comply with the </w:t>
      </w:r>
      <w:r w:rsidR="00B97D67" w:rsidRPr="768F3BD5">
        <w:rPr>
          <w:rFonts w:ascii="Arial" w:hAnsi="Arial" w:cs="Arial"/>
          <w:sz w:val="28"/>
          <w:szCs w:val="28"/>
        </w:rPr>
        <w:t>CCO Quality Pool Distribution Plan</w:t>
      </w:r>
      <w:r w:rsidR="00964888" w:rsidRPr="768F3BD5">
        <w:rPr>
          <w:rFonts w:ascii="Arial" w:hAnsi="Arial" w:cs="Arial"/>
          <w:sz w:val="28"/>
          <w:szCs w:val="28"/>
        </w:rPr>
        <w:t xml:space="preserve"> contract deliverable, CCOs must complete all questions o</w:t>
      </w:r>
      <w:r w:rsidR="00B97D67" w:rsidRPr="768F3BD5">
        <w:rPr>
          <w:rFonts w:ascii="Arial" w:hAnsi="Arial" w:cs="Arial"/>
          <w:sz w:val="28"/>
          <w:szCs w:val="28"/>
        </w:rPr>
        <w:t>n</w:t>
      </w:r>
      <w:r w:rsidR="00964888" w:rsidRPr="768F3BD5">
        <w:rPr>
          <w:rFonts w:ascii="Arial" w:hAnsi="Arial" w:cs="Arial"/>
          <w:sz w:val="28"/>
          <w:szCs w:val="28"/>
        </w:rPr>
        <w:t xml:space="preserve"> th</w:t>
      </w:r>
      <w:r w:rsidR="00B97D67" w:rsidRPr="768F3BD5">
        <w:rPr>
          <w:rFonts w:ascii="Arial" w:hAnsi="Arial" w:cs="Arial"/>
          <w:sz w:val="28"/>
          <w:szCs w:val="28"/>
        </w:rPr>
        <w:t xml:space="preserve">e distribution plan template </w:t>
      </w:r>
      <w:r w:rsidR="00964888" w:rsidRPr="768F3BD5">
        <w:rPr>
          <w:rFonts w:ascii="Arial" w:hAnsi="Arial" w:cs="Arial"/>
          <w:sz w:val="28"/>
          <w:szCs w:val="28"/>
        </w:rPr>
        <w:t>by</w:t>
      </w:r>
      <w:r w:rsidR="00790D56">
        <w:rPr>
          <w:rFonts w:ascii="Arial" w:hAnsi="Arial" w:cs="Arial"/>
          <w:sz w:val="28"/>
          <w:szCs w:val="28"/>
        </w:rPr>
        <w:t xml:space="preserve"> </w:t>
      </w:r>
      <w:r w:rsidR="00BD0073">
        <w:rPr>
          <w:rFonts w:ascii="Arial" w:hAnsi="Arial" w:cs="Arial"/>
          <w:sz w:val="28"/>
          <w:szCs w:val="28"/>
        </w:rPr>
        <w:t>Octo</w:t>
      </w:r>
      <w:r w:rsidR="00EC3623">
        <w:rPr>
          <w:rFonts w:ascii="Arial" w:hAnsi="Arial" w:cs="Arial"/>
          <w:sz w:val="28"/>
          <w:szCs w:val="28"/>
        </w:rPr>
        <w:t>ber 7</w:t>
      </w:r>
      <w:r w:rsidR="00790D56">
        <w:rPr>
          <w:rFonts w:ascii="Arial" w:hAnsi="Arial" w:cs="Arial"/>
          <w:sz w:val="28"/>
          <w:szCs w:val="28"/>
        </w:rPr>
        <w:t>, 202</w:t>
      </w:r>
      <w:r w:rsidR="00335799">
        <w:rPr>
          <w:rFonts w:ascii="Arial" w:hAnsi="Arial" w:cs="Arial"/>
          <w:sz w:val="28"/>
          <w:szCs w:val="28"/>
        </w:rPr>
        <w:t>6</w:t>
      </w:r>
      <w:r w:rsidR="00964888" w:rsidRPr="57EEE457">
        <w:rPr>
          <w:rFonts w:ascii="Arial" w:hAnsi="Arial" w:cs="Arial"/>
          <w:sz w:val="28"/>
          <w:szCs w:val="28"/>
        </w:rPr>
        <w:t>.</w:t>
      </w:r>
      <w:r w:rsidR="00964888" w:rsidRPr="768F3BD5">
        <w:rPr>
          <w:rFonts w:ascii="Arial" w:hAnsi="Arial" w:cs="Arial"/>
          <w:sz w:val="28"/>
          <w:szCs w:val="28"/>
        </w:rPr>
        <w:t xml:space="preserve"> The following criteria must be met </w:t>
      </w:r>
      <w:r w:rsidR="009A6907" w:rsidRPr="768F3BD5">
        <w:rPr>
          <w:rFonts w:ascii="Arial" w:hAnsi="Arial" w:cs="Arial"/>
          <w:sz w:val="28"/>
          <w:szCs w:val="28"/>
        </w:rPr>
        <w:t>for</w:t>
      </w:r>
      <w:r w:rsidR="00964888" w:rsidRPr="768F3BD5">
        <w:rPr>
          <w:rFonts w:ascii="Arial" w:hAnsi="Arial" w:cs="Arial"/>
          <w:sz w:val="28"/>
          <w:szCs w:val="28"/>
        </w:rPr>
        <w:t xml:space="preserve"> the </w:t>
      </w:r>
      <w:proofErr w:type="gramStart"/>
      <w:r w:rsidR="00964888" w:rsidRPr="768F3BD5">
        <w:rPr>
          <w:rFonts w:ascii="Arial" w:hAnsi="Arial" w:cs="Arial"/>
          <w:sz w:val="28"/>
          <w:szCs w:val="28"/>
        </w:rPr>
        <w:t>deliverable</w:t>
      </w:r>
      <w:proofErr w:type="gramEnd"/>
      <w:r w:rsidR="00964888" w:rsidRPr="768F3BD5">
        <w:rPr>
          <w:rFonts w:ascii="Arial" w:hAnsi="Arial" w:cs="Arial"/>
          <w:sz w:val="28"/>
          <w:szCs w:val="28"/>
        </w:rPr>
        <w:t xml:space="preserve"> to be approved.</w:t>
      </w:r>
    </w:p>
    <w:tbl>
      <w:tblPr>
        <w:tblStyle w:val="TableGrid"/>
        <w:tblW w:w="9350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650"/>
        <w:gridCol w:w="1700"/>
      </w:tblGrid>
      <w:tr w:rsidR="00636C62" w:rsidRPr="009F74B1" w14:paraId="4D184782" w14:textId="77777777" w:rsidTr="768F3BD5">
        <w:trPr>
          <w:trHeight w:val="323"/>
          <w:jc w:val="center"/>
        </w:trPr>
        <w:tc>
          <w:tcPr>
            <w:tcW w:w="7650" w:type="dxa"/>
            <w:shd w:val="clear" w:color="auto" w:fill="F4B083" w:themeFill="accent2" w:themeFillTint="99"/>
          </w:tcPr>
          <w:p w14:paraId="6F4ED5B3" w14:textId="0DD20B29" w:rsidR="00636C62" w:rsidRPr="009F74B1" w:rsidRDefault="00636C62" w:rsidP="00C022A6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F74B1">
              <w:rPr>
                <w:rFonts w:ascii="Arial" w:hAnsi="Arial" w:cs="Arial"/>
                <w:b/>
                <w:bCs/>
                <w:sz w:val="28"/>
                <w:szCs w:val="28"/>
              </w:rPr>
              <w:t>Criteria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654A8A13" w14:textId="3483B0DC" w:rsidR="00636C62" w:rsidRPr="009F74B1" w:rsidRDefault="00636C62" w:rsidP="00C022A6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ind w:left="-88"/>
              <w:rPr>
                <w:rFonts w:ascii="Arial" w:hAnsi="Arial" w:cs="Arial"/>
                <w:sz w:val="28"/>
                <w:szCs w:val="28"/>
              </w:rPr>
            </w:pPr>
            <w:r w:rsidRPr="009F74B1">
              <w:rPr>
                <w:rFonts w:ascii="Arial" w:hAnsi="Arial" w:cs="Arial"/>
                <w:b/>
                <w:bCs/>
                <w:sz w:val="28"/>
                <w:szCs w:val="28"/>
              </w:rPr>
              <w:t>Evaluation</w:t>
            </w:r>
          </w:p>
        </w:tc>
      </w:tr>
      <w:tr w:rsidR="00636C62" w:rsidRPr="009F74B1" w14:paraId="4B706B77" w14:textId="77777777" w:rsidTr="768F3BD5">
        <w:trPr>
          <w:trHeight w:val="773"/>
          <w:jc w:val="center"/>
        </w:trPr>
        <w:tc>
          <w:tcPr>
            <w:tcW w:w="7650" w:type="dxa"/>
            <w:shd w:val="clear" w:color="auto" w:fill="FBE4D5" w:themeFill="accent2" w:themeFillTint="33"/>
          </w:tcPr>
          <w:p w14:paraId="77A62F7A" w14:textId="422638FC" w:rsidR="00636C62" w:rsidRPr="009F74B1" w:rsidRDefault="65E58A05" w:rsidP="00636C62">
            <w:pPr>
              <w:pStyle w:val="text1"/>
              <w:numPr>
                <w:ilvl w:val="0"/>
                <w:numId w:val="1"/>
              </w:numPr>
              <w:tabs>
                <w:tab w:val="right" w:pos="1080"/>
                <w:tab w:val="left" w:pos="1260"/>
              </w:tabs>
              <w:spacing w:before="0" w:line="240" w:lineRule="auto"/>
              <w:ind w:left="240" w:hanging="270"/>
              <w:rPr>
                <w:rFonts w:ascii="Arial" w:hAnsi="Arial" w:cs="Arial"/>
                <w:sz w:val="28"/>
                <w:szCs w:val="28"/>
              </w:rPr>
            </w:pPr>
            <w:r w:rsidRPr="768F3BD5">
              <w:rPr>
                <w:rFonts w:ascii="Arial" w:hAnsi="Arial" w:cs="Arial"/>
                <w:sz w:val="28"/>
                <w:szCs w:val="28"/>
              </w:rPr>
              <w:t>CCO provided overview of methodology and/or strategy used to distribute Quality Pool and Challenge Pool earnings to Participating Providers, including SDOH-E and public health partners (template question #1).</w:t>
            </w:r>
          </w:p>
        </w:tc>
        <w:tc>
          <w:tcPr>
            <w:tcW w:w="1700" w:type="dxa"/>
            <w:shd w:val="clear" w:color="auto" w:fill="auto"/>
          </w:tcPr>
          <w:p w14:paraId="2EF10BA5" w14:textId="77777777" w:rsidR="00323294" w:rsidRPr="009F74B1" w:rsidRDefault="00BD0073" w:rsidP="00323294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ind w:left="-88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68506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294" w:rsidRPr="009F74B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323294" w:rsidRPr="009F74B1">
              <w:rPr>
                <w:rFonts w:ascii="Arial" w:hAnsi="Arial" w:cs="Arial"/>
                <w:sz w:val="28"/>
                <w:szCs w:val="28"/>
              </w:rPr>
              <w:t xml:space="preserve"> YES </w:t>
            </w:r>
          </w:p>
          <w:p w14:paraId="70588391" w14:textId="77777777" w:rsidR="00323294" w:rsidRPr="009F74B1" w:rsidRDefault="00BD0073" w:rsidP="00323294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ind w:left="-88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4873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294" w:rsidRPr="009F74B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323294" w:rsidRPr="009F74B1">
              <w:rPr>
                <w:rFonts w:ascii="Arial" w:hAnsi="Arial" w:cs="Arial"/>
                <w:sz w:val="28"/>
                <w:szCs w:val="28"/>
              </w:rPr>
              <w:t xml:space="preserve"> NO</w:t>
            </w:r>
          </w:p>
          <w:p w14:paraId="3D784EB6" w14:textId="77777777" w:rsidR="00636C62" w:rsidRPr="009F74B1" w:rsidRDefault="00636C62" w:rsidP="00C022A6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ind w:left="-88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3294" w:rsidRPr="009F74B1" w14:paraId="114BFA6F" w14:textId="77777777" w:rsidTr="768F3BD5">
        <w:trPr>
          <w:trHeight w:val="773"/>
          <w:jc w:val="center"/>
        </w:trPr>
        <w:tc>
          <w:tcPr>
            <w:tcW w:w="7650" w:type="dxa"/>
            <w:shd w:val="clear" w:color="auto" w:fill="FBE4D5" w:themeFill="accent2" w:themeFillTint="33"/>
          </w:tcPr>
          <w:p w14:paraId="77EBA036" w14:textId="1C0DDF21" w:rsidR="00323294" w:rsidRPr="009F74B1" w:rsidRDefault="65E58A05" w:rsidP="00636C62">
            <w:pPr>
              <w:pStyle w:val="text1"/>
              <w:numPr>
                <w:ilvl w:val="0"/>
                <w:numId w:val="1"/>
              </w:numPr>
              <w:tabs>
                <w:tab w:val="right" w:pos="1080"/>
                <w:tab w:val="left" w:pos="1260"/>
              </w:tabs>
              <w:spacing w:before="0" w:line="240" w:lineRule="auto"/>
              <w:ind w:left="240" w:hanging="270"/>
              <w:rPr>
                <w:rFonts w:ascii="Arial" w:hAnsi="Arial" w:cs="Arial"/>
                <w:sz w:val="28"/>
                <w:szCs w:val="28"/>
              </w:rPr>
            </w:pPr>
            <w:r w:rsidRPr="768F3BD5">
              <w:rPr>
                <w:rFonts w:ascii="Arial" w:hAnsi="Arial" w:cs="Arial"/>
                <w:sz w:val="28"/>
                <w:szCs w:val="28"/>
              </w:rPr>
              <w:t xml:space="preserve">CCO described their process for evaluating the contributions of Participating Providers and </w:t>
            </w:r>
            <w:r w:rsidR="245B6D7F" w:rsidRPr="768F3BD5">
              <w:rPr>
                <w:rFonts w:ascii="Arial" w:hAnsi="Arial" w:cs="Arial"/>
                <w:sz w:val="28"/>
                <w:szCs w:val="28"/>
              </w:rPr>
              <w:t xml:space="preserve">how they may qualify </w:t>
            </w:r>
            <w:r w:rsidRPr="768F3BD5">
              <w:rPr>
                <w:rFonts w:ascii="Arial" w:hAnsi="Arial" w:cs="Arial"/>
                <w:sz w:val="28"/>
                <w:szCs w:val="28"/>
              </w:rPr>
              <w:t>f</w:t>
            </w:r>
            <w:r w:rsidR="38B8240D" w:rsidRPr="768F3BD5">
              <w:rPr>
                <w:rFonts w:ascii="Arial" w:hAnsi="Arial" w:cs="Arial"/>
                <w:sz w:val="28"/>
                <w:szCs w:val="28"/>
              </w:rPr>
              <w:t>or CCO distribution of Quality Pool earnings</w:t>
            </w:r>
            <w:r w:rsidRPr="768F3BD5">
              <w:rPr>
                <w:rFonts w:ascii="Arial" w:hAnsi="Arial" w:cs="Arial"/>
                <w:sz w:val="28"/>
                <w:szCs w:val="28"/>
              </w:rPr>
              <w:t xml:space="preserve"> (template question #2).</w:t>
            </w:r>
          </w:p>
        </w:tc>
        <w:tc>
          <w:tcPr>
            <w:tcW w:w="1700" w:type="dxa"/>
            <w:shd w:val="clear" w:color="auto" w:fill="auto"/>
          </w:tcPr>
          <w:p w14:paraId="74EA3E09" w14:textId="77777777" w:rsidR="00323294" w:rsidRPr="009F74B1" w:rsidRDefault="00BD0073" w:rsidP="00323294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ind w:left="-88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88575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294" w:rsidRPr="009F74B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323294" w:rsidRPr="009F74B1">
              <w:rPr>
                <w:rFonts w:ascii="Arial" w:hAnsi="Arial" w:cs="Arial"/>
                <w:sz w:val="28"/>
                <w:szCs w:val="28"/>
              </w:rPr>
              <w:t xml:space="preserve"> YES </w:t>
            </w:r>
          </w:p>
          <w:p w14:paraId="595AC851" w14:textId="77777777" w:rsidR="00323294" w:rsidRPr="009F74B1" w:rsidRDefault="00BD0073" w:rsidP="00323294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ind w:left="-88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37419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294" w:rsidRPr="009F74B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323294" w:rsidRPr="009F74B1">
              <w:rPr>
                <w:rFonts w:ascii="Arial" w:hAnsi="Arial" w:cs="Arial"/>
                <w:sz w:val="28"/>
                <w:szCs w:val="28"/>
              </w:rPr>
              <w:t xml:space="preserve"> NO</w:t>
            </w:r>
          </w:p>
          <w:p w14:paraId="256E3DF7" w14:textId="77777777" w:rsidR="00323294" w:rsidRPr="009F74B1" w:rsidRDefault="00323294" w:rsidP="00323294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ind w:left="-88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3294" w:rsidRPr="009F74B1" w14:paraId="31FCCEF5" w14:textId="77777777" w:rsidTr="768F3BD5">
        <w:trPr>
          <w:trHeight w:val="773"/>
          <w:jc w:val="center"/>
        </w:trPr>
        <w:tc>
          <w:tcPr>
            <w:tcW w:w="7650" w:type="dxa"/>
            <w:shd w:val="clear" w:color="auto" w:fill="FBE4D5" w:themeFill="accent2" w:themeFillTint="33"/>
          </w:tcPr>
          <w:p w14:paraId="7A5C1F06" w14:textId="0CCCA2E7" w:rsidR="00323294" w:rsidRPr="009F74B1" w:rsidRDefault="65E58A05" w:rsidP="00636C62">
            <w:pPr>
              <w:pStyle w:val="text1"/>
              <w:numPr>
                <w:ilvl w:val="0"/>
                <w:numId w:val="1"/>
              </w:numPr>
              <w:tabs>
                <w:tab w:val="right" w:pos="1080"/>
                <w:tab w:val="left" w:pos="1260"/>
              </w:tabs>
              <w:spacing w:before="0" w:line="240" w:lineRule="auto"/>
              <w:ind w:left="240" w:hanging="270"/>
              <w:rPr>
                <w:rFonts w:ascii="Arial" w:hAnsi="Arial" w:cs="Arial"/>
                <w:sz w:val="28"/>
                <w:szCs w:val="28"/>
              </w:rPr>
            </w:pPr>
            <w:r w:rsidRPr="768F3BD5">
              <w:rPr>
                <w:rFonts w:ascii="Arial" w:hAnsi="Arial" w:cs="Arial"/>
                <w:sz w:val="28"/>
                <w:szCs w:val="28"/>
              </w:rPr>
              <w:t xml:space="preserve">CCO stated whether their distribution strategy considers </w:t>
            </w:r>
            <w:r w:rsidR="62F3EF9D" w:rsidRPr="768F3BD5">
              <w:rPr>
                <w:rFonts w:ascii="Arial" w:hAnsi="Arial" w:cs="Arial"/>
                <w:sz w:val="28"/>
                <w:szCs w:val="28"/>
              </w:rPr>
              <w:t xml:space="preserve">payments </w:t>
            </w:r>
            <w:r w:rsidRPr="768F3BD5">
              <w:rPr>
                <w:rFonts w:ascii="Arial" w:hAnsi="Arial" w:cs="Arial"/>
                <w:sz w:val="28"/>
                <w:szCs w:val="28"/>
              </w:rPr>
              <w:t>made previously to Participating Providers and described the strategy, if applicable (template question #3).</w:t>
            </w:r>
          </w:p>
        </w:tc>
        <w:tc>
          <w:tcPr>
            <w:tcW w:w="1700" w:type="dxa"/>
            <w:shd w:val="clear" w:color="auto" w:fill="auto"/>
          </w:tcPr>
          <w:p w14:paraId="741D6A9C" w14:textId="77777777" w:rsidR="00323294" w:rsidRPr="009F74B1" w:rsidRDefault="00BD0073" w:rsidP="00323294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ind w:left="-88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58106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294" w:rsidRPr="009F74B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323294" w:rsidRPr="009F74B1">
              <w:rPr>
                <w:rFonts w:ascii="Arial" w:hAnsi="Arial" w:cs="Arial"/>
                <w:sz w:val="28"/>
                <w:szCs w:val="28"/>
              </w:rPr>
              <w:t xml:space="preserve"> YES </w:t>
            </w:r>
          </w:p>
          <w:p w14:paraId="278FC9B3" w14:textId="77777777" w:rsidR="00323294" w:rsidRPr="009F74B1" w:rsidRDefault="00BD0073" w:rsidP="00323294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ind w:left="-88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56575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294" w:rsidRPr="009F74B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323294" w:rsidRPr="009F74B1">
              <w:rPr>
                <w:rFonts w:ascii="Arial" w:hAnsi="Arial" w:cs="Arial"/>
                <w:sz w:val="28"/>
                <w:szCs w:val="28"/>
              </w:rPr>
              <w:t xml:space="preserve"> NO</w:t>
            </w:r>
          </w:p>
          <w:p w14:paraId="3B1F11DB" w14:textId="77777777" w:rsidR="00323294" w:rsidRPr="009F74B1" w:rsidRDefault="00323294" w:rsidP="00323294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ind w:left="-88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15ED" w:rsidRPr="009F74B1" w14:paraId="2291744F" w14:textId="77777777" w:rsidTr="768F3BD5">
        <w:trPr>
          <w:trHeight w:val="773"/>
          <w:jc w:val="center"/>
        </w:trPr>
        <w:tc>
          <w:tcPr>
            <w:tcW w:w="7650" w:type="dxa"/>
            <w:shd w:val="clear" w:color="auto" w:fill="FBE4D5" w:themeFill="accent2" w:themeFillTint="33"/>
          </w:tcPr>
          <w:p w14:paraId="7D15FFF8" w14:textId="7AAB709A" w:rsidR="007015ED" w:rsidRDefault="6F50C0E3" w:rsidP="00636C62">
            <w:pPr>
              <w:pStyle w:val="text1"/>
              <w:numPr>
                <w:ilvl w:val="0"/>
                <w:numId w:val="1"/>
              </w:numPr>
              <w:tabs>
                <w:tab w:val="right" w:pos="1080"/>
                <w:tab w:val="left" w:pos="1260"/>
              </w:tabs>
              <w:spacing w:before="0" w:line="240" w:lineRule="auto"/>
              <w:ind w:left="240" w:hanging="270"/>
              <w:rPr>
                <w:rFonts w:ascii="Arial" w:hAnsi="Arial" w:cs="Arial"/>
                <w:sz w:val="28"/>
                <w:szCs w:val="28"/>
              </w:rPr>
            </w:pPr>
            <w:r w:rsidRPr="768F3BD5">
              <w:rPr>
                <w:rFonts w:ascii="Arial" w:hAnsi="Arial" w:cs="Arial"/>
                <w:sz w:val="28"/>
                <w:szCs w:val="28"/>
              </w:rPr>
              <w:t>CCO described any changes they plan to make to its process for distributing Quality Pool funds in future years (template question #</w:t>
            </w:r>
            <w:r w:rsidR="00E0971F" w:rsidRPr="768F3BD5">
              <w:rPr>
                <w:rFonts w:ascii="Arial" w:hAnsi="Arial" w:cs="Arial"/>
                <w:sz w:val="28"/>
                <w:szCs w:val="28"/>
              </w:rPr>
              <w:t>4</w:t>
            </w:r>
            <w:r w:rsidRPr="768F3BD5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700" w:type="dxa"/>
            <w:shd w:val="clear" w:color="auto" w:fill="auto"/>
          </w:tcPr>
          <w:p w14:paraId="58C9881B" w14:textId="77777777" w:rsidR="007015ED" w:rsidRPr="009F74B1" w:rsidRDefault="00BD0073" w:rsidP="007015ED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ind w:left="-88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32288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5ED" w:rsidRPr="009F74B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015ED" w:rsidRPr="009F74B1">
              <w:rPr>
                <w:rFonts w:ascii="Arial" w:hAnsi="Arial" w:cs="Arial"/>
                <w:sz w:val="28"/>
                <w:szCs w:val="28"/>
              </w:rPr>
              <w:t xml:space="preserve"> YES </w:t>
            </w:r>
          </w:p>
          <w:p w14:paraId="46775B36" w14:textId="77777777" w:rsidR="007015ED" w:rsidRPr="009F74B1" w:rsidRDefault="00BD0073" w:rsidP="007015ED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ind w:left="-88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10893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5ED" w:rsidRPr="009F74B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015ED" w:rsidRPr="009F74B1">
              <w:rPr>
                <w:rFonts w:ascii="Arial" w:hAnsi="Arial" w:cs="Arial"/>
                <w:sz w:val="28"/>
                <w:szCs w:val="28"/>
              </w:rPr>
              <w:t xml:space="preserve"> NO</w:t>
            </w:r>
          </w:p>
          <w:p w14:paraId="5009C9D9" w14:textId="77777777" w:rsidR="007015ED" w:rsidRDefault="007015ED" w:rsidP="00140B84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ind w:left="-88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15ED" w:rsidRPr="009F74B1" w14:paraId="56BD9078" w14:textId="77777777" w:rsidTr="768F3BD5">
        <w:trPr>
          <w:trHeight w:val="773"/>
          <w:jc w:val="center"/>
        </w:trPr>
        <w:tc>
          <w:tcPr>
            <w:tcW w:w="7650" w:type="dxa"/>
            <w:shd w:val="clear" w:color="auto" w:fill="FBE4D5" w:themeFill="accent2" w:themeFillTint="33"/>
          </w:tcPr>
          <w:p w14:paraId="2BD41AFA" w14:textId="14D8F6AE" w:rsidR="007015ED" w:rsidRDefault="6F50C0E3" w:rsidP="00636C62">
            <w:pPr>
              <w:pStyle w:val="text1"/>
              <w:numPr>
                <w:ilvl w:val="0"/>
                <w:numId w:val="1"/>
              </w:numPr>
              <w:tabs>
                <w:tab w:val="right" w:pos="1080"/>
                <w:tab w:val="left" w:pos="1260"/>
              </w:tabs>
              <w:spacing w:before="0" w:line="240" w:lineRule="auto"/>
              <w:ind w:left="240" w:hanging="270"/>
              <w:rPr>
                <w:rFonts w:ascii="Arial" w:hAnsi="Arial" w:cs="Arial"/>
                <w:sz w:val="28"/>
                <w:szCs w:val="28"/>
              </w:rPr>
            </w:pPr>
            <w:r w:rsidRPr="768F3BD5">
              <w:rPr>
                <w:rFonts w:ascii="Arial" w:hAnsi="Arial" w:cs="Arial"/>
                <w:sz w:val="28"/>
                <w:szCs w:val="28"/>
              </w:rPr>
              <w:t xml:space="preserve">CCO provided </w:t>
            </w:r>
            <w:proofErr w:type="gramStart"/>
            <w:r w:rsidRPr="768F3BD5">
              <w:rPr>
                <w:rFonts w:ascii="Arial" w:hAnsi="Arial" w:cs="Arial"/>
                <w:sz w:val="28"/>
                <w:szCs w:val="28"/>
              </w:rPr>
              <w:t>link</w:t>
            </w:r>
            <w:proofErr w:type="gramEnd"/>
            <w:r w:rsidRPr="768F3BD5">
              <w:rPr>
                <w:rFonts w:ascii="Arial" w:hAnsi="Arial" w:cs="Arial"/>
                <w:sz w:val="28"/>
                <w:szCs w:val="28"/>
              </w:rPr>
              <w:t xml:space="preserve"> to where the completed distribution plan will be available on their website (template question #</w:t>
            </w:r>
            <w:r w:rsidR="32866FDC" w:rsidRPr="768F3BD5">
              <w:rPr>
                <w:rFonts w:ascii="Arial" w:hAnsi="Arial" w:cs="Arial"/>
                <w:sz w:val="28"/>
                <w:szCs w:val="28"/>
              </w:rPr>
              <w:t>5</w:t>
            </w:r>
            <w:r w:rsidRPr="768F3BD5">
              <w:rPr>
                <w:rFonts w:ascii="Arial" w:hAnsi="Arial" w:cs="Arial"/>
                <w:sz w:val="28"/>
                <w:szCs w:val="28"/>
              </w:rPr>
              <w:t>).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14:paraId="351EBDEC" w14:textId="77777777" w:rsidR="007015ED" w:rsidRPr="009F74B1" w:rsidRDefault="00BD0073" w:rsidP="007015ED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ind w:left="-88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67280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5ED" w:rsidRPr="009F74B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015ED" w:rsidRPr="009F74B1">
              <w:rPr>
                <w:rFonts w:ascii="Arial" w:hAnsi="Arial" w:cs="Arial"/>
                <w:sz w:val="28"/>
                <w:szCs w:val="28"/>
              </w:rPr>
              <w:t xml:space="preserve"> YES </w:t>
            </w:r>
          </w:p>
          <w:p w14:paraId="7768E5E4" w14:textId="77777777" w:rsidR="007015ED" w:rsidRPr="009F74B1" w:rsidRDefault="00BD0073" w:rsidP="007015ED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ind w:left="-88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93319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5ED" w:rsidRPr="009F74B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015ED" w:rsidRPr="009F74B1">
              <w:rPr>
                <w:rFonts w:ascii="Arial" w:hAnsi="Arial" w:cs="Arial"/>
                <w:sz w:val="28"/>
                <w:szCs w:val="28"/>
              </w:rPr>
              <w:t xml:space="preserve"> NO</w:t>
            </w:r>
          </w:p>
          <w:p w14:paraId="031BA60A" w14:textId="77777777" w:rsidR="007015ED" w:rsidRDefault="007015ED" w:rsidP="00140B84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ind w:left="-88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86BDF1F" w14:textId="77777777" w:rsidR="00636C62" w:rsidRDefault="00636C62"/>
    <w:p w14:paraId="0926DC40" w14:textId="46D1DA9A" w:rsidR="4B259E29" w:rsidRDefault="4B259E29" w:rsidP="768F3BD5">
      <w:pPr>
        <w:rPr>
          <w:rFonts w:ascii="Arial" w:eastAsia="Arial" w:hAnsi="Arial" w:cs="Arial"/>
          <w:sz w:val="28"/>
          <w:szCs w:val="28"/>
        </w:rPr>
      </w:pPr>
      <w:r w:rsidRPr="768F3BD5">
        <w:rPr>
          <w:rFonts w:ascii="Arial" w:eastAsia="Arial" w:hAnsi="Arial" w:cs="Arial"/>
          <w:b/>
          <w:bCs/>
          <w:sz w:val="28"/>
          <w:szCs w:val="28"/>
        </w:rPr>
        <w:t>Score</w:t>
      </w:r>
      <w:r w:rsidRPr="768F3BD5">
        <w:rPr>
          <w:rFonts w:ascii="Arial" w:eastAsia="Arial" w:hAnsi="Arial" w:cs="Arial"/>
          <w:sz w:val="28"/>
          <w:szCs w:val="28"/>
        </w:rPr>
        <w:t>: X (out of possible 5 points)</w:t>
      </w:r>
    </w:p>
    <w:sectPr w:rsidR="4B259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URW">
    <w:altName w:val="Calibri"/>
    <w:panose1 w:val="000000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538FA"/>
    <w:multiLevelType w:val="hybridMultilevel"/>
    <w:tmpl w:val="77B84C76"/>
    <w:lvl w:ilvl="0" w:tplc="E4620B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24677"/>
    <w:multiLevelType w:val="hybridMultilevel"/>
    <w:tmpl w:val="FA2E3D60"/>
    <w:lvl w:ilvl="0" w:tplc="539E2DF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A45FD"/>
    <w:multiLevelType w:val="hybridMultilevel"/>
    <w:tmpl w:val="33FCB090"/>
    <w:lvl w:ilvl="0" w:tplc="1A06CC3E">
      <w:start w:val="5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468994">
    <w:abstractNumId w:val="0"/>
  </w:num>
  <w:num w:numId="2" w16cid:durableId="1445953092">
    <w:abstractNumId w:val="2"/>
  </w:num>
  <w:num w:numId="3" w16cid:durableId="1335261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62"/>
    <w:rsid w:val="0011277C"/>
    <w:rsid w:val="00140B84"/>
    <w:rsid w:val="002702F0"/>
    <w:rsid w:val="002A37BB"/>
    <w:rsid w:val="002C7485"/>
    <w:rsid w:val="002D0759"/>
    <w:rsid w:val="002E1B8B"/>
    <w:rsid w:val="003139F8"/>
    <w:rsid w:val="00323294"/>
    <w:rsid w:val="00335799"/>
    <w:rsid w:val="00355CBB"/>
    <w:rsid w:val="00414AC3"/>
    <w:rsid w:val="004812B1"/>
    <w:rsid w:val="00481891"/>
    <w:rsid w:val="004831EC"/>
    <w:rsid w:val="004B2CAD"/>
    <w:rsid w:val="004B3090"/>
    <w:rsid w:val="004C4F9B"/>
    <w:rsid w:val="004D1930"/>
    <w:rsid w:val="004D3C61"/>
    <w:rsid w:val="005C79EB"/>
    <w:rsid w:val="0062615E"/>
    <w:rsid w:val="00636C62"/>
    <w:rsid w:val="007015ED"/>
    <w:rsid w:val="00790D56"/>
    <w:rsid w:val="007C7790"/>
    <w:rsid w:val="008A13CD"/>
    <w:rsid w:val="008C00E1"/>
    <w:rsid w:val="00964888"/>
    <w:rsid w:val="009A29CD"/>
    <w:rsid w:val="009A6907"/>
    <w:rsid w:val="009E6F2E"/>
    <w:rsid w:val="009F74B1"/>
    <w:rsid w:val="00B97D67"/>
    <w:rsid w:val="00BB26E1"/>
    <w:rsid w:val="00BD0073"/>
    <w:rsid w:val="00C022A6"/>
    <w:rsid w:val="00C127A0"/>
    <w:rsid w:val="00C13FA7"/>
    <w:rsid w:val="00C70C08"/>
    <w:rsid w:val="00CA1E9F"/>
    <w:rsid w:val="00CD46D0"/>
    <w:rsid w:val="00CD585A"/>
    <w:rsid w:val="00D8267D"/>
    <w:rsid w:val="00DB22AC"/>
    <w:rsid w:val="00E0971F"/>
    <w:rsid w:val="00E13A82"/>
    <w:rsid w:val="00E60516"/>
    <w:rsid w:val="00E64C7D"/>
    <w:rsid w:val="00EA7BD1"/>
    <w:rsid w:val="00EC3623"/>
    <w:rsid w:val="00ED1EBC"/>
    <w:rsid w:val="00EE325E"/>
    <w:rsid w:val="00EE4435"/>
    <w:rsid w:val="00EE693E"/>
    <w:rsid w:val="00F01902"/>
    <w:rsid w:val="00F05EE4"/>
    <w:rsid w:val="00F43502"/>
    <w:rsid w:val="00F472B9"/>
    <w:rsid w:val="00F54AC6"/>
    <w:rsid w:val="01837862"/>
    <w:rsid w:val="1214B1EC"/>
    <w:rsid w:val="245B6D7F"/>
    <w:rsid w:val="2515D3F6"/>
    <w:rsid w:val="32866FDC"/>
    <w:rsid w:val="34F452B0"/>
    <w:rsid w:val="38B8240D"/>
    <w:rsid w:val="3B16ECD9"/>
    <w:rsid w:val="40588B30"/>
    <w:rsid w:val="40E07D10"/>
    <w:rsid w:val="4253FDC7"/>
    <w:rsid w:val="4624DBA8"/>
    <w:rsid w:val="4B259E29"/>
    <w:rsid w:val="4C6C853A"/>
    <w:rsid w:val="4EFD6B1D"/>
    <w:rsid w:val="57EEE457"/>
    <w:rsid w:val="59DD4420"/>
    <w:rsid w:val="5D3FBB95"/>
    <w:rsid w:val="5D832178"/>
    <w:rsid w:val="61E8A819"/>
    <w:rsid w:val="62F3EF9D"/>
    <w:rsid w:val="65E58A05"/>
    <w:rsid w:val="66C35676"/>
    <w:rsid w:val="6F50C0E3"/>
    <w:rsid w:val="768F3BD5"/>
    <w:rsid w:val="7D4D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79A4B"/>
  <w15:chartTrackingRefBased/>
  <w15:docId w15:val="{05FD3F06-CA6D-46C3-ABC9-254BDCEC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6C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1">
    <w:name w:val="text 1"/>
    <w:basedOn w:val="Normal"/>
    <w:rsid w:val="00636C62"/>
    <w:pPr>
      <w:suppressAutoHyphens/>
      <w:autoSpaceDE w:val="0"/>
      <w:autoSpaceDN w:val="0"/>
      <w:adjustRightInd w:val="0"/>
      <w:spacing w:before="60" w:after="0" w:line="280" w:lineRule="atLeast"/>
      <w:textAlignment w:val="center"/>
    </w:pPr>
    <w:rPr>
      <w:rFonts w:ascii="Times New Roman" w:eastAsia="Times New Roman" w:hAnsi="Times New Roman" w:cs="BaskervilleURW"/>
      <w:color w:val="000000"/>
      <w:sz w:val="24"/>
      <w:szCs w:val="24"/>
    </w:rPr>
  </w:style>
  <w:style w:type="character" w:styleId="Hyperlink">
    <w:name w:val="Hyperlink"/>
    <w:rsid w:val="00636C62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C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5E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6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69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69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90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C00E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2026-07-09T07:00:00+00:00</Effective_x0020_date>
    <Contract_x0020_topic xmlns="47be7094-86b6-4c75-87da-a9bfd340ff09">Quality Improvement</Contract_x0020_topic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Guidance</documentType>
    <Meta_x0020_Keywords xmlns="47be7094-86b6-4c75-87da-a9bfd340ff09">QP Distribution Plan Evaluation Criteria_2026_Due Date 2026.10.07</Meta_x0020_Keywords>
    <URL xmlns="http://schemas.microsoft.com/sharepoint/v3">
      <Url>https://www-auth.oregon.gov/oha/HSD/OHP/CCO/QP%20Distribution%20Plan%20Evaluation%20Criteria_2026_Due%20Date%202026.10.07.docx</Url>
      <Description>QP Distribution Plan Evaluation Criteria_2026_Due Date 2026.10.07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Props1.xml><?xml version="1.0" encoding="utf-8"?>
<ds:datastoreItem xmlns:ds="http://schemas.openxmlformats.org/officeDocument/2006/customXml" ds:itemID="{6608512F-1CA8-4379-A94D-C1824539710D}"/>
</file>

<file path=customXml/itemProps2.xml><?xml version="1.0" encoding="utf-8"?>
<ds:datastoreItem xmlns:ds="http://schemas.openxmlformats.org/officeDocument/2006/customXml" ds:itemID="{F7807980-0720-472C-A4A5-93B68A90284D}"/>
</file>

<file path=customXml/itemProps3.xml><?xml version="1.0" encoding="utf-8"?>
<ds:datastoreItem xmlns:ds="http://schemas.openxmlformats.org/officeDocument/2006/customXml" ds:itemID="{120FE930-200A-4710-A7DE-57A49488F93D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 Distribution Plan Evaluation Criteria_2026_Due Date 2026.10.07</dc:title>
  <dc:subject/>
  <dc:creator>DAVIS JENNIFER C</dc:creator>
  <cp:keywords/>
  <dc:description/>
  <cp:lastModifiedBy>DAVIS JENNIFER C</cp:lastModifiedBy>
  <cp:revision>3</cp:revision>
  <dcterms:created xsi:type="dcterms:W3CDTF">2026-07-09T20:47:00Z</dcterms:created>
  <dcterms:modified xsi:type="dcterms:W3CDTF">2026-07-09T20:55:00Z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2023-10-18T21:54:06Z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f2edddf3-88b9-4c1c-ae99-45a63dc79dde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0x0101004FC3AD29F9C3BA4492D9BCF45F3C0A51</vt:lpwstr>
  </property>
</Properties>
</file>