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49C7" w14:textId="77777777" w:rsidR="00CD2EB5" w:rsidRDefault="00CD2EB5" w:rsidP="00CD2EB5">
      <w:pPr>
        <w:spacing w:after="0" w:line="240" w:lineRule="auto"/>
        <w:jc w:val="center"/>
        <w:rPr>
          <w:b/>
          <w:bCs/>
          <w:sz w:val="28"/>
          <w:szCs w:val="28"/>
        </w:rPr>
      </w:pPr>
      <w:r w:rsidRPr="00735BCF">
        <w:rPr>
          <w:noProof/>
          <w:sz w:val="26"/>
          <w:szCs w:val="26"/>
        </w:rPr>
        <w:drawing>
          <wp:anchor distT="0" distB="0" distL="114300" distR="114300" simplePos="0" relativeHeight="251658240" behindDoc="0" locked="0" layoutInCell="1" allowOverlap="1" wp14:anchorId="51C98D7B" wp14:editId="1513C8D5">
            <wp:simplePos x="0" y="0"/>
            <wp:positionH relativeFrom="column">
              <wp:posOffset>19050</wp:posOffset>
            </wp:positionH>
            <wp:positionV relativeFrom="paragraph">
              <wp:posOffset>36830</wp:posOffset>
            </wp:positionV>
            <wp:extent cx="1700213" cy="640080"/>
            <wp:effectExtent l="0" t="0" r="0" b="7620"/>
            <wp:wrapThrough wrapText="bothSides">
              <wp:wrapPolygon edited="0">
                <wp:start x="0" y="0"/>
                <wp:lineTo x="0" y="21214"/>
                <wp:lineTo x="21301" y="21214"/>
                <wp:lineTo x="21301" y="0"/>
                <wp:lineTo x="0" y="0"/>
              </wp:wrapPolygon>
            </wp:wrapThrough>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 logo.jpg"/>
                    <pic:cNvPicPr/>
                  </pic:nvPicPr>
                  <pic:blipFill>
                    <a:blip r:embed="rId10">
                      <a:extLst>
                        <a:ext uri="{28A0092B-C50C-407E-A947-70E740481C1C}">
                          <a14:useLocalDpi xmlns:a14="http://schemas.microsoft.com/office/drawing/2010/main" val="0"/>
                        </a:ext>
                      </a:extLst>
                    </a:blip>
                    <a:stretch>
                      <a:fillRect/>
                    </a:stretch>
                  </pic:blipFill>
                  <pic:spPr>
                    <a:xfrm>
                      <a:off x="0" y="0"/>
                      <a:ext cx="1700213" cy="640080"/>
                    </a:xfrm>
                    <a:prstGeom prst="rect">
                      <a:avLst/>
                    </a:prstGeom>
                  </pic:spPr>
                </pic:pic>
              </a:graphicData>
            </a:graphic>
            <wp14:sizeRelH relativeFrom="margin">
              <wp14:pctWidth>0</wp14:pctWidth>
            </wp14:sizeRelH>
            <wp14:sizeRelV relativeFrom="margin">
              <wp14:pctHeight>0</wp14:pctHeight>
            </wp14:sizeRelV>
          </wp:anchor>
        </w:drawing>
      </w:r>
    </w:p>
    <w:p w14:paraId="4BC47C87" w14:textId="72D66EEC" w:rsidR="00A975FD" w:rsidRDefault="743AF8E3" w:rsidP="00A975FD">
      <w:pPr>
        <w:spacing w:line="360" w:lineRule="auto"/>
        <w:jc w:val="center"/>
        <w:rPr>
          <w:b/>
          <w:bCs/>
          <w:sz w:val="30"/>
          <w:szCs w:val="30"/>
        </w:rPr>
      </w:pPr>
      <w:r w:rsidRPr="6BAF78FD">
        <w:rPr>
          <w:b/>
          <w:bCs/>
          <w:sz w:val="30"/>
          <w:szCs w:val="30"/>
        </w:rPr>
        <w:t xml:space="preserve">OHA </w:t>
      </w:r>
      <w:r w:rsidR="0AC8D19C" w:rsidRPr="6BAF78FD">
        <w:rPr>
          <w:b/>
          <w:bCs/>
          <w:sz w:val="30"/>
          <w:szCs w:val="30"/>
        </w:rPr>
        <w:t>Evaluation Criteria: 202</w:t>
      </w:r>
      <w:r w:rsidR="1306C48F" w:rsidRPr="6BAF78FD">
        <w:rPr>
          <w:b/>
          <w:bCs/>
          <w:sz w:val="30"/>
          <w:szCs w:val="30"/>
        </w:rPr>
        <w:t>2</w:t>
      </w:r>
      <w:r w:rsidR="0AC8D19C" w:rsidRPr="6BAF78FD">
        <w:rPr>
          <w:b/>
          <w:bCs/>
          <w:sz w:val="30"/>
          <w:szCs w:val="30"/>
        </w:rPr>
        <w:t xml:space="preserve"> </w:t>
      </w:r>
      <w:r w:rsidR="6F2F1B10" w:rsidRPr="6BAF78FD">
        <w:rPr>
          <w:b/>
          <w:bCs/>
          <w:sz w:val="30"/>
          <w:szCs w:val="30"/>
        </w:rPr>
        <w:t>System of Care</w:t>
      </w:r>
      <w:r w:rsidR="2C3BC7EF" w:rsidRPr="6BAF78FD">
        <w:rPr>
          <w:b/>
          <w:bCs/>
          <w:sz w:val="30"/>
          <w:szCs w:val="30"/>
        </w:rPr>
        <w:t xml:space="preserve"> </w:t>
      </w:r>
      <w:r w:rsidR="0AC8D19C" w:rsidRPr="6BAF78FD">
        <w:rPr>
          <w:b/>
          <w:bCs/>
          <w:sz w:val="30"/>
          <w:szCs w:val="30"/>
        </w:rPr>
        <w:t xml:space="preserve">(SOC) </w:t>
      </w:r>
      <w:r w:rsidR="2C3BC7EF" w:rsidRPr="6BAF78FD">
        <w:rPr>
          <w:b/>
          <w:bCs/>
          <w:sz w:val="30"/>
          <w:szCs w:val="30"/>
        </w:rPr>
        <w:t>Policy</w:t>
      </w:r>
      <w:r w:rsidR="342881A8" w:rsidRPr="6BAF78FD">
        <w:rPr>
          <w:b/>
          <w:bCs/>
          <w:sz w:val="30"/>
          <w:szCs w:val="30"/>
        </w:rPr>
        <w:t xml:space="preserve"> and Procedure</w:t>
      </w:r>
    </w:p>
    <w:p w14:paraId="276A488D" w14:textId="77777777" w:rsidR="00A975FD" w:rsidRPr="00A975FD" w:rsidRDefault="00A975FD" w:rsidP="00A975FD">
      <w:pPr>
        <w:spacing w:line="240" w:lineRule="auto"/>
        <w:jc w:val="center"/>
        <w:rPr>
          <w:b/>
          <w:bCs/>
        </w:rPr>
      </w:pPr>
    </w:p>
    <w:tbl>
      <w:tblPr>
        <w:tblW w:w="0" w:type="auto"/>
        <w:tblInd w:w="-10" w:type="dxa"/>
        <w:tblLayout w:type="fixed"/>
        <w:tblLook w:val="04A0" w:firstRow="1" w:lastRow="0" w:firstColumn="1" w:lastColumn="0" w:noHBand="0" w:noVBand="1"/>
      </w:tblPr>
      <w:tblGrid>
        <w:gridCol w:w="3019"/>
        <w:gridCol w:w="4570"/>
      </w:tblGrid>
      <w:tr w:rsidR="6BAF78FD" w14:paraId="16B2185D" w14:textId="77777777" w:rsidTr="00A975FD">
        <w:trPr>
          <w:trHeight w:val="390"/>
        </w:trPr>
        <w:tc>
          <w:tcPr>
            <w:tcW w:w="3019" w:type="dxa"/>
            <w:tcBorders>
              <w:top w:val="single" w:sz="8" w:space="0" w:color="auto"/>
              <w:left w:val="single" w:sz="8" w:space="0" w:color="auto"/>
              <w:bottom w:val="single" w:sz="8" w:space="0" w:color="auto"/>
              <w:right w:val="single" w:sz="8" w:space="0" w:color="auto"/>
            </w:tcBorders>
            <w:shd w:val="clear" w:color="auto" w:fill="00549E"/>
            <w:vAlign w:val="center"/>
          </w:tcPr>
          <w:p w14:paraId="180C38F6" w14:textId="69E978AF" w:rsidR="6BAF78FD" w:rsidRDefault="6BAF78FD" w:rsidP="00EF2D12">
            <w:pPr>
              <w:jc w:val="right"/>
              <w:rPr>
                <w:rFonts w:ascii="Calibri" w:eastAsia="Calibri" w:hAnsi="Calibri" w:cs="Calibri"/>
                <w:b/>
                <w:bCs/>
                <w:color w:val="FFFFFF" w:themeColor="background1"/>
              </w:rPr>
            </w:pPr>
            <w:r w:rsidRPr="6BAF78FD">
              <w:rPr>
                <w:rFonts w:ascii="Calibri" w:eastAsia="Calibri" w:hAnsi="Calibri" w:cs="Calibri"/>
                <w:b/>
                <w:bCs/>
                <w:color w:val="FFFFFF" w:themeColor="background1"/>
              </w:rPr>
              <w:t>CCO Name</w:t>
            </w:r>
          </w:p>
        </w:tc>
        <w:tc>
          <w:tcPr>
            <w:tcW w:w="4570" w:type="dxa"/>
            <w:tcBorders>
              <w:top w:val="single" w:sz="8" w:space="0" w:color="auto"/>
              <w:left w:val="single" w:sz="8" w:space="0" w:color="auto"/>
              <w:bottom w:val="single" w:sz="8" w:space="0" w:color="auto"/>
              <w:right w:val="single" w:sz="8" w:space="0" w:color="auto"/>
            </w:tcBorders>
            <w:vAlign w:val="bottom"/>
          </w:tcPr>
          <w:p w14:paraId="78610FFA" w14:textId="4D3C176B" w:rsidR="6BAF78FD" w:rsidRDefault="6BAF78FD"/>
        </w:tc>
      </w:tr>
      <w:tr w:rsidR="6BAF78FD" w14:paraId="6E6622DF" w14:textId="77777777" w:rsidTr="00A975FD">
        <w:trPr>
          <w:trHeight w:val="390"/>
        </w:trPr>
        <w:tc>
          <w:tcPr>
            <w:tcW w:w="3019" w:type="dxa"/>
            <w:tcBorders>
              <w:top w:val="single" w:sz="8" w:space="0" w:color="auto"/>
              <w:left w:val="single" w:sz="8" w:space="0" w:color="auto"/>
              <w:bottom w:val="single" w:sz="8" w:space="0" w:color="auto"/>
              <w:right w:val="single" w:sz="8" w:space="0" w:color="auto"/>
            </w:tcBorders>
            <w:shd w:val="clear" w:color="auto" w:fill="00549E"/>
            <w:vAlign w:val="center"/>
          </w:tcPr>
          <w:p w14:paraId="6C23577B" w14:textId="6C129FCC" w:rsidR="6BAF78FD" w:rsidRDefault="6BAF78FD" w:rsidP="00EF2D12">
            <w:pPr>
              <w:jc w:val="right"/>
              <w:rPr>
                <w:rFonts w:ascii="Calibri" w:eastAsia="Calibri" w:hAnsi="Calibri" w:cs="Calibri"/>
                <w:b/>
                <w:bCs/>
                <w:color w:val="FFFFFF" w:themeColor="background1"/>
              </w:rPr>
            </w:pPr>
            <w:r w:rsidRPr="6BAF78FD">
              <w:rPr>
                <w:rFonts w:ascii="Calibri" w:eastAsia="Calibri" w:hAnsi="Calibri" w:cs="Calibri"/>
                <w:b/>
                <w:bCs/>
                <w:color w:val="FFFFFF" w:themeColor="background1"/>
              </w:rPr>
              <w:t>Date of Review</w:t>
            </w:r>
          </w:p>
        </w:tc>
        <w:tc>
          <w:tcPr>
            <w:tcW w:w="4570" w:type="dxa"/>
            <w:tcBorders>
              <w:top w:val="single" w:sz="8" w:space="0" w:color="auto"/>
              <w:left w:val="single" w:sz="8" w:space="0" w:color="auto"/>
              <w:bottom w:val="single" w:sz="8" w:space="0" w:color="auto"/>
              <w:right w:val="single" w:sz="8" w:space="0" w:color="auto"/>
            </w:tcBorders>
          </w:tcPr>
          <w:p w14:paraId="639C226C" w14:textId="590BF62D" w:rsidR="6BAF78FD" w:rsidRDefault="6BAF78FD"/>
        </w:tc>
      </w:tr>
      <w:tr w:rsidR="6BAF78FD" w14:paraId="536D5157" w14:textId="77777777" w:rsidTr="00A975FD">
        <w:trPr>
          <w:trHeight w:val="390"/>
        </w:trPr>
        <w:tc>
          <w:tcPr>
            <w:tcW w:w="3019" w:type="dxa"/>
            <w:tcBorders>
              <w:top w:val="single" w:sz="8" w:space="0" w:color="auto"/>
              <w:left w:val="single" w:sz="8" w:space="0" w:color="auto"/>
              <w:bottom w:val="single" w:sz="8" w:space="0" w:color="auto"/>
              <w:right w:val="single" w:sz="8" w:space="0" w:color="auto"/>
            </w:tcBorders>
            <w:shd w:val="clear" w:color="auto" w:fill="00549E"/>
            <w:vAlign w:val="center"/>
          </w:tcPr>
          <w:p w14:paraId="68B73509" w14:textId="4D00AD9F" w:rsidR="6BAF78FD" w:rsidRDefault="6BAF78FD" w:rsidP="00EF2D12">
            <w:pPr>
              <w:jc w:val="right"/>
              <w:rPr>
                <w:rFonts w:ascii="Calibri" w:eastAsia="Calibri" w:hAnsi="Calibri" w:cs="Calibri"/>
                <w:b/>
                <w:bCs/>
                <w:color w:val="FFFFFF" w:themeColor="background1"/>
              </w:rPr>
            </w:pPr>
            <w:r w:rsidRPr="6BAF78FD">
              <w:rPr>
                <w:rFonts w:ascii="Calibri" w:eastAsia="Calibri" w:hAnsi="Calibri" w:cs="Calibri"/>
                <w:b/>
                <w:bCs/>
                <w:color w:val="FFFFFF" w:themeColor="background1"/>
              </w:rPr>
              <w:t>Date(s) of Follow-up Review</w:t>
            </w:r>
          </w:p>
        </w:tc>
        <w:tc>
          <w:tcPr>
            <w:tcW w:w="4570" w:type="dxa"/>
            <w:tcBorders>
              <w:top w:val="single" w:sz="8" w:space="0" w:color="auto"/>
              <w:left w:val="single" w:sz="8" w:space="0" w:color="auto"/>
              <w:bottom w:val="single" w:sz="8" w:space="0" w:color="auto"/>
              <w:right w:val="single" w:sz="8" w:space="0" w:color="auto"/>
            </w:tcBorders>
          </w:tcPr>
          <w:p w14:paraId="1FA9E9CE" w14:textId="7768044F" w:rsidR="6BAF78FD" w:rsidRDefault="6BAF78FD"/>
        </w:tc>
      </w:tr>
      <w:tr w:rsidR="6BAF78FD" w14:paraId="0F464F65" w14:textId="77777777" w:rsidTr="00A975FD">
        <w:trPr>
          <w:trHeight w:val="390"/>
        </w:trPr>
        <w:tc>
          <w:tcPr>
            <w:tcW w:w="3019" w:type="dxa"/>
            <w:tcBorders>
              <w:top w:val="single" w:sz="8" w:space="0" w:color="auto"/>
              <w:left w:val="single" w:sz="8" w:space="0" w:color="auto"/>
              <w:bottom w:val="single" w:sz="8" w:space="0" w:color="auto"/>
              <w:right w:val="single" w:sz="8" w:space="0" w:color="auto"/>
            </w:tcBorders>
            <w:shd w:val="clear" w:color="auto" w:fill="00549E"/>
            <w:vAlign w:val="center"/>
          </w:tcPr>
          <w:p w14:paraId="007C33DC" w14:textId="671F9E27" w:rsidR="6BAF78FD" w:rsidRDefault="6BAF78FD" w:rsidP="00EF2D12">
            <w:pPr>
              <w:jc w:val="right"/>
              <w:rPr>
                <w:rFonts w:ascii="Calibri" w:eastAsia="Calibri" w:hAnsi="Calibri" w:cs="Calibri"/>
                <w:b/>
                <w:bCs/>
                <w:color w:val="FFFFFF" w:themeColor="background1"/>
              </w:rPr>
            </w:pPr>
            <w:r w:rsidRPr="6BAF78FD">
              <w:rPr>
                <w:rFonts w:ascii="Calibri" w:eastAsia="Calibri" w:hAnsi="Calibri" w:cs="Calibri"/>
                <w:b/>
                <w:bCs/>
                <w:color w:val="FFFFFF" w:themeColor="background1"/>
              </w:rPr>
              <w:t>Reviewer(s)</w:t>
            </w:r>
          </w:p>
        </w:tc>
        <w:tc>
          <w:tcPr>
            <w:tcW w:w="4570" w:type="dxa"/>
            <w:tcBorders>
              <w:top w:val="single" w:sz="8" w:space="0" w:color="auto"/>
              <w:left w:val="single" w:sz="8" w:space="0" w:color="auto"/>
              <w:bottom w:val="single" w:sz="8" w:space="0" w:color="auto"/>
              <w:right w:val="single" w:sz="8" w:space="0" w:color="auto"/>
            </w:tcBorders>
          </w:tcPr>
          <w:p w14:paraId="3A505BEB" w14:textId="57C85D44" w:rsidR="6BAF78FD" w:rsidRDefault="6BAF78FD" w:rsidP="6BAF78FD">
            <w:pPr>
              <w:rPr>
                <w:rFonts w:ascii="Calibri" w:eastAsia="Calibri" w:hAnsi="Calibri" w:cs="Calibri"/>
                <w:color w:val="000000" w:themeColor="text1"/>
              </w:rPr>
            </w:pPr>
          </w:p>
        </w:tc>
      </w:tr>
    </w:tbl>
    <w:p w14:paraId="5B2A53B8" w14:textId="581F81A3" w:rsidR="008D541D" w:rsidRPr="00E36AEF" w:rsidRDefault="008D541D" w:rsidP="6BAF78FD">
      <w:pPr>
        <w:spacing w:after="0" w:line="240" w:lineRule="auto"/>
        <w:jc w:val="center"/>
        <w:rPr>
          <w:b/>
          <w:bCs/>
        </w:rPr>
      </w:pPr>
    </w:p>
    <w:tbl>
      <w:tblPr>
        <w:tblStyle w:val="TableGrid"/>
        <w:tblW w:w="13680" w:type="dxa"/>
        <w:tblLook w:val="04A0" w:firstRow="1" w:lastRow="0" w:firstColumn="1" w:lastColumn="0" w:noHBand="0" w:noVBand="1"/>
      </w:tblPr>
      <w:tblGrid>
        <w:gridCol w:w="2049"/>
        <w:gridCol w:w="4146"/>
        <w:gridCol w:w="1338"/>
        <w:gridCol w:w="1627"/>
        <w:gridCol w:w="1457"/>
        <w:gridCol w:w="1627"/>
        <w:gridCol w:w="1436"/>
      </w:tblGrid>
      <w:tr w:rsidR="00AC0716" w:rsidRPr="008D541D" w14:paraId="770BB37F" w14:textId="77777777" w:rsidTr="00A975FD">
        <w:trPr>
          <w:trHeight w:val="360"/>
        </w:trPr>
        <w:tc>
          <w:tcPr>
            <w:tcW w:w="2049" w:type="dxa"/>
            <w:shd w:val="clear" w:color="auto" w:fill="00549E"/>
            <w:vAlign w:val="center"/>
          </w:tcPr>
          <w:p w14:paraId="6657A134" w14:textId="073F0937" w:rsidR="007F14F6" w:rsidRPr="00680906" w:rsidRDefault="007F14F6" w:rsidP="51B49338">
            <w:pPr>
              <w:jc w:val="center"/>
              <w:rPr>
                <w:b/>
                <w:bCs/>
                <w:i/>
                <w:iCs/>
                <w:color w:val="FFFFFF" w:themeColor="background1"/>
              </w:rPr>
            </w:pPr>
            <w:r w:rsidRPr="00680906">
              <w:rPr>
                <w:b/>
                <w:bCs/>
                <w:i/>
                <w:iCs/>
                <w:color w:val="FFFFFF" w:themeColor="background1"/>
              </w:rPr>
              <w:t>Policy</w:t>
            </w:r>
            <w:r w:rsidR="009A6462" w:rsidRPr="00680906">
              <w:rPr>
                <w:b/>
                <w:bCs/>
                <w:i/>
                <w:iCs/>
                <w:color w:val="FFFFFF" w:themeColor="background1"/>
              </w:rPr>
              <w:t xml:space="preserve"> and Procedure</w:t>
            </w:r>
            <w:r w:rsidRPr="00680906">
              <w:rPr>
                <w:b/>
                <w:bCs/>
                <w:i/>
                <w:iCs/>
                <w:color w:val="FFFFFF" w:themeColor="background1"/>
              </w:rPr>
              <w:t xml:space="preserve"> Requirements</w:t>
            </w:r>
          </w:p>
        </w:tc>
        <w:tc>
          <w:tcPr>
            <w:tcW w:w="4146" w:type="dxa"/>
            <w:shd w:val="clear" w:color="auto" w:fill="00549E"/>
            <w:vAlign w:val="center"/>
          </w:tcPr>
          <w:p w14:paraId="4AD0483E" w14:textId="6CF376A8" w:rsidR="007F14F6" w:rsidRPr="00680906" w:rsidRDefault="65078BFE" w:rsidP="6BAF78FD">
            <w:pPr>
              <w:jc w:val="center"/>
              <w:rPr>
                <w:b/>
                <w:bCs/>
                <w:i/>
                <w:iCs/>
                <w:color w:val="FFFFFF" w:themeColor="background1"/>
              </w:rPr>
            </w:pPr>
            <w:r w:rsidRPr="00680906">
              <w:rPr>
                <w:b/>
                <w:bCs/>
                <w:i/>
                <w:iCs/>
                <w:color w:val="FFFFFF" w:themeColor="background1"/>
              </w:rPr>
              <w:t>Evaluation Criteria</w:t>
            </w:r>
          </w:p>
        </w:tc>
        <w:tc>
          <w:tcPr>
            <w:tcW w:w="1338" w:type="dxa"/>
            <w:shd w:val="clear" w:color="auto" w:fill="00549E"/>
            <w:vAlign w:val="center"/>
          </w:tcPr>
          <w:p w14:paraId="1D38BB3F" w14:textId="0A41B876"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CCO Use Only</w:t>
            </w:r>
          </w:p>
          <w:p w14:paraId="1E1895C3" w14:textId="29E7CFB0"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State which Page(s) and Section this element is found</w:t>
            </w:r>
          </w:p>
        </w:tc>
        <w:tc>
          <w:tcPr>
            <w:tcW w:w="1627" w:type="dxa"/>
            <w:shd w:val="clear" w:color="auto" w:fill="00549E"/>
            <w:vAlign w:val="center"/>
          </w:tcPr>
          <w:p w14:paraId="35F1D50E" w14:textId="50BD5AB0"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1</w:t>
            </w:r>
            <w:r w:rsidRPr="00680906">
              <w:rPr>
                <w:rFonts w:ascii="Calibri" w:eastAsia="Calibri" w:hAnsi="Calibri" w:cs="Calibri"/>
                <w:b/>
                <w:bCs/>
                <w:color w:val="FFFFFF" w:themeColor="background1"/>
                <w:vertAlign w:val="superscript"/>
              </w:rPr>
              <w:t>st</w:t>
            </w:r>
            <w:r w:rsidRPr="00680906">
              <w:rPr>
                <w:rFonts w:ascii="Calibri" w:eastAsia="Calibri" w:hAnsi="Calibri" w:cs="Calibri"/>
                <w:b/>
                <w:bCs/>
                <w:color w:val="FFFFFF" w:themeColor="background1"/>
              </w:rPr>
              <w:t xml:space="preserve"> Review Score:</w:t>
            </w:r>
          </w:p>
          <w:p w14:paraId="6E090646" w14:textId="3D5F520D"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 xml:space="preserve">1=Fully Compliant 0=Partially/Not Compliant  </w:t>
            </w:r>
          </w:p>
        </w:tc>
        <w:tc>
          <w:tcPr>
            <w:tcW w:w="1457" w:type="dxa"/>
            <w:shd w:val="clear" w:color="auto" w:fill="00549E"/>
            <w:vAlign w:val="center"/>
          </w:tcPr>
          <w:p w14:paraId="40C50FC1" w14:textId="02613F05"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CCO Use Only</w:t>
            </w:r>
          </w:p>
          <w:p w14:paraId="58F00377" w14:textId="297868BF"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Resolution of OHA 1st Review Findings</w:t>
            </w:r>
          </w:p>
          <w:p w14:paraId="049046E5" w14:textId="6CA55C7A"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 xml:space="preserve"> </w:t>
            </w:r>
          </w:p>
          <w:p w14:paraId="33E980AF" w14:textId="213AEC75"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Include which Page(s) and Section this element is found</w:t>
            </w:r>
          </w:p>
        </w:tc>
        <w:tc>
          <w:tcPr>
            <w:tcW w:w="1627" w:type="dxa"/>
            <w:shd w:val="clear" w:color="auto" w:fill="00549E"/>
            <w:vAlign w:val="center"/>
          </w:tcPr>
          <w:p w14:paraId="4DBE1270" w14:textId="7CBDDEFB"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2</w:t>
            </w:r>
            <w:r w:rsidRPr="00680906">
              <w:rPr>
                <w:rFonts w:ascii="Calibri" w:eastAsia="Calibri" w:hAnsi="Calibri" w:cs="Calibri"/>
                <w:b/>
                <w:bCs/>
                <w:color w:val="FFFFFF" w:themeColor="background1"/>
                <w:vertAlign w:val="superscript"/>
              </w:rPr>
              <w:t>nd</w:t>
            </w:r>
            <w:r w:rsidRPr="00680906">
              <w:rPr>
                <w:rFonts w:ascii="Calibri" w:eastAsia="Calibri" w:hAnsi="Calibri" w:cs="Calibri"/>
                <w:b/>
                <w:bCs/>
                <w:color w:val="FFFFFF" w:themeColor="background1"/>
              </w:rPr>
              <w:t xml:space="preserve"> Review Score:</w:t>
            </w:r>
          </w:p>
          <w:p w14:paraId="41A60CBF" w14:textId="3DFA12E1" w:rsidR="0E4DAC72" w:rsidRPr="00680906" w:rsidRDefault="0E4DAC72" w:rsidP="0097162E">
            <w:pPr>
              <w:jc w:val="center"/>
              <w:rPr>
                <w:rFonts w:ascii="Calibri" w:eastAsia="Calibri" w:hAnsi="Calibri" w:cs="Calibri"/>
                <w:b/>
                <w:bCs/>
                <w:color w:val="FFFFFF" w:themeColor="background1"/>
              </w:rPr>
            </w:pPr>
            <w:r w:rsidRPr="00680906">
              <w:rPr>
                <w:rFonts w:ascii="Calibri" w:eastAsia="Calibri" w:hAnsi="Calibri" w:cs="Calibri"/>
                <w:b/>
                <w:bCs/>
                <w:color w:val="FFFFFF" w:themeColor="background1"/>
              </w:rPr>
              <w:t xml:space="preserve">1=Fully Compliant 0=Partially/Not Compliant  </w:t>
            </w:r>
          </w:p>
        </w:tc>
        <w:tc>
          <w:tcPr>
            <w:tcW w:w="1436" w:type="dxa"/>
            <w:shd w:val="clear" w:color="auto" w:fill="00549E"/>
            <w:vAlign w:val="center"/>
          </w:tcPr>
          <w:p w14:paraId="27EB0593" w14:textId="5878A9A9" w:rsidR="0E4DAC72" w:rsidRDefault="0E4DAC72" w:rsidP="0097162E">
            <w:pPr>
              <w:jc w:val="center"/>
              <w:rPr>
                <w:rFonts w:ascii="Calibri" w:eastAsia="Calibri" w:hAnsi="Calibri" w:cs="Calibri"/>
                <w:b/>
                <w:bCs/>
                <w:color w:val="FFFFFF" w:themeColor="background1"/>
              </w:rPr>
            </w:pPr>
            <w:r w:rsidRPr="6BAF78FD">
              <w:rPr>
                <w:rFonts w:ascii="Calibri" w:eastAsia="Calibri" w:hAnsi="Calibri" w:cs="Calibri"/>
                <w:b/>
                <w:bCs/>
                <w:color w:val="FFFFFF" w:themeColor="background1"/>
              </w:rPr>
              <w:t>CCO Use Only</w:t>
            </w:r>
          </w:p>
          <w:p w14:paraId="1B31D4F7" w14:textId="10EBC928" w:rsidR="0E4DAC72" w:rsidRDefault="0E4DAC72" w:rsidP="0097162E">
            <w:pPr>
              <w:jc w:val="center"/>
              <w:rPr>
                <w:rFonts w:ascii="Calibri" w:eastAsia="Calibri" w:hAnsi="Calibri" w:cs="Calibri"/>
                <w:b/>
                <w:bCs/>
                <w:color w:val="FFFFFF" w:themeColor="background1"/>
              </w:rPr>
            </w:pPr>
            <w:r w:rsidRPr="6BAF78FD">
              <w:rPr>
                <w:rFonts w:ascii="Calibri" w:eastAsia="Calibri" w:hAnsi="Calibri" w:cs="Calibri"/>
                <w:b/>
                <w:bCs/>
                <w:color w:val="FFFFFF" w:themeColor="background1"/>
              </w:rPr>
              <w:t>Resolution of OHA 2nd Review Findings</w:t>
            </w:r>
          </w:p>
          <w:p w14:paraId="2314F7BC" w14:textId="50F86C9D" w:rsidR="0E4DAC72" w:rsidRDefault="0E4DAC72" w:rsidP="0097162E">
            <w:pPr>
              <w:jc w:val="center"/>
              <w:rPr>
                <w:rFonts w:ascii="Calibri" w:eastAsia="Calibri" w:hAnsi="Calibri" w:cs="Calibri"/>
                <w:b/>
                <w:bCs/>
                <w:color w:val="FFFFFF" w:themeColor="background1"/>
              </w:rPr>
            </w:pPr>
            <w:r w:rsidRPr="6BAF78FD">
              <w:rPr>
                <w:rFonts w:ascii="Calibri" w:eastAsia="Calibri" w:hAnsi="Calibri" w:cs="Calibri"/>
                <w:b/>
                <w:bCs/>
                <w:color w:val="FFFFFF" w:themeColor="background1"/>
              </w:rPr>
              <w:t xml:space="preserve"> </w:t>
            </w:r>
          </w:p>
          <w:p w14:paraId="133C4E0D" w14:textId="79278841" w:rsidR="0E4DAC72" w:rsidRDefault="0E4DAC72" w:rsidP="0097162E">
            <w:pPr>
              <w:jc w:val="center"/>
              <w:rPr>
                <w:rFonts w:ascii="Calibri" w:eastAsia="Calibri" w:hAnsi="Calibri" w:cs="Calibri"/>
                <w:b/>
                <w:bCs/>
                <w:color w:val="FFFFFF" w:themeColor="background1"/>
              </w:rPr>
            </w:pPr>
            <w:r w:rsidRPr="6BAF78FD">
              <w:rPr>
                <w:rFonts w:ascii="Calibri" w:eastAsia="Calibri" w:hAnsi="Calibri" w:cs="Calibri"/>
                <w:b/>
                <w:bCs/>
                <w:color w:val="FFFFFF" w:themeColor="background1"/>
              </w:rPr>
              <w:t>Include which Page(s) and Section this element is found</w:t>
            </w:r>
          </w:p>
        </w:tc>
      </w:tr>
      <w:tr w:rsidR="00426FDB" w:rsidRPr="008D541D" w14:paraId="1BEBE6AF" w14:textId="77777777" w:rsidTr="00680906">
        <w:tc>
          <w:tcPr>
            <w:tcW w:w="2049" w:type="dxa"/>
            <w:vMerge w:val="restart"/>
          </w:tcPr>
          <w:p w14:paraId="16F2047A" w14:textId="2C47E2C3" w:rsidR="00426FDB" w:rsidRPr="008D541D" w:rsidRDefault="003209D9" w:rsidP="51B49338">
            <w:pPr>
              <w:pStyle w:val="ListParagraph"/>
              <w:numPr>
                <w:ilvl w:val="0"/>
                <w:numId w:val="8"/>
              </w:numPr>
              <w:ind w:left="330" w:hanging="330"/>
            </w:pPr>
            <w:r w:rsidRPr="008D541D">
              <w:t>CCO</w:t>
            </w:r>
            <w:r w:rsidR="00426FDB" w:rsidRPr="008D541D">
              <w:t xml:space="preserve"> meaningfully supports the leadership and involvement of </w:t>
            </w:r>
            <w:r w:rsidRPr="008D541D">
              <w:t>Y</w:t>
            </w:r>
            <w:r w:rsidR="00426FDB" w:rsidRPr="008D541D">
              <w:t xml:space="preserve">outh and families at all levels of the System of Care </w:t>
            </w:r>
            <w:r w:rsidR="00426FDB" w:rsidRPr="008D541D">
              <w:lastRenderedPageBreak/>
              <w:t>governance structure. *</w:t>
            </w:r>
          </w:p>
        </w:tc>
        <w:tc>
          <w:tcPr>
            <w:tcW w:w="4146" w:type="dxa"/>
          </w:tcPr>
          <w:p w14:paraId="5DA2812E" w14:textId="1CBAFF44" w:rsidR="00426FDB" w:rsidRPr="008D541D" w:rsidRDefault="5EC3A832" w:rsidP="51B49338">
            <w:pPr>
              <w:pStyle w:val="ListParagraph"/>
              <w:numPr>
                <w:ilvl w:val="0"/>
                <w:numId w:val="7"/>
              </w:numPr>
              <w:ind w:left="496" w:hanging="450"/>
            </w:pPr>
            <w:r>
              <w:lastRenderedPageBreak/>
              <w:t>D</w:t>
            </w:r>
            <w:r w:rsidR="0AC8D19C">
              <w:t xml:space="preserve">escribes the process used to recruit and support youth and families who participate in the </w:t>
            </w:r>
            <w:r w:rsidR="10DCE5CE">
              <w:t>SOC</w:t>
            </w:r>
            <w:r w:rsidR="0AC8D19C">
              <w:t xml:space="preserve"> governance structure. This </w:t>
            </w:r>
            <w:r w:rsidR="10DCE5CE">
              <w:t xml:space="preserve">may </w:t>
            </w:r>
            <w:r w:rsidR="0AC8D19C">
              <w:t>include use of technical assistance, member handbooks, charters, orientation, mentorship programs</w:t>
            </w:r>
            <w:r w:rsidR="10DCE5CE">
              <w:t>,</w:t>
            </w:r>
            <w:r w:rsidR="0AC8D19C">
              <w:t xml:space="preserve"> and financial compensation for youth and family members </w:t>
            </w:r>
            <w:r w:rsidR="10DCE5CE">
              <w:t xml:space="preserve">consistent with the </w:t>
            </w:r>
            <w:r w:rsidR="0AC8D19C">
              <w:t>CCO</w:t>
            </w:r>
            <w:r w:rsidR="10DCE5CE">
              <w:t xml:space="preserve">’s </w:t>
            </w:r>
            <w:r w:rsidR="0AC8D19C">
              <w:t xml:space="preserve">policy. </w:t>
            </w:r>
          </w:p>
        </w:tc>
        <w:tc>
          <w:tcPr>
            <w:tcW w:w="1338" w:type="dxa"/>
          </w:tcPr>
          <w:p w14:paraId="4BBFAD08" w14:textId="0D78F37F" w:rsidR="6BAF78FD" w:rsidRDefault="6BAF78FD" w:rsidP="00D81B69">
            <w:pPr>
              <w:pStyle w:val="ListParagraph"/>
            </w:pPr>
          </w:p>
        </w:tc>
        <w:tc>
          <w:tcPr>
            <w:tcW w:w="1627" w:type="dxa"/>
          </w:tcPr>
          <w:p w14:paraId="61EA1092" w14:textId="3B92A089" w:rsidR="49554D05" w:rsidRDefault="49554D05" w:rsidP="00D81B69">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tc>
        <w:tc>
          <w:tcPr>
            <w:tcW w:w="1457" w:type="dxa"/>
          </w:tcPr>
          <w:p w14:paraId="65A18836" w14:textId="364EE4FC" w:rsidR="6BAF78FD" w:rsidRDefault="6BAF78FD" w:rsidP="00D81B69">
            <w:pPr>
              <w:pStyle w:val="ListParagraph"/>
            </w:pPr>
          </w:p>
        </w:tc>
        <w:tc>
          <w:tcPr>
            <w:tcW w:w="1627" w:type="dxa"/>
          </w:tcPr>
          <w:p w14:paraId="0E59F8D7" w14:textId="73B555B7" w:rsidR="32B7866B" w:rsidRDefault="32B7866B" w:rsidP="00D81B69">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tc>
        <w:tc>
          <w:tcPr>
            <w:tcW w:w="1436" w:type="dxa"/>
          </w:tcPr>
          <w:p w14:paraId="5C3CAA0A" w14:textId="2F9C1D30" w:rsidR="6BAF78FD" w:rsidRDefault="6BAF78FD" w:rsidP="00D81B69">
            <w:pPr>
              <w:pStyle w:val="ListParagraph"/>
            </w:pPr>
          </w:p>
        </w:tc>
      </w:tr>
      <w:tr w:rsidR="00426FDB" w:rsidRPr="008D541D" w14:paraId="7B4FD726" w14:textId="77777777" w:rsidTr="00680906">
        <w:tc>
          <w:tcPr>
            <w:tcW w:w="2049" w:type="dxa"/>
            <w:vMerge/>
          </w:tcPr>
          <w:p w14:paraId="43FD79A0" w14:textId="78777E4B" w:rsidR="00426FDB" w:rsidRPr="008D541D" w:rsidRDefault="00426FDB" w:rsidP="00C139AC">
            <w:pPr>
              <w:pStyle w:val="ListParagraph"/>
              <w:numPr>
                <w:ilvl w:val="0"/>
                <w:numId w:val="8"/>
              </w:numPr>
              <w:ind w:left="330" w:hanging="330"/>
              <w:rPr>
                <w:rFonts w:cstheme="minorHAnsi"/>
              </w:rPr>
            </w:pPr>
          </w:p>
        </w:tc>
        <w:tc>
          <w:tcPr>
            <w:tcW w:w="4146" w:type="dxa"/>
          </w:tcPr>
          <w:p w14:paraId="6E2FD5D9" w14:textId="15E1199F" w:rsidR="00426FDB" w:rsidRPr="008D541D" w:rsidRDefault="25E3DF91" w:rsidP="51B49338">
            <w:pPr>
              <w:pStyle w:val="ListParagraph"/>
              <w:numPr>
                <w:ilvl w:val="0"/>
                <w:numId w:val="7"/>
              </w:numPr>
              <w:ind w:left="496" w:hanging="450"/>
            </w:pPr>
            <w:r>
              <w:t>D</w:t>
            </w:r>
            <w:r w:rsidR="0AC8D19C">
              <w:t xml:space="preserve">escribes how the youth and family </w:t>
            </w:r>
            <w:r w:rsidR="35C2DFBD">
              <w:t xml:space="preserve">included </w:t>
            </w:r>
            <w:r w:rsidR="0AC8D19C">
              <w:t xml:space="preserve">in the </w:t>
            </w:r>
            <w:r w:rsidR="10DCE5CE">
              <w:t>SOC</w:t>
            </w:r>
            <w:r w:rsidR="0AC8D19C">
              <w:t xml:space="preserve"> governance structure represent community demographics (e.g.</w:t>
            </w:r>
            <w:r w:rsidR="285AAAE6">
              <w:t>,</w:t>
            </w:r>
            <w:r w:rsidR="0AC8D19C">
              <w:t xml:space="preserve"> race, ethnicity, language</w:t>
            </w:r>
            <w:r w:rsidR="285AAAE6">
              <w:t>,</w:t>
            </w:r>
            <w:r w:rsidR="0AC8D19C">
              <w:t xml:space="preserve"> and disability).</w:t>
            </w:r>
          </w:p>
        </w:tc>
        <w:tc>
          <w:tcPr>
            <w:tcW w:w="1338" w:type="dxa"/>
          </w:tcPr>
          <w:p w14:paraId="5DCDFF79" w14:textId="22F1BD27" w:rsidR="6BAF78FD" w:rsidRDefault="6BAF78FD" w:rsidP="00D81B69">
            <w:pPr>
              <w:pStyle w:val="ListParagraph"/>
            </w:pPr>
          </w:p>
        </w:tc>
        <w:tc>
          <w:tcPr>
            <w:tcW w:w="1627" w:type="dxa"/>
          </w:tcPr>
          <w:p w14:paraId="7A2EFE1D" w14:textId="0AAC8AC2" w:rsidR="01CD4640" w:rsidRDefault="01CD4640" w:rsidP="00D81B69">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tc>
        <w:tc>
          <w:tcPr>
            <w:tcW w:w="1457" w:type="dxa"/>
          </w:tcPr>
          <w:p w14:paraId="0F16669A" w14:textId="26057FB9" w:rsidR="6BAF78FD" w:rsidRDefault="6BAF78FD" w:rsidP="00D81B69">
            <w:pPr>
              <w:pStyle w:val="ListParagraph"/>
            </w:pPr>
          </w:p>
        </w:tc>
        <w:tc>
          <w:tcPr>
            <w:tcW w:w="1627" w:type="dxa"/>
          </w:tcPr>
          <w:p w14:paraId="79FFFD4A" w14:textId="73B555B7" w:rsidR="322D8A0D" w:rsidRDefault="322D8A0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7B65BB24" w14:textId="7DD0765F" w:rsidR="6BAF78FD" w:rsidRDefault="6BAF78FD" w:rsidP="6BAF78FD">
            <w:pPr>
              <w:pStyle w:val="ListParagraph"/>
              <w:ind w:left="0"/>
            </w:pPr>
          </w:p>
        </w:tc>
        <w:tc>
          <w:tcPr>
            <w:tcW w:w="1436" w:type="dxa"/>
          </w:tcPr>
          <w:p w14:paraId="208F50AA" w14:textId="6F3B0A28" w:rsidR="6BAF78FD" w:rsidRDefault="6BAF78FD" w:rsidP="00D81B69">
            <w:pPr>
              <w:pStyle w:val="ListParagraph"/>
            </w:pPr>
          </w:p>
        </w:tc>
      </w:tr>
      <w:tr w:rsidR="00426FDB" w:rsidRPr="008D541D" w14:paraId="19D8F575" w14:textId="77777777" w:rsidTr="00680906">
        <w:tc>
          <w:tcPr>
            <w:tcW w:w="2049" w:type="dxa"/>
            <w:vMerge/>
          </w:tcPr>
          <w:p w14:paraId="40FDC30B" w14:textId="77777777" w:rsidR="00426FDB" w:rsidRPr="008D541D" w:rsidRDefault="00426FDB" w:rsidP="00C139AC">
            <w:pPr>
              <w:pStyle w:val="ListParagraph"/>
              <w:numPr>
                <w:ilvl w:val="0"/>
                <w:numId w:val="8"/>
              </w:numPr>
              <w:ind w:left="330" w:hanging="330"/>
              <w:rPr>
                <w:rFonts w:cstheme="minorHAnsi"/>
              </w:rPr>
            </w:pPr>
          </w:p>
        </w:tc>
        <w:tc>
          <w:tcPr>
            <w:tcW w:w="4146" w:type="dxa"/>
          </w:tcPr>
          <w:p w14:paraId="623048BF" w14:textId="77A0B0B1" w:rsidR="00426FDB" w:rsidRPr="008D541D" w:rsidRDefault="6C4CA713" w:rsidP="51B49338">
            <w:pPr>
              <w:pStyle w:val="ListParagraph"/>
              <w:numPr>
                <w:ilvl w:val="0"/>
                <w:numId w:val="7"/>
              </w:numPr>
              <w:ind w:left="496" w:hanging="450"/>
            </w:pPr>
            <w:r>
              <w:t>D</w:t>
            </w:r>
            <w:r w:rsidR="0AC8D19C">
              <w:t>escribes the ways in which youth and family are involved in leadership</w:t>
            </w:r>
            <w:r w:rsidR="1A22A49A">
              <w:t xml:space="preserve"> and</w:t>
            </w:r>
            <w:r w:rsidR="0AC8D19C">
              <w:t xml:space="preserve"> decision</w:t>
            </w:r>
            <w:r w:rsidR="1FAF6CA8">
              <w:t>-</w:t>
            </w:r>
            <w:r w:rsidR="0AC8D19C">
              <w:t xml:space="preserve"> making within the </w:t>
            </w:r>
            <w:r w:rsidR="10DCE5CE">
              <w:t>SOC</w:t>
            </w:r>
            <w:r w:rsidR="0AC8D19C">
              <w:t xml:space="preserve"> governance structure.</w:t>
            </w:r>
          </w:p>
        </w:tc>
        <w:tc>
          <w:tcPr>
            <w:tcW w:w="1338" w:type="dxa"/>
          </w:tcPr>
          <w:p w14:paraId="74243F54" w14:textId="28A09941" w:rsidR="6BAF78FD" w:rsidRDefault="6BAF78FD" w:rsidP="00D81B69">
            <w:pPr>
              <w:pStyle w:val="ListParagraph"/>
            </w:pPr>
          </w:p>
        </w:tc>
        <w:tc>
          <w:tcPr>
            <w:tcW w:w="1627" w:type="dxa"/>
          </w:tcPr>
          <w:p w14:paraId="27A61C57" w14:textId="5D121B80" w:rsidR="038A5756" w:rsidRDefault="038A5756" w:rsidP="00D81B69">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tc>
        <w:tc>
          <w:tcPr>
            <w:tcW w:w="1457" w:type="dxa"/>
          </w:tcPr>
          <w:p w14:paraId="394776EF" w14:textId="4D9E9638" w:rsidR="6BAF78FD" w:rsidRDefault="6BAF78FD" w:rsidP="00D81B69">
            <w:pPr>
              <w:pStyle w:val="ListParagraph"/>
            </w:pPr>
          </w:p>
        </w:tc>
        <w:tc>
          <w:tcPr>
            <w:tcW w:w="1627" w:type="dxa"/>
          </w:tcPr>
          <w:p w14:paraId="56F85290" w14:textId="73B555B7" w:rsidR="503E07F1" w:rsidRDefault="503E07F1"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4F594FBF" w14:textId="0A68542E" w:rsidR="6BAF78FD" w:rsidRDefault="6BAF78FD" w:rsidP="6BAF78FD">
            <w:pPr>
              <w:pStyle w:val="ListParagraph"/>
              <w:ind w:left="0"/>
            </w:pPr>
          </w:p>
        </w:tc>
        <w:tc>
          <w:tcPr>
            <w:tcW w:w="1436" w:type="dxa"/>
          </w:tcPr>
          <w:p w14:paraId="625B8920" w14:textId="756A7B14" w:rsidR="6BAF78FD" w:rsidRDefault="6BAF78FD" w:rsidP="00D81B69">
            <w:pPr>
              <w:pStyle w:val="ListParagraph"/>
            </w:pPr>
          </w:p>
        </w:tc>
      </w:tr>
      <w:tr w:rsidR="009A6462" w:rsidRPr="008D541D" w14:paraId="4E56964F" w14:textId="77777777" w:rsidTr="00680906">
        <w:tc>
          <w:tcPr>
            <w:tcW w:w="2049" w:type="dxa"/>
            <w:vMerge w:val="restart"/>
          </w:tcPr>
          <w:p w14:paraId="334D37BC" w14:textId="03D36A86" w:rsidR="009A6462" w:rsidRPr="008D541D" w:rsidRDefault="009A6462" w:rsidP="51B49338">
            <w:pPr>
              <w:pStyle w:val="ListParagraph"/>
              <w:numPr>
                <w:ilvl w:val="0"/>
                <w:numId w:val="8"/>
              </w:numPr>
              <w:ind w:left="330" w:hanging="330"/>
            </w:pPr>
            <w:r w:rsidRPr="008D541D">
              <w:t>CCO supports and invests in a System of Care that is both Culturally and Linguistically Appropriate to the needs of the communities in CCO’s Service Area.</w:t>
            </w:r>
          </w:p>
        </w:tc>
        <w:tc>
          <w:tcPr>
            <w:tcW w:w="4146" w:type="dxa"/>
          </w:tcPr>
          <w:p w14:paraId="346003E9" w14:textId="70C8C590" w:rsidR="009A6462" w:rsidRPr="008D541D" w:rsidRDefault="3B5A50F8">
            <w:pPr>
              <w:pStyle w:val="ListParagraph"/>
              <w:numPr>
                <w:ilvl w:val="0"/>
                <w:numId w:val="7"/>
              </w:numPr>
              <w:ind w:left="496" w:hanging="450"/>
            </w:pPr>
            <w:r>
              <w:t>D</w:t>
            </w:r>
            <w:r w:rsidR="342881A8">
              <w:t>escribes how the SOC governance structure is representative of the populations within the CCO’s Service Area(s) with an emphasis on persons who are representative of populations that experience health inequities.</w:t>
            </w:r>
          </w:p>
        </w:tc>
        <w:tc>
          <w:tcPr>
            <w:tcW w:w="1338" w:type="dxa"/>
          </w:tcPr>
          <w:p w14:paraId="3D2A4A57" w14:textId="79E15197" w:rsidR="6BAF78FD" w:rsidRDefault="6BAF78FD" w:rsidP="6BAF78FD">
            <w:pPr>
              <w:rPr>
                <w:rFonts w:eastAsia="Calibri"/>
              </w:rPr>
            </w:pPr>
          </w:p>
        </w:tc>
        <w:tc>
          <w:tcPr>
            <w:tcW w:w="1627" w:type="dxa"/>
          </w:tcPr>
          <w:p w14:paraId="71CD6DBF" w14:textId="166847B5" w:rsidR="1C9B380A" w:rsidRDefault="1C9B380A" w:rsidP="0086052F">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tc>
        <w:tc>
          <w:tcPr>
            <w:tcW w:w="1457" w:type="dxa"/>
          </w:tcPr>
          <w:p w14:paraId="57C674AA" w14:textId="196F7101" w:rsidR="6BAF78FD" w:rsidRDefault="6BAF78FD" w:rsidP="6BAF78FD">
            <w:pPr>
              <w:rPr>
                <w:rFonts w:eastAsia="Calibri"/>
              </w:rPr>
            </w:pPr>
          </w:p>
        </w:tc>
        <w:tc>
          <w:tcPr>
            <w:tcW w:w="1627" w:type="dxa"/>
          </w:tcPr>
          <w:p w14:paraId="42D734CD" w14:textId="73B555B7" w:rsidR="6E37E7B8" w:rsidRDefault="6E37E7B8"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0F01326C" w14:textId="76A9488E" w:rsidR="6BAF78FD" w:rsidRDefault="6BAF78FD" w:rsidP="6BAF78FD">
            <w:pPr>
              <w:pStyle w:val="ListParagraph"/>
              <w:ind w:left="0"/>
            </w:pPr>
          </w:p>
        </w:tc>
        <w:tc>
          <w:tcPr>
            <w:tcW w:w="1436" w:type="dxa"/>
          </w:tcPr>
          <w:p w14:paraId="7C82E43C" w14:textId="7C583D2E" w:rsidR="6BAF78FD" w:rsidRDefault="6BAF78FD" w:rsidP="6BAF78FD">
            <w:pPr>
              <w:rPr>
                <w:rFonts w:eastAsia="Calibri"/>
              </w:rPr>
            </w:pPr>
          </w:p>
        </w:tc>
      </w:tr>
      <w:tr w:rsidR="6BAF78FD" w14:paraId="115FC540" w14:textId="77777777" w:rsidTr="00680906">
        <w:tc>
          <w:tcPr>
            <w:tcW w:w="2049" w:type="dxa"/>
            <w:vMerge/>
          </w:tcPr>
          <w:p w14:paraId="6D43D6A6" w14:textId="77777777" w:rsidR="00EF039B" w:rsidRDefault="00EF039B"/>
        </w:tc>
        <w:tc>
          <w:tcPr>
            <w:tcW w:w="4146" w:type="dxa"/>
          </w:tcPr>
          <w:p w14:paraId="0FDE11B7" w14:textId="70E7642E" w:rsidR="55818D06" w:rsidRDefault="55818D06" w:rsidP="0086052F">
            <w:pPr>
              <w:pStyle w:val="ListParagraph"/>
              <w:numPr>
                <w:ilvl w:val="0"/>
                <w:numId w:val="7"/>
              </w:numPr>
              <w:rPr>
                <w:rFonts w:eastAsiaTheme="minorEastAsia"/>
              </w:rPr>
            </w:pPr>
            <w:r w:rsidRPr="6BAF78FD">
              <w:rPr>
                <w:rFonts w:ascii="Calibri" w:eastAsia="Calibri" w:hAnsi="Calibri" w:cs="Calibri"/>
              </w:rPr>
              <w:t>I</w:t>
            </w:r>
            <w:r w:rsidR="783A1E4D" w:rsidRPr="6BAF78FD">
              <w:rPr>
                <w:rFonts w:ascii="Calibri" w:eastAsia="Calibri" w:hAnsi="Calibri" w:cs="Calibri"/>
              </w:rPr>
              <w:t>dentifies the strategies used to recruit diverse SOC governance structure members, including those from federally recognized tribes in the CCO’s Service Area(s).</w:t>
            </w:r>
          </w:p>
        </w:tc>
        <w:tc>
          <w:tcPr>
            <w:tcW w:w="1338" w:type="dxa"/>
          </w:tcPr>
          <w:p w14:paraId="46FB510E" w14:textId="023F20FB" w:rsidR="6BAF78FD" w:rsidRDefault="6BAF78FD" w:rsidP="002B035E">
            <w:pPr>
              <w:pStyle w:val="ListParagraph"/>
              <w:rPr>
                <w:rFonts w:ascii="Calibri" w:eastAsia="Calibri" w:hAnsi="Calibri" w:cs="Calibri"/>
              </w:rPr>
            </w:pPr>
          </w:p>
        </w:tc>
        <w:tc>
          <w:tcPr>
            <w:tcW w:w="1627" w:type="dxa"/>
          </w:tcPr>
          <w:p w14:paraId="19D02CF8" w14:textId="73B555B7" w:rsidR="625FB04A" w:rsidRDefault="625FB04A"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54E5A214" w14:textId="4D41ECA1" w:rsidR="6BAF78FD" w:rsidRDefault="6BAF78FD" w:rsidP="6BAF78FD">
            <w:pPr>
              <w:pStyle w:val="ListParagraph"/>
              <w:rPr>
                <w:rFonts w:ascii="Calibri" w:eastAsia="Calibri" w:hAnsi="Calibri" w:cs="Calibri"/>
              </w:rPr>
            </w:pPr>
          </w:p>
        </w:tc>
        <w:tc>
          <w:tcPr>
            <w:tcW w:w="1457" w:type="dxa"/>
          </w:tcPr>
          <w:p w14:paraId="25A011E8" w14:textId="45131E5F" w:rsidR="6BAF78FD" w:rsidRDefault="6BAF78FD" w:rsidP="002B035E">
            <w:pPr>
              <w:pStyle w:val="ListParagraph"/>
              <w:rPr>
                <w:rFonts w:ascii="Calibri" w:eastAsia="Calibri" w:hAnsi="Calibri" w:cs="Calibri"/>
              </w:rPr>
            </w:pPr>
          </w:p>
        </w:tc>
        <w:tc>
          <w:tcPr>
            <w:tcW w:w="1627" w:type="dxa"/>
          </w:tcPr>
          <w:p w14:paraId="64C4A393" w14:textId="73B555B7" w:rsidR="2BF28271" w:rsidRDefault="2BF28271"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158466BF" w14:textId="7101A72A" w:rsidR="6BAF78FD" w:rsidRDefault="6BAF78FD" w:rsidP="6BAF78FD">
            <w:pPr>
              <w:pStyle w:val="ListParagraph"/>
              <w:rPr>
                <w:rFonts w:ascii="Calibri" w:eastAsia="Calibri" w:hAnsi="Calibri" w:cs="Calibri"/>
              </w:rPr>
            </w:pPr>
          </w:p>
        </w:tc>
        <w:tc>
          <w:tcPr>
            <w:tcW w:w="1436" w:type="dxa"/>
          </w:tcPr>
          <w:p w14:paraId="02F0B4EB" w14:textId="3E921B70" w:rsidR="6BAF78FD" w:rsidRDefault="6BAF78FD" w:rsidP="002B035E">
            <w:pPr>
              <w:pStyle w:val="ListParagraph"/>
              <w:rPr>
                <w:rFonts w:ascii="Calibri" w:eastAsia="Calibri" w:hAnsi="Calibri" w:cs="Calibri"/>
              </w:rPr>
            </w:pPr>
          </w:p>
        </w:tc>
      </w:tr>
      <w:tr w:rsidR="00426FDB" w:rsidRPr="008D541D" w14:paraId="5F390010" w14:textId="77777777" w:rsidTr="00680906">
        <w:tc>
          <w:tcPr>
            <w:tcW w:w="2049" w:type="dxa"/>
            <w:vMerge/>
          </w:tcPr>
          <w:p w14:paraId="4BF0F060" w14:textId="77777777" w:rsidR="00426FDB" w:rsidRPr="008D541D" w:rsidRDefault="00426FDB" w:rsidP="00C139AC">
            <w:pPr>
              <w:pStyle w:val="ListParagraph"/>
              <w:numPr>
                <w:ilvl w:val="0"/>
                <w:numId w:val="8"/>
              </w:numPr>
              <w:ind w:left="330" w:hanging="330"/>
              <w:rPr>
                <w:rFonts w:cstheme="minorHAnsi"/>
              </w:rPr>
            </w:pPr>
          </w:p>
        </w:tc>
        <w:tc>
          <w:tcPr>
            <w:tcW w:w="4146" w:type="dxa"/>
          </w:tcPr>
          <w:p w14:paraId="754283B7" w14:textId="6035DF5E" w:rsidR="00426FDB" w:rsidRPr="008D541D" w:rsidRDefault="7B6B988F" w:rsidP="51B49338">
            <w:pPr>
              <w:pStyle w:val="ListParagraph"/>
              <w:numPr>
                <w:ilvl w:val="0"/>
                <w:numId w:val="7"/>
              </w:numPr>
              <w:ind w:left="496" w:hanging="450"/>
            </w:pPr>
            <w:r>
              <w:t>A</w:t>
            </w:r>
            <w:r w:rsidR="0AC8D19C">
              <w:t>ddresses the ways in which the System of Care prioritizes culture and language within the SOC governance structure. (</w:t>
            </w:r>
            <w:r w:rsidR="0D70CE1F">
              <w:t>e</w:t>
            </w:r>
            <w:r w:rsidR="0AC8D19C">
              <w:t>.g.</w:t>
            </w:r>
            <w:r w:rsidR="0D70CE1F">
              <w:t>,</w:t>
            </w:r>
            <w:r w:rsidR="0AC8D19C">
              <w:t xml:space="preserve"> language access,</w:t>
            </w:r>
            <w:r w:rsidR="1306C48F">
              <w:t xml:space="preserve"> </w:t>
            </w:r>
            <w:r w:rsidR="0AC8D19C">
              <w:t xml:space="preserve">times of meetings, race, </w:t>
            </w:r>
            <w:r w:rsidR="31CC0498">
              <w:t>socioeconomic status</w:t>
            </w:r>
            <w:r w:rsidR="0AC8D19C">
              <w:t>, ethnicity, sexual orientation</w:t>
            </w:r>
            <w:r w:rsidR="29F1A629">
              <w:t>,</w:t>
            </w:r>
            <w:r w:rsidR="0AC8D19C">
              <w:t xml:space="preserve"> </w:t>
            </w:r>
            <w:r w:rsidR="29F1A629">
              <w:t>and</w:t>
            </w:r>
            <w:r w:rsidR="0AC8D19C">
              <w:t xml:space="preserve"> gender identity).</w:t>
            </w:r>
          </w:p>
        </w:tc>
        <w:tc>
          <w:tcPr>
            <w:tcW w:w="1338" w:type="dxa"/>
          </w:tcPr>
          <w:p w14:paraId="52F3A31B" w14:textId="5AC468AB" w:rsidR="6BAF78FD" w:rsidRDefault="6BAF78FD" w:rsidP="002B035E">
            <w:pPr>
              <w:pStyle w:val="ListParagraph"/>
            </w:pPr>
          </w:p>
        </w:tc>
        <w:tc>
          <w:tcPr>
            <w:tcW w:w="1627" w:type="dxa"/>
          </w:tcPr>
          <w:p w14:paraId="52544068" w14:textId="73B555B7" w:rsidR="6C1EAAC5" w:rsidRDefault="6C1EAAC5"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11B912D4" w14:textId="7B65D03A" w:rsidR="6BAF78FD" w:rsidRDefault="6BAF78FD" w:rsidP="6BAF78FD">
            <w:pPr>
              <w:pStyle w:val="ListParagraph"/>
            </w:pPr>
          </w:p>
        </w:tc>
        <w:tc>
          <w:tcPr>
            <w:tcW w:w="1457" w:type="dxa"/>
          </w:tcPr>
          <w:p w14:paraId="1AE21170" w14:textId="15243ED0" w:rsidR="6BAF78FD" w:rsidRDefault="6BAF78FD" w:rsidP="002B035E">
            <w:pPr>
              <w:pStyle w:val="ListParagraph"/>
            </w:pPr>
          </w:p>
        </w:tc>
        <w:tc>
          <w:tcPr>
            <w:tcW w:w="1627" w:type="dxa"/>
          </w:tcPr>
          <w:p w14:paraId="393D0228" w14:textId="73B555B7" w:rsidR="5390BF45" w:rsidRDefault="5390BF45"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3681F06F" w14:textId="4F3BE26A" w:rsidR="6BAF78FD" w:rsidRDefault="6BAF78FD" w:rsidP="6BAF78FD">
            <w:pPr>
              <w:pStyle w:val="ListParagraph"/>
            </w:pPr>
          </w:p>
        </w:tc>
        <w:tc>
          <w:tcPr>
            <w:tcW w:w="1436" w:type="dxa"/>
          </w:tcPr>
          <w:p w14:paraId="7EBF3CE3" w14:textId="43FDF41A" w:rsidR="6BAF78FD" w:rsidRDefault="6BAF78FD" w:rsidP="002B035E">
            <w:pPr>
              <w:pStyle w:val="ListParagraph"/>
            </w:pPr>
          </w:p>
        </w:tc>
      </w:tr>
      <w:tr w:rsidR="00426FDB" w:rsidRPr="008D541D" w14:paraId="7E33EFE8" w14:textId="77777777" w:rsidTr="00680906">
        <w:tc>
          <w:tcPr>
            <w:tcW w:w="2049" w:type="dxa"/>
            <w:vMerge/>
          </w:tcPr>
          <w:p w14:paraId="0D681976" w14:textId="77777777" w:rsidR="00426FDB" w:rsidRPr="008D541D" w:rsidRDefault="00426FDB" w:rsidP="00C139AC">
            <w:pPr>
              <w:pStyle w:val="ListParagraph"/>
              <w:numPr>
                <w:ilvl w:val="0"/>
                <w:numId w:val="8"/>
              </w:numPr>
              <w:ind w:left="330" w:hanging="330"/>
              <w:rPr>
                <w:rFonts w:cstheme="minorHAnsi"/>
              </w:rPr>
            </w:pPr>
          </w:p>
        </w:tc>
        <w:tc>
          <w:tcPr>
            <w:tcW w:w="4146" w:type="dxa"/>
          </w:tcPr>
          <w:p w14:paraId="6DA56C2D" w14:textId="28096B94" w:rsidR="00426FDB" w:rsidRPr="008D541D" w:rsidRDefault="76CF2D0F" w:rsidP="51B49338">
            <w:pPr>
              <w:pStyle w:val="ListParagraph"/>
              <w:numPr>
                <w:ilvl w:val="0"/>
                <w:numId w:val="7"/>
              </w:numPr>
              <w:ind w:left="496" w:hanging="450"/>
            </w:pPr>
            <w:r>
              <w:t>D</w:t>
            </w:r>
            <w:r w:rsidR="0AC8D19C">
              <w:t xml:space="preserve">escribes how SOC governance structure </w:t>
            </w:r>
            <w:r w:rsidR="6F48BC6B">
              <w:t xml:space="preserve">provides </w:t>
            </w:r>
            <w:r w:rsidR="0AC8D19C">
              <w:t>culturally and linguistically responsive strategies, supports</w:t>
            </w:r>
            <w:r w:rsidR="29F1A629">
              <w:t>,</w:t>
            </w:r>
            <w:r w:rsidR="0AC8D19C">
              <w:t xml:space="preserve"> and services for youth and families in the CCO Service Area(s).</w:t>
            </w:r>
          </w:p>
        </w:tc>
        <w:tc>
          <w:tcPr>
            <w:tcW w:w="1338" w:type="dxa"/>
          </w:tcPr>
          <w:p w14:paraId="46292D9D" w14:textId="366C4344" w:rsidR="6BAF78FD" w:rsidRDefault="6BAF78FD" w:rsidP="002B035E">
            <w:pPr>
              <w:pStyle w:val="ListParagraph"/>
            </w:pPr>
          </w:p>
        </w:tc>
        <w:tc>
          <w:tcPr>
            <w:tcW w:w="1627" w:type="dxa"/>
          </w:tcPr>
          <w:p w14:paraId="1320C082" w14:textId="73B555B7" w:rsidR="7EFC2D19" w:rsidRDefault="7EFC2D19"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73DD72D5" w14:textId="3A6EDD25" w:rsidR="6BAF78FD" w:rsidRDefault="6BAF78FD" w:rsidP="6BAF78FD">
            <w:pPr>
              <w:pStyle w:val="ListParagraph"/>
            </w:pPr>
          </w:p>
        </w:tc>
        <w:tc>
          <w:tcPr>
            <w:tcW w:w="1457" w:type="dxa"/>
          </w:tcPr>
          <w:p w14:paraId="4F219DCC" w14:textId="7F49D018" w:rsidR="6BAF78FD" w:rsidRDefault="6BAF78FD" w:rsidP="002B035E">
            <w:pPr>
              <w:pStyle w:val="ListParagraph"/>
            </w:pPr>
          </w:p>
        </w:tc>
        <w:tc>
          <w:tcPr>
            <w:tcW w:w="1627" w:type="dxa"/>
          </w:tcPr>
          <w:p w14:paraId="506039E7" w14:textId="73B555B7" w:rsidR="792C6EC5" w:rsidRDefault="792C6EC5"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1E38B92C" w14:textId="79FC5405" w:rsidR="6BAF78FD" w:rsidRDefault="6BAF78FD" w:rsidP="6BAF78FD">
            <w:pPr>
              <w:pStyle w:val="ListParagraph"/>
            </w:pPr>
          </w:p>
        </w:tc>
        <w:tc>
          <w:tcPr>
            <w:tcW w:w="1436" w:type="dxa"/>
          </w:tcPr>
          <w:p w14:paraId="5B75DD22" w14:textId="123FA882" w:rsidR="6BAF78FD" w:rsidRDefault="6BAF78FD" w:rsidP="002B035E">
            <w:pPr>
              <w:pStyle w:val="ListParagraph"/>
            </w:pPr>
          </w:p>
        </w:tc>
      </w:tr>
      <w:tr w:rsidR="00A975FD" w:rsidRPr="008D541D" w14:paraId="59848065" w14:textId="77777777" w:rsidTr="00680906">
        <w:tc>
          <w:tcPr>
            <w:tcW w:w="2049" w:type="dxa"/>
            <w:vMerge w:val="restart"/>
          </w:tcPr>
          <w:p w14:paraId="211B1553" w14:textId="1993BC36" w:rsidR="00A975FD" w:rsidRPr="008D541D" w:rsidRDefault="00A975FD" w:rsidP="51B49338">
            <w:pPr>
              <w:pStyle w:val="ListParagraph"/>
              <w:numPr>
                <w:ilvl w:val="0"/>
                <w:numId w:val="8"/>
              </w:numPr>
              <w:ind w:left="330" w:hanging="330"/>
            </w:pPr>
            <w:r w:rsidRPr="008D541D">
              <w:t xml:space="preserve">CCO supports the inclusion and </w:t>
            </w:r>
            <w:r w:rsidRPr="008D541D">
              <w:lastRenderedPageBreak/>
              <w:t>collaboration of Community partners and system partners (e.g., representatives from ODHS; Child Welfare and Intellectual Develop-mental Disabilities, &amp; Self Sufficiency, Education, Juvenile Justice, Tribes and Behavioral Health) to ensure Youth and families have access to necessary supports and services.</w:t>
            </w:r>
          </w:p>
        </w:tc>
        <w:tc>
          <w:tcPr>
            <w:tcW w:w="4146" w:type="dxa"/>
          </w:tcPr>
          <w:p w14:paraId="270DDA82" w14:textId="0C70E81B" w:rsidR="00A975FD" w:rsidRPr="008D541D" w:rsidRDefault="00A975FD" w:rsidP="51B49338">
            <w:pPr>
              <w:pStyle w:val="ListParagraph"/>
              <w:numPr>
                <w:ilvl w:val="0"/>
                <w:numId w:val="7"/>
              </w:numPr>
              <w:ind w:left="496" w:hanging="450"/>
            </w:pPr>
            <w:r>
              <w:lastRenderedPageBreak/>
              <w:t xml:space="preserve">Describes the ways in which partnerships are created and sustained with Community partners </w:t>
            </w:r>
            <w:r>
              <w:lastRenderedPageBreak/>
              <w:t>and system partners involved in the SOC governance structure. Policy includes examples of how attendance, participation, and problem-solving are addressed.</w:t>
            </w:r>
          </w:p>
        </w:tc>
        <w:tc>
          <w:tcPr>
            <w:tcW w:w="1338" w:type="dxa"/>
          </w:tcPr>
          <w:p w14:paraId="21916455" w14:textId="5F354786" w:rsidR="00A975FD" w:rsidRDefault="00A975FD" w:rsidP="002B035E">
            <w:pPr>
              <w:pStyle w:val="ListParagraph"/>
            </w:pPr>
          </w:p>
        </w:tc>
        <w:tc>
          <w:tcPr>
            <w:tcW w:w="1627" w:type="dxa"/>
          </w:tcPr>
          <w:p w14:paraId="00669968"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3D3284AD" w14:textId="43EE930E" w:rsidR="00A975FD" w:rsidRDefault="00A975FD" w:rsidP="6BAF78FD">
            <w:pPr>
              <w:pStyle w:val="ListParagraph"/>
            </w:pPr>
          </w:p>
        </w:tc>
        <w:tc>
          <w:tcPr>
            <w:tcW w:w="1457" w:type="dxa"/>
          </w:tcPr>
          <w:p w14:paraId="5CBCEFDB" w14:textId="5A7C3491" w:rsidR="00A975FD" w:rsidRDefault="00A975FD" w:rsidP="002B035E">
            <w:pPr>
              <w:pStyle w:val="ListParagraph"/>
            </w:pPr>
          </w:p>
        </w:tc>
        <w:tc>
          <w:tcPr>
            <w:tcW w:w="1627" w:type="dxa"/>
          </w:tcPr>
          <w:p w14:paraId="7603AFC1"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1DF791DB" w14:textId="539F29D8" w:rsidR="00A975FD" w:rsidRDefault="00A975FD" w:rsidP="6BAF78FD">
            <w:pPr>
              <w:pStyle w:val="ListParagraph"/>
            </w:pPr>
          </w:p>
        </w:tc>
        <w:tc>
          <w:tcPr>
            <w:tcW w:w="1436" w:type="dxa"/>
          </w:tcPr>
          <w:p w14:paraId="13CA8DC3" w14:textId="01DB2FE5" w:rsidR="00A975FD" w:rsidRDefault="00A975FD" w:rsidP="002B035E">
            <w:pPr>
              <w:pStyle w:val="ListParagraph"/>
            </w:pPr>
          </w:p>
        </w:tc>
      </w:tr>
      <w:tr w:rsidR="00A975FD" w:rsidRPr="008D541D" w14:paraId="033E3913" w14:textId="77777777" w:rsidTr="00680906">
        <w:trPr>
          <w:trHeight w:val="816"/>
        </w:trPr>
        <w:tc>
          <w:tcPr>
            <w:tcW w:w="2049" w:type="dxa"/>
            <w:vMerge/>
          </w:tcPr>
          <w:p w14:paraId="18C444E4" w14:textId="77777777" w:rsidR="00A975FD" w:rsidRPr="008D541D" w:rsidRDefault="00A975FD">
            <w:pPr>
              <w:rPr>
                <w:rFonts w:cstheme="minorHAnsi"/>
              </w:rPr>
            </w:pPr>
          </w:p>
        </w:tc>
        <w:tc>
          <w:tcPr>
            <w:tcW w:w="4146" w:type="dxa"/>
          </w:tcPr>
          <w:p w14:paraId="48A9F033" w14:textId="62851764" w:rsidR="00A975FD" w:rsidRPr="008D541D" w:rsidRDefault="00A975FD" w:rsidP="51B49338">
            <w:pPr>
              <w:pStyle w:val="ListParagraph"/>
              <w:numPr>
                <w:ilvl w:val="0"/>
                <w:numId w:val="7"/>
              </w:numPr>
              <w:ind w:left="496" w:hanging="450"/>
            </w:pPr>
            <w:r>
              <w:t xml:space="preserve">Describes the SOC governance structure’s commitment to cross-sector coordination efforts on behalf of youth and families within the CCO’s Service Area(s). </w:t>
            </w:r>
          </w:p>
          <w:p w14:paraId="3C938ABD" w14:textId="6332608A" w:rsidR="00A975FD" w:rsidRPr="008D541D" w:rsidRDefault="00A975FD" w:rsidP="009A6462"/>
        </w:tc>
        <w:tc>
          <w:tcPr>
            <w:tcW w:w="1338" w:type="dxa"/>
          </w:tcPr>
          <w:p w14:paraId="3C3530BB" w14:textId="4BB34E92" w:rsidR="00A975FD" w:rsidRDefault="00A975FD" w:rsidP="007A0583">
            <w:pPr>
              <w:pStyle w:val="ListParagraph"/>
            </w:pPr>
          </w:p>
        </w:tc>
        <w:tc>
          <w:tcPr>
            <w:tcW w:w="1627" w:type="dxa"/>
          </w:tcPr>
          <w:p w14:paraId="2A39B0DE"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1F0129B1" w14:textId="58598DF7" w:rsidR="00A975FD" w:rsidRDefault="00A975FD" w:rsidP="6BAF78FD">
            <w:pPr>
              <w:pStyle w:val="ListParagraph"/>
            </w:pPr>
          </w:p>
        </w:tc>
        <w:tc>
          <w:tcPr>
            <w:tcW w:w="1457" w:type="dxa"/>
          </w:tcPr>
          <w:p w14:paraId="19255A76" w14:textId="315A5DCF" w:rsidR="00A975FD" w:rsidRDefault="00A975FD" w:rsidP="007A0583">
            <w:pPr>
              <w:pStyle w:val="ListParagraph"/>
            </w:pPr>
          </w:p>
        </w:tc>
        <w:tc>
          <w:tcPr>
            <w:tcW w:w="1627" w:type="dxa"/>
          </w:tcPr>
          <w:p w14:paraId="31723116"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404C8767" w14:textId="76F62DD0" w:rsidR="00A975FD" w:rsidRDefault="00A975FD" w:rsidP="6BAF78FD">
            <w:pPr>
              <w:pStyle w:val="ListParagraph"/>
            </w:pPr>
          </w:p>
        </w:tc>
        <w:tc>
          <w:tcPr>
            <w:tcW w:w="1436" w:type="dxa"/>
          </w:tcPr>
          <w:p w14:paraId="285C3BFE" w14:textId="6540C734" w:rsidR="00A975FD" w:rsidRDefault="00A975FD" w:rsidP="007A0583">
            <w:pPr>
              <w:pStyle w:val="ListParagraph"/>
            </w:pPr>
          </w:p>
        </w:tc>
      </w:tr>
      <w:tr w:rsidR="00A975FD" w:rsidRPr="008D541D" w:rsidDel="009A6462" w14:paraId="1391BC43" w14:textId="0C67CA1D" w:rsidTr="00680906">
        <w:tc>
          <w:tcPr>
            <w:tcW w:w="2049" w:type="dxa"/>
            <w:vMerge/>
          </w:tcPr>
          <w:p w14:paraId="57D493CF" w14:textId="0A77EDE5" w:rsidR="00A975FD" w:rsidRPr="008D541D" w:rsidDel="009A6462" w:rsidRDefault="00A975FD" w:rsidP="6BAF78FD"/>
        </w:tc>
        <w:tc>
          <w:tcPr>
            <w:tcW w:w="4146" w:type="dxa"/>
          </w:tcPr>
          <w:p w14:paraId="11375A59" w14:textId="6F1FD62F" w:rsidR="00A975FD" w:rsidRPr="008D541D" w:rsidDel="009A6462" w:rsidRDefault="00A975FD" w:rsidP="6BAF78FD">
            <w:pPr>
              <w:pStyle w:val="ListParagraph"/>
              <w:numPr>
                <w:ilvl w:val="0"/>
                <w:numId w:val="7"/>
              </w:numPr>
              <w:ind w:left="496" w:hanging="450"/>
              <w:rPr>
                <w:rFonts w:eastAsiaTheme="minorEastAsia"/>
              </w:rPr>
            </w:pPr>
            <w:r w:rsidRPr="6BAF78FD">
              <w:rPr>
                <w:rFonts w:ascii="Calibri" w:eastAsia="Calibri" w:hAnsi="Calibri" w:cs="Calibri"/>
              </w:rPr>
              <w:t>Describes how information is communicated between the CCO and System of Care governance structure and the extent to which the two entities communicate. The policy may include additional documents (e.g., process flows) as addenda to explain the overall communication process.</w:t>
            </w:r>
          </w:p>
        </w:tc>
        <w:tc>
          <w:tcPr>
            <w:tcW w:w="1338" w:type="dxa"/>
          </w:tcPr>
          <w:p w14:paraId="7B59AE00" w14:textId="6BB7D940" w:rsidR="00A975FD" w:rsidRDefault="00A975FD" w:rsidP="00731459">
            <w:pPr>
              <w:pStyle w:val="ListParagraph"/>
              <w:rPr>
                <w:rFonts w:ascii="Calibri" w:eastAsia="Calibri" w:hAnsi="Calibri" w:cs="Calibri"/>
              </w:rPr>
            </w:pPr>
          </w:p>
        </w:tc>
        <w:tc>
          <w:tcPr>
            <w:tcW w:w="1627" w:type="dxa"/>
          </w:tcPr>
          <w:p w14:paraId="5989526F"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645E4426" w14:textId="501D47C3" w:rsidR="00A975FD" w:rsidRDefault="00A975FD" w:rsidP="6BAF78FD">
            <w:pPr>
              <w:pStyle w:val="ListParagraph"/>
              <w:rPr>
                <w:rFonts w:ascii="Calibri" w:eastAsia="Calibri" w:hAnsi="Calibri" w:cs="Calibri"/>
              </w:rPr>
            </w:pPr>
          </w:p>
        </w:tc>
        <w:tc>
          <w:tcPr>
            <w:tcW w:w="1457" w:type="dxa"/>
          </w:tcPr>
          <w:p w14:paraId="4B68EF54" w14:textId="0E19292E" w:rsidR="00A975FD" w:rsidRDefault="00A975FD" w:rsidP="6BAF78FD">
            <w:pPr>
              <w:pStyle w:val="ListParagraph"/>
              <w:rPr>
                <w:rFonts w:ascii="Calibri" w:eastAsia="Calibri" w:hAnsi="Calibri" w:cs="Calibri"/>
              </w:rPr>
            </w:pPr>
          </w:p>
        </w:tc>
        <w:tc>
          <w:tcPr>
            <w:tcW w:w="1627" w:type="dxa"/>
          </w:tcPr>
          <w:p w14:paraId="27575F25"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32F46ABF" w14:textId="37186BFE" w:rsidR="00A975FD" w:rsidRDefault="00A975FD" w:rsidP="6BAF78FD">
            <w:pPr>
              <w:pStyle w:val="ListParagraph"/>
              <w:rPr>
                <w:rFonts w:ascii="Calibri" w:eastAsia="Calibri" w:hAnsi="Calibri" w:cs="Calibri"/>
              </w:rPr>
            </w:pPr>
          </w:p>
        </w:tc>
        <w:tc>
          <w:tcPr>
            <w:tcW w:w="1436" w:type="dxa"/>
          </w:tcPr>
          <w:p w14:paraId="600880A6" w14:textId="78CAE89D" w:rsidR="00A975FD" w:rsidRDefault="00A975FD" w:rsidP="00731459">
            <w:pPr>
              <w:pStyle w:val="ListParagraph"/>
              <w:rPr>
                <w:rFonts w:ascii="Calibri" w:eastAsia="Calibri" w:hAnsi="Calibri" w:cs="Calibri"/>
              </w:rPr>
            </w:pPr>
          </w:p>
        </w:tc>
      </w:tr>
      <w:tr w:rsidR="00A975FD" w14:paraId="5375A217" w14:textId="77777777" w:rsidTr="00680906">
        <w:tc>
          <w:tcPr>
            <w:tcW w:w="2049" w:type="dxa"/>
            <w:vMerge/>
          </w:tcPr>
          <w:p w14:paraId="5F6D1EC2" w14:textId="096AC20B" w:rsidR="00A975FD" w:rsidRDefault="00A975FD" w:rsidP="6BAF78FD"/>
        </w:tc>
        <w:tc>
          <w:tcPr>
            <w:tcW w:w="4146" w:type="dxa"/>
          </w:tcPr>
          <w:p w14:paraId="2A89CBB2" w14:textId="1B41B5C5" w:rsidR="00A975FD" w:rsidRDefault="00A975FD" w:rsidP="00A975FD">
            <w:pPr>
              <w:pStyle w:val="ListParagraph"/>
              <w:numPr>
                <w:ilvl w:val="0"/>
                <w:numId w:val="7"/>
              </w:numPr>
              <w:ind w:left="449"/>
              <w:rPr>
                <w:rFonts w:eastAsiaTheme="minorEastAsia"/>
              </w:rPr>
            </w:pPr>
            <w:r w:rsidRPr="6BAF78FD">
              <w:rPr>
                <w:rFonts w:ascii="Calibri" w:eastAsia="Calibri" w:hAnsi="Calibri" w:cs="Calibri"/>
              </w:rPr>
              <w:t>Policy has been approved by the SOC Executive Council</w:t>
            </w:r>
          </w:p>
        </w:tc>
        <w:tc>
          <w:tcPr>
            <w:tcW w:w="1338" w:type="dxa"/>
          </w:tcPr>
          <w:p w14:paraId="3296E03B" w14:textId="37951E99" w:rsidR="00A975FD" w:rsidRDefault="00A975FD" w:rsidP="6BAF78FD">
            <w:pPr>
              <w:pStyle w:val="ListParagraph"/>
              <w:rPr>
                <w:rFonts w:ascii="Calibri" w:eastAsia="Calibri" w:hAnsi="Calibri" w:cs="Calibri"/>
              </w:rPr>
            </w:pPr>
          </w:p>
        </w:tc>
        <w:tc>
          <w:tcPr>
            <w:tcW w:w="1627" w:type="dxa"/>
          </w:tcPr>
          <w:p w14:paraId="4796A30F"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5B46C540" w14:textId="0DDB71DB" w:rsidR="00A975FD" w:rsidRDefault="00A975FD" w:rsidP="6BAF78FD">
            <w:pPr>
              <w:pStyle w:val="ListParagraph"/>
              <w:rPr>
                <w:rFonts w:ascii="Calibri" w:eastAsia="Calibri" w:hAnsi="Calibri" w:cs="Calibri"/>
                <w:color w:val="000000" w:themeColor="text1"/>
              </w:rPr>
            </w:pPr>
          </w:p>
        </w:tc>
        <w:tc>
          <w:tcPr>
            <w:tcW w:w="1457" w:type="dxa"/>
          </w:tcPr>
          <w:p w14:paraId="1D671FEF" w14:textId="11E5559F" w:rsidR="00A975FD" w:rsidRDefault="00A975FD" w:rsidP="6BAF78FD">
            <w:pPr>
              <w:pStyle w:val="ListParagraph"/>
              <w:rPr>
                <w:rFonts w:ascii="Calibri" w:eastAsia="Calibri" w:hAnsi="Calibri" w:cs="Calibri"/>
              </w:rPr>
            </w:pPr>
          </w:p>
        </w:tc>
        <w:tc>
          <w:tcPr>
            <w:tcW w:w="1627" w:type="dxa"/>
          </w:tcPr>
          <w:p w14:paraId="58172D09" w14:textId="73B555B7" w:rsidR="00A975FD" w:rsidRDefault="00A975FD" w:rsidP="6BAF78FD">
            <w:pPr>
              <w:pStyle w:val="ListParagraph"/>
              <w:ind w:left="0"/>
              <w:rPr>
                <w:rFonts w:ascii="MS Gothic" w:eastAsia="MS Gothic" w:hAnsi="MS Gothic" w:cs="MS Gothic"/>
                <w:color w:val="000000" w:themeColor="text1"/>
              </w:rPr>
            </w:pPr>
            <w:r w:rsidRPr="6BAF78FD">
              <w:rPr>
                <w:rFonts w:ascii="Calibri" w:eastAsia="Calibri" w:hAnsi="Calibri" w:cs="Calibri"/>
                <w:color w:val="000000" w:themeColor="text1"/>
              </w:rPr>
              <w:t xml:space="preserve">Y </w:t>
            </w:r>
            <w:r w:rsidRPr="6BAF78FD">
              <w:rPr>
                <w:rFonts w:ascii="MS Gothic" w:eastAsia="MS Gothic" w:hAnsi="MS Gothic" w:cs="MS Gothic"/>
                <w:color w:val="000000" w:themeColor="text1"/>
              </w:rPr>
              <w:t>☐</w:t>
            </w:r>
            <w:r w:rsidRPr="6BAF78FD">
              <w:rPr>
                <w:rFonts w:ascii="Calibri" w:eastAsia="Calibri" w:hAnsi="Calibri" w:cs="Calibri"/>
                <w:color w:val="000000" w:themeColor="text1"/>
              </w:rPr>
              <w:t xml:space="preserve"> N </w:t>
            </w:r>
            <w:r w:rsidRPr="6BAF78FD">
              <w:rPr>
                <w:rFonts w:ascii="MS Gothic" w:eastAsia="MS Gothic" w:hAnsi="MS Gothic" w:cs="MS Gothic"/>
                <w:color w:val="000000" w:themeColor="text1"/>
              </w:rPr>
              <w:t>☐</w:t>
            </w:r>
          </w:p>
          <w:p w14:paraId="63456D99" w14:textId="7E53C46E" w:rsidR="00A975FD" w:rsidRDefault="00A975FD" w:rsidP="6BAF78FD">
            <w:pPr>
              <w:pStyle w:val="ListParagraph"/>
              <w:rPr>
                <w:rFonts w:ascii="Calibri" w:eastAsia="Calibri" w:hAnsi="Calibri" w:cs="Calibri"/>
                <w:color w:val="000000" w:themeColor="text1"/>
              </w:rPr>
            </w:pPr>
          </w:p>
        </w:tc>
        <w:tc>
          <w:tcPr>
            <w:tcW w:w="1436" w:type="dxa"/>
          </w:tcPr>
          <w:p w14:paraId="457E56B3" w14:textId="0F4959AD" w:rsidR="00A975FD" w:rsidRDefault="00A975FD" w:rsidP="6BAF78FD">
            <w:pPr>
              <w:pStyle w:val="ListParagraph"/>
              <w:rPr>
                <w:rFonts w:ascii="Calibri" w:eastAsia="Calibri" w:hAnsi="Calibri" w:cs="Calibri"/>
              </w:rPr>
            </w:pPr>
          </w:p>
        </w:tc>
      </w:tr>
    </w:tbl>
    <w:p w14:paraId="46F61C4D" w14:textId="77777777" w:rsidR="00AC0716" w:rsidRPr="00E36AEF" w:rsidRDefault="00AC0716" w:rsidP="51B49338">
      <w:pPr>
        <w:spacing w:after="0" w:line="240" w:lineRule="auto"/>
      </w:pPr>
    </w:p>
    <w:p w14:paraId="4BADDE7E" w14:textId="1B184928" w:rsidR="00612EDF" w:rsidRPr="00E36AEF" w:rsidRDefault="0090505F" w:rsidP="0090505F">
      <w:r w:rsidRPr="00E36AEF">
        <w:t xml:space="preserve">* </w:t>
      </w:r>
      <w:r w:rsidR="000A08B1" w:rsidRPr="00E36AEF">
        <w:t>System of Care Governance Structure collectively refers to the Practice Level Wor</w:t>
      </w:r>
      <w:r w:rsidR="00AD0D63">
        <w:t>kg</w:t>
      </w:r>
      <w:r w:rsidR="000A08B1" w:rsidRPr="00E36AEF">
        <w:t xml:space="preserve">roup, </w:t>
      </w:r>
      <w:r w:rsidR="009E59B7" w:rsidRPr="00E36AEF">
        <w:t>A</w:t>
      </w:r>
      <w:r w:rsidR="000A08B1" w:rsidRPr="00E36AEF">
        <w:t xml:space="preserve">dvisory </w:t>
      </w:r>
      <w:proofErr w:type="gramStart"/>
      <w:r w:rsidR="009E59B7" w:rsidRPr="00E36AEF">
        <w:t>C</w:t>
      </w:r>
      <w:r w:rsidR="000A08B1" w:rsidRPr="00E36AEF">
        <w:t>ouncil</w:t>
      </w:r>
      <w:proofErr w:type="gramEnd"/>
      <w:r w:rsidR="000A08B1" w:rsidRPr="00E36AEF">
        <w:t xml:space="preserve"> and the Executive Council. </w:t>
      </w:r>
    </w:p>
    <w:sectPr w:rsidR="00612EDF" w:rsidRPr="00E36AEF" w:rsidSect="00143476">
      <w:footerReference w:type="default" r:id="rId11"/>
      <w:pgSz w:w="15840" w:h="12240" w:orient="landscape" w:code="1"/>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BB61" w14:textId="77777777" w:rsidR="001E07C5" w:rsidRDefault="001E07C5" w:rsidP="00737E71">
      <w:pPr>
        <w:spacing w:after="0" w:line="240" w:lineRule="auto"/>
      </w:pPr>
      <w:r>
        <w:separator/>
      </w:r>
    </w:p>
  </w:endnote>
  <w:endnote w:type="continuationSeparator" w:id="0">
    <w:p w14:paraId="25835370" w14:textId="77777777" w:rsidR="001E07C5" w:rsidRDefault="001E07C5" w:rsidP="0073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4C66" w14:textId="6AA3B962" w:rsidR="00267820" w:rsidRPr="00267820" w:rsidRDefault="00A975FD" w:rsidP="00A975FD">
    <w:pPr>
      <w:pStyle w:val="Footer"/>
      <w:tabs>
        <w:tab w:val="clear" w:pos="4680"/>
        <w:tab w:val="clear" w:pos="9360"/>
        <w:tab w:val="center" w:pos="6480"/>
        <w:tab w:val="right" w:pos="13590"/>
      </w:tabs>
    </w:pPr>
    <w:r>
      <w:tab/>
      <w:t xml:space="preserve">Page </w:t>
    </w:r>
    <w:r>
      <w:fldChar w:fldCharType="begin"/>
    </w:r>
    <w:r>
      <w:instrText xml:space="preserve"> PAGE   \* MERGEFORMAT </w:instrText>
    </w:r>
    <w:r>
      <w:fldChar w:fldCharType="separate"/>
    </w:r>
    <w:r>
      <w:rPr>
        <w:noProof/>
      </w:rPr>
      <w:t>2</w:t>
    </w:r>
    <w:r>
      <w:fldChar w:fldCharType="end"/>
    </w:r>
    <w:r>
      <w:t xml:space="preserve"> of </w:t>
    </w:r>
    <w:r w:rsidR="00CC4FF7">
      <w:fldChar w:fldCharType="begin"/>
    </w:r>
    <w:r w:rsidR="00CC4FF7">
      <w:instrText xml:space="preserve"> NUMPAGES   \* MERGEFORMAT </w:instrText>
    </w:r>
    <w:r w:rsidR="00CC4FF7">
      <w:fldChar w:fldCharType="separate"/>
    </w:r>
    <w:r>
      <w:rPr>
        <w:noProof/>
      </w:rPr>
      <w:t>3</w:t>
    </w:r>
    <w:r w:rsidR="00CC4FF7">
      <w:rPr>
        <w:noProof/>
      </w:rPr>
      <w:fldChar w:fldCharType="end"/>
    </w:r>
    <w:r>
      <w:tab/>
    </w:r>
    <w:r w:rsidR="00267820" w:rsidRPr="00267820">
      <w:t xml:space="preserve">Last update: </w:t>
    </w:r>
    <w:r>
      <w:t>12/8</w:t>
    </w:r>
    <w:r w:rsidR="00267820" w:rsidRPr="00267820">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EE57" w14:textId="77777777" w:rsidR="001E07C5" w:rsidRDefault="001E07C5" w:rsidP="00737E71">
      <w:pPr>
        <w:spacing w:after="0" w:line="240" w:lineRule="auto"/>
      </w:pPr>
      <w:r>
        <w:separator/>
      </w:r>
    </w:p>
  </w:footnote>
  <w:footnote w:type="continuationSeparator" w:id="0">
    <w:p w14:paraId="04559A5A" w14:textId="77777777" w:rsidR="001E07C5" w:rsidRDefault="001E07C5" w:rsidP="00737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A53"/>
    <w:multiLevelType w:val="hybridMultilevel"/>
    <w:tmpl w:val="E30A73F8"/>
    <w:lvl w:ilvl="0" w:tplc="64B4BD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767E5"/>
    <w:multiLevelType w:val="hybridMultilevel"/>
    <w:tmpl w:val="E8221FA2"/>
    <w:lvl w:ilvl="0" w:tplc="76E6E2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C71AF1"/>
    <w:multiLevelType w:val="hybridMultilevel"/>
    <w:tmpl w:val="C41E43D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46660D"/>
    <w:multiLevelType w:val="hybridMultilevel"/>
    <w:tmpl w:val="78747908"/>
    <w:lvl w:ilvl="0" w:tplc="B47A5BBA">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07515F"/>
    <w:multiLevelType w:val="hybridMultilevel"/>
    <w:tmpl w:val="92C8AB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0016D8"/>
    <w:multiLevelType w:val="hybridMultilevel"/>
    <w:tmpl w:val="14488C72"/>
    <w:lvl w:ilvl="0" w:tplc="3A30CE0E">
      <w:start w:val="1"/>
      <w:numFmt w:val="decimal"/>
      <w:lvlText w:val="%1."/>
      <w:lvlJc w:val="left"/>
      <w:pPr>
        <w:tabs>
          <w:tab w:val="num" w:pos="720"/>
        </w:tabs>
        <w:ind w:left="720" w:hanging="720"/>
      </w:pPr>
    </w:lvl>
    <w:lvl w:ilvl="1" w:tplc="81A4D3FE">
      <w:start w:val="1"/>
      <w:numFmt w:val="decimal"/>
      <w:lvlText w:val="%2."/>
      <w:lvlJc w:val="left"/>
      <w:pPr>
        <w:tabs>
          <w:tab w:val="num" w:pos="1440"/>
        </w:tabs>
        <w:ind w:left="1440" w:hanging="720"/>
      </w:pPr>
    </w:lvl>
    <w:lvl w:ilvl="2" w:tplc="46BE4000">
      <w:start w:val="1"/>
      <w:numFmt w:val="decimal"/>
      <w:lvlText w:val="%3."/>
      <w:lvlJc w:val="left"/>
      <w:pPr>
        <w:tabs>
          <w:tab w:val="num" w:pos="2160"/>
        </w:tabs>
        <w:ind w:left="2160" w:hanging="720"/>
      </w:pPr>
    </w:lvl>
    <w:lvl w:ilvl="3" w:tplc="BC827512">
      <w:start w:val="1"/>
      <w:numFmt w:val="decimal"/>
      <w:lvlText w:val="%4."/>
      <w:lvlJc w:val="left"/>
      <w:pPr>
        <w:tabs>
          <w:tab w:val="num" w:pos="2880"/>
        </w:tabs>
        <w:ind w:left="2880" w:hanging="720"/>
      </w:pPr>
    </w:lvl>
    <w:lvl w:ilvl="4" w:tplc="A3208E38">
      <w:start w:val="1"/>
      <w:numFmt w:val="decimal"/>
      <w:lvlText w:val="%5."/>
      <w:lvlJc w:val="left"/>
      <w:pPr>
        <w:tabs>
          <w:tab w:val="num" w:pos="3600"/>
        </w:tabs>
        <w:ind w:left="3600" w:hanging="720"/>
      </w:pPr>
    </w:lvl>
    <w:lvl w:ilvl="5" w:tplc="823A7420">
      <w:start w:val="1"/>
      <w:numFmt w:val="decimal"/>
      <w:lvlText w:val="%6."/>
      <w:lvlJc w:val="left"/>
      <w:pPr>
        <w:tabs>
          <w:tab w:val="num" w:pos="4320"/>
        </w:tabs>
        <w:ind w:left="4320" w:hanging="720"/>
      </w:pPr>
    </w:lvl>
    <w:lvl w:ilvl="6" w:tplc="74927C08">
      <w:start w:val="1"/>
      <w:numFmt w:val="decimal"/>
      <w:lvlText w:val="%7."/>
      <w:lvlJc w:val="left"/>
      <w:pPr>
        <w:tabs>
          <w:tab w:val="num" w:pos="5040"/>
        </w:tabs>
        <w:ind w:left="5040" w:hanging="720"/>
      </w:pPr>
    </w:lvl>
    <w:lvl w:ilvl="7" w:tplc="CDDE36A0">
      <w:start w:val="1"/>
      <w:numFmt w:val="decimal"/>
      <w:lvlText w:val="%8."/>
      <w:lvlJc w:val="left"/>
      <w:pPr>
        <w:tabs>
          <w:tab w:val="num" w:pos="5760"/>
        </w:tabs>
        <w:ind w:left="5760" w:hanging="720"/>
      </w:pPr>
    </w:lvl>
    <w:lvl w:ilvl="8" w:tplc="258235DA">
      <w:start w:val="1"/>
      <w:numFmt w:val="decimal"/>
      <w:lvlText w:val="%9."/>
      <w:lvlJc w:val="left"/>
      <w:pPr>
        <w:tabs>
          <w:tab w:val="num" w:pos="6480"/>
        </w:tabs>
        <w:ind w:left="6480" w:hanging="720"/>
      </w:pPr>
    </w:lvl>
  </w:abstractNum>
  <w:abstractNum w:abstractNumId="6" w15:restartNumberingAfterBreak="0">
    <w:nsid w:val="77E5562B"/>
    <w:multiLevelType w:val="hybridMultilevel"/>
    <w:tmpl w:val="6D2CA1CA"/>
    <w:lvl w:ilvl="0" w:tplc="74A8CF4C">
      <w:start w:val="1"/>
      <w:numFmt w:val="lowerLetter"/>
      <w:lvlText w:val="%1."/>
      <w:lvlJc w:val="left"/>
      <w:pPr>
        <w:ind w:left="720" w:hanging="360"/>
      </w:pPr>
      <w:rPr>
        <w:rFonts w:hint="default"/>
        <w:cap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0E2C24"/>
    <w:multiLevelType w:val="hybridMultilevel"/>
    <w:tmpl w:val="47E2F7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2E"/>
    <w:rsid w:val="00041FCD"/>
    <w:rsid w:val="00050903"/>
    <w:rsid w:val="000A08B1"/>
    <w:rsid w:val="000C1C8C"/>
    <w:rsid w:val="000C7F2E"/>
    <w:rsid w:val="001338CA"/>
    <w:rsid w:val="00137AA1"/>
    <w:rsid w:val="00143476"/>
    <w:rsid w:val="00172717"/>
    <w:rsid w:val="001E07C5"/>
    <w:rsid w:val="001F05CD"/>
    <w:rsid w:val="00204031"/>
    <w:rsid w:val="002645F4"/>
    <w:rsid w:val="00267820"/>
    <w:rsid w:val="002B035E"/>
    <w:rsid w:val="002E681D"/>
    <w:rsid w:val="003209D9"/>
    <w:rsid w:val="00322836"/>
    <w:rsid w:val="003311B3"/>
    <w:rsid w:val="00341ED8"/>
    <w:rsid w:val="00391245"/>
    <w:rsid w:val="00392E7B"/>
    <w:rsid w:val="003E5BFF"/>
    <w:rsid w:val="003E670D"/>
    <w:rsid w:val="00426FDB"/>
    <w:rsid w:val="00524254"/>
    <w:rsid w:val="0052455F"/>
    <w:rsid w:val="005A5DB2"/>
    <w:rsid w:val="00680906"/>
    <w:rsid w:val="006D44CD"/>
    <w:rsid w:val="00731459"/>
    <w:rsid w:val="00737E71"/>
    <w:rsid w:val="007965D2"/>
    <w:rsid w:val="007A0583"/>
    <w:rsid w:val="007A5115"/>
    <w:rsid w:val="007F14F6"/>
    <w:rsid w:val="00840A1D"/>
    <w:rsid w:val="00851E92"/>
    <w:rsid w:val="00854A1B"/>
    <w:rsid w:val="0086052F"/>
    <w:rsid w:val="008702E2"/>
    <w:rsid w:val="00896D64"/>
    <w:rsid w:val="008D541D"/>
    <w:rsid w:val="0090505F"/>
    <w:rsid w:val="00912108"/>
    <w:rsid w:val="00966D49"/>
    <w:rsid w:val="0097162E"/>
    <w:rsid w:val="009A6462"/>
    <w:rsid w:val="009B4FD7"/>
    <w:rsid w:val="009D5816"/>
    <w:rsid w:val="009E59B7"/>
    <w:rsid w:val="009F0001"/>
    <w:rsid w:val="009F0CA8"/>
    <w:rsid w:val="00A52DF3"/>
    <w:rsid w:val="00A7001F"/>
    <w:rsid w:val="00A8475B"/>
    <w:rsid w:val="00A8568C"/>
    <w:rsid w:val="00A975FD"/>
    <w:rsid w:val="00AC0716"/>
    <w:rsid w:val="00AD0D63"/>
    <w:rsid w:val="00AD547A"/>
    <w:rsid w:val="00B932AF"/>
    <w:rsid w:val="00B94539"/>
    <w:rsid w:val="00BA3850"/>
    <w:rsid w:val="00C139AC"/>
    <w:rsid w:val="00C65BDC"/>
    <w:rsid w:val="00CA6BE9"/>
    <w:rsid w:val="00CC4FDA"/>
    <w:rsid w:val="00CC4FF7"/>
    <w:rsid w:val="00CD2EB5"/>
    <w:rsid w:val="00CF5B81"/>
    <w:rsid w:val="00D17813"/>
    <w:rsid w:val="00D3795A"/>
    <w:rsid w:val="00D76A59"/>
    <w:rsid w:val="00D81B69"/>
    <w:rsid w:val="00D874D9"/>
    <w:rsid w:val="00DE5884"/>
    <w:rsid w:val="00E04E7C"/>
    <w:rsid w:val="00E36AEF"/>
    <w:rsid w:val="00EC3610"/>
    <w:rsid w:val="00EF039B"/>
    <w:rsid w:val="00EF2D12"/>
    <w:rsid w:val="00F16D4B"/>
    <w:rsid w:val="00F6318C"/>
    <w:rsid w:val="00F83A5B"/>
    <w:rsid w:val="00FA7CE3"/>
    <w:rsid w:val="01CD4640"/>
    <w:rsid w:val="038A5756"/>
    <w:rsid w:val="04AC138C"/>
    <w:rsid w:val="062449E7"/>
    <w:rsid w:val="076BAE98"/>
    <w:rsid w:val="07D304EC"/>
    <w:rsid w:val="087733FB"/>
    <w:rsid w:val="09F6971D"/>
    <w:rsid w:val="0A9CC4F0"/>
    <w:rsid w:val="0AC8D19C"/>
    <w:rsid w:val="0D70CE1F"/>
    <w:rsid w:val="0DDAD5CD"/>
    <w:rsid w:val="0E4DAC72"/>
    <w:rsid w:val="1047CFB0"/>
    <w:rsid w:val="10DCE5CE"/>
    <w:rsid w:val="1306C48F"/>
    <w:rsid w:val="150F4F76"/>
    <w:rsid w:val="1A22A49A"/>
    <w:rsid w:val="1C9B380A"/>
    <w:rsid w:val="1CE21CF5"/>
    <w:rsid w:val="1F3F1E93"/>
    <w:rsid w:val="1FAF6CA8"/>
    <w:rsid w:val="21FFE061"/>
    <w:rsid w:val="25E3DF91"/>
    <w:rsid w:val="285AAAE6"/>
    <w:rsid w:val="287EA881"/>
    <w:rsid w:val="29F1A629"/>
    <w:rsid w:val="2B8E8CBB"/>
    <w:rsid w:val="2BF28271"/>
    <w:rsid w:val="2BFD7599"/>
    <w:rsid w:val="2C3BC7EF"/>
    <w:rsid w:val="2C8296C5"/>
    <w:rsid w:val="2E3F1767"/>
    <w:rsid w:val="3146AFB6"/>
    <w:rsid w:val="31CC0498"/>
    <w:rsid w:val="322D8A0D"/>
    <w:rsid w:val="32B7866B"/>
    <w:rsid w:val="33CD9B18"/>
    <w:rsid w:val="34248743"/>
    <w:rsid w:val="342881A8"/>
    <w:rsid w:val="35C2DFBD"/>
    <w:rsid w:val="36B10909"/>
    <w:rsid w:val="3B033717"/>
    <w:rsid w:val="3B079743"/>
    <w:rsid w:val="3B5A50F8"/>
    <w:rsid w:val="3C042202"/>
    <w:rsid w:val="3C27202D"/>
    <w:rsid w:val="3D471659"/>
    <w:rsid w:val="3EBFEB49"/>
    <w:rsid w:val="4029CD5E"/>
    <w:rsid w:val="414D8FE5"/>
    <w:rsid w:val="420299F3"/>
    <w:rsid w:val="43E28C11"/>
    <w:rsid w:val="457E5C72"/>
    <w:rsid w:val="45DB5766"/>
    <w:rsid w:val="46F02F41"/>
    <w:rsid w:val="49554D05"/>
    <w:rsid w:val="49C29A4B"/>
    <w:rsid w:val="4BF7DFBE"/>
    <w:rsid w:val="4C2D0FD7"/>
    <w:rsid w:val="4D3106EA"/>
    <w:rsid w:val="503E07F1"/>
    <w:rsid w:val="51B49338"/>
    <w:rsid w:val="51FD832B"/>
    <w:rsid w:val="5390BF45"/>
    <w:rsid w:val="55134932"/>
    <w:rsid w:val="55818D06"/>
    <w:rsid w:val="55ACFE7E"/>
    <w:rsid w:val="5C84E023"/>
    <w:rsid w:val="5D4E4DF1"/>
    <w:rsid w:val="5EC3A832"/>
    <w:rsid w:val="5F3C9C0A"/>
    <w:rsid w:val="5F6A266C"/>
    <w:rsid w:val="6015FD18"/>
    <w:rsid w:val="604E034B"/>
    <w:rsid w:val="6187CFE7"/>
    <w:rsid w:val="625FB04A"/>
    <w:rsid w:val="65078BFE"/>
    <w:rsid w:val="6637B370"/>
    <w:rsid w:val="66BE2130"/>
    <w:rsid w:val="69CC72ED"/>
    <w:rsid w:val="69DDFFD9"/>
    <w:rsid w:val="6A13A89C"/>
    <w:rsid w:val="6BAF78FD"/>
    <w:rsid w:val="6C1EAAC5"/>
    <w:rsid w:val="6C4CA713"/>
    <w:rsid w:val="6CA56D25"/>
    <w:rsid w:val="6DE31050"/>
    <w:rsid w:val="6E37E7B8"/>
    <w:rsid w:val="6E8FEF20"/>
    <w:rsid w:val="6F2F1B10"/>
    <w:rsid w:val="6F48BC6B"/>
    <w:rsid w:val="71298AC5"/>
    <w:rsid w:val="722CD9BD"/>
    <w:rsid w:val="72E28A9A"/>
    <w:rsid w:val="73D81E8D"/>
    <w:rsid w:val="743AF8E3"/>
    <w:rsid w:val="74515903"/>
    <w:rsid w:val="76CF2D0F"/>
    <w:rsid w:val="76E717EB"/>
    <w:rsid w:val="77E22341"/>
    <w:rsid w:val="77F36AC8"/>
    <w:rsid w:val="783A1E4D"/>
    <w:rsid w:val="792C6EC5"/>
    <w:rsid w:val="797299ED"/>
    <w:rsid w:val="797DF3A2"/>
    <w:rsid w:val="7AFC99CA"/>
    <w:rsid w:val="7B6B988F"/>
    <w:rsid w:val="7C00EB5B"/>
    <w:rsid w:val="7CB59464"/>
    <w:rsid w:val="7EFC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7CEC9"/>
  <w15:chartTrackingRefBased/>
  <w15:docId w15:val="{F2EC50E9-EC3E-40D0-80D2-859DB7B1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7F2E"/>
    <w:rPr>
      <w:sz w:val="16"/>
      <w:szCs w:val="16"/>
    </w:rPr>
  </w:style>
  <w:style w:type="paragraph" w:styleId="CommentText">
    <w:name w:val="annotation text"/>
    <w:basedOn w:val="Normal"/>
    <w:link w:val="CommentTextChar"/>
    <w:uiPriority w:val="99"/>
    <w:semiHidden/>
    <w:unhideWhenUsed/>
    <w:rsid w:val="000C7F2E"/>
    <w:pPr>
      <w:spacing w:line="240" w:lineRule="auto"/>
    </w:pPr>
    <w:rPr>
      <w:sz w:val="20"/>
      <w:szCs w:val="20"/>
    </w:rPr>
  </w:style>
  <w:style w:type="character" w:customStyle="1" w:styleId="CommentTextChar">
    <w:name w:val="Comment Text Char"/>
    <w:basedOn w:val="DefaultParagraphFont"/>
    <w:link w:val="CommentText"/>
    <w:uiPriority w:val="99"/>
    <w:semiHidden/>
    <w:rsid w:val="000C7F2E"/>
    <w:rPr>
      <w:sz w:val="20"/>
      <w:szCs w:val="20"/>
    </w:rPr>
  </w:style>
  <w:style w:type="paragraph" w:styleId="BalloonText">
    <w:name w:val="Balloon Text"/>
    <w:basedOn w:val="Normal"/>
    <w:link w:val="BalloonTextChar"/>
    <w:uiPriority w:val="99"/>
    <w:semiHidden/>
    <w:unhideWhenUsed/>
    <w:rsid w:val="000C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2E"/>
    <w:rPr>
      <w:rFonts w:ascii="Segoe UI" w:hAnsi="Segoe UI" w:cs="Segoe UI"/>
      <w:sz w:val="18"/>
      <w:szCs w:val="18"/>
    </w:rPr>
  </w:style>
  <w:style w:type="paragraph" w:customStyle="1" w:styleId="Default">
    <w:name w:val="Default"/>
    <w:rsid w:val="009F0CA8"/>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D17813"/>
    <w:rPr>
      <w:b/>
      <w:bCs/>
    </w:rPr>
  </w:style>
  <w:style w:type="character" w:customStyle="1" w:styleId="CommentSubjectChar">
    <w:name w:val="Comment Subject Char"/>
    <w:basedOn w:val="CommentTextChar"/>
    <w:link w:val="CommentSubject"/>
    <w:uiPriority w:val="99"/>
    <w:semiHidden/>
    <w:rsid w:val="00D17813"/>
    <w:rPr>
      <w:b/>
      <w:bCs/>
      <w:sz w:val="20"/>
      <w:szCs w:val="20"/>
    </w:rPr>
  </w:style>
  <w:style w:type="paragraph" w:styleId="Revision">
    <w:name w:val="Revision"/>
    <w:hidden/>
    <w:uiPriority w:val="99"/>
    <w:semiHidden/>
    <w:rsid w:val="00D17813"/>
    <w:pPr>
      <w:spacing w:after="0" w:line="240" w:lineRule="auto"/>
    </w:pPr>
  </w:style>
  <w:style w:type="paragraph" w:styleId="ListParagraph">
    <w:name w:val="List Paragraph"/>
    <w:basedOn w:val="Normal"/>
    <w:uiPriority w:val="34"/>
    <w:qFormat/>
    <w:rsid w:val="00050903"/>
    <w:pPr>
      <w:ind w:left="720"/>
      <w:contextualSpacing/>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73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E71"/>
  </w:style>
  <w:style w:type="paragraph" w:styleId="Footer">
    <w:name w:val="footer"/>
    <w:basedOn w:val="Normal"/>
    <w:link w:val="FooterChar"/>
    <w:uiPriority w:val="99"/>
    <w:unhideWhenUsed/>
    <w:rsid w:val="0073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2021-12-08T08:00:00+00:00</Effective_x0020_date>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https://www.oregon.gov/oha/HSD/OHP/CCO/SOC-PP-Evaluation-Criteria-2022.docx</Url>
      <Description>SOC P&amp;P Evaluation Criteria, 12-2021</Description>
    </URL>
    <IASubtopic xmlns="59da1016-2a1b-4f8a-9768-d7a4932f6f16" xsi:nil="true"/>
    <Category xmlns="47be7094-86b6-4c75-87da-a9bfd340ff09">Other Reports</Category>
    <RoutingRuleDescription xmlns="http://schemas.microsoft.com/sharepoint/v3" xsi:nil="true"/>
    <Contractor xmlns="47be7094-86b6-4c75-87da-a9bfd340ff09">
      <Value>CCO</Value>
    </Contractor>
    <Meta_x0020_Description xmlns="47be7094-86b6-4c75-87da-a9bfd340ff09" xsi:nil="true"/>
    <Contract_x0020_topic xmlns="47be7094-86b6-4c75-87da-a9bfd340ff09">Behavioral Health</Contract_x0020_topic>
    <Hide xmlns="47be7094-86b6-4c75-87da-a9bfd340ff09">false</Hi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AE0E6-5564-47AA-A2E8-71DD08F1B0AE}">
  <ds:schemaRefs>
    <ds:schemaRef ds:uri="http://schemas.microsoft.com/sharepoint/v3/contenttype/forms"/>
  </ds:schemaRefs>
</ds:datastoreItem>
</file>

<file path=customXml/itemProps2.xml><?xml version="1.0" encoding="utf-8"?>
<ds:datastoreItem xmlns:ds="http://schemas.openxmlformats.org/officeDocument/2006/customXml" ds:itemID="{9D006A16-6580-4D2A-BD2D-66210B987BCD}">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 ds:uri="8e731793-f234-41e0-a534-3d684ffa6e6c"/>
    <ds:schemaRef ds:uri="18c512f8-6ae3-4fa5-87de-0fde3cbac27e"/>
    <ds:schemaRef ds:uri="http://purl.org/dc/terms/"/>
  </ds:schemaRefs>
</ds:datastoreItem>
</file>

<file path=customXml/itemProps3.xml><?xml version="1.0" encoding="utf-8"?>
<ds:datastoreItem xmlns:ds="http://schemas.openxmlformats.org/officeDocument/2006/customXml" ds:itemID="{EA41AABF-3FDE-4057-A284-1976FBA27F84}"/>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P&amp;P Evaluation Criteria, 12-2021</dc:title>
  <dc:subject/>
  <dc:creator>Jacobs Nat</dc:creator>
  <cp:keywords/>
  <dc:description/>
  <cp:lastModifiedBy>Henning Cheryl  L</cp:lastModifiedBy>
  <cp:revision>3</cp:revision>
  <cp:lastPrinted>2021-12-08T23:04:00Z</cp:lastPrinted>
  <dcterms:created xsi:type="dcterms:W3CDTF">2021-12-08T23:00:00Z</dcterms:created>
  <dcterms:modified xsi:type="dcterms:W3CDTF">2021-12-08T23:04:00Z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dff07ce7-2fe0-44e5-9d33-eb01c4950507,4;dff07ce7-2fe0-44e5-9d33-eb01c4950507,6;</vt:lpwstr>
  </property>
</Properties>
</file>