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odyText"/>
        <w:spacing w:before="3"/>
        <w:rPr>
          <w:rFonts w:ascii="Times New Roman"/>
          <w:sz w:val="20"/>
        </w:rPr>
      </w:pPr>
    </w:p>
    <w:p>
      <w:pPr>
        <w:spacing w:before="106" w:line="285" w:lineRule="auto"/>
        <w:ind w:left="3816" w:right="3814"/>
        <w:jc w:val="center"/>
        <w:rPr>
          <w:b/>
          <w:sz w:val="36"/>
        </w:rPr>
      </w:pPr>
      <w:r>
        <w:rPr>
          <w:noProof/>
          <w:lang w:val="en-US"/>
        </w:rPr>
        <w:drawing>
          <wp:anchor distT="0" distB="0" distL="0" distR="0" simplePos="0" relativeHeight="251658240" behindDoc="0" locked="0" layoutInCell="1" allowOverlap="1">
            <wp:simplePos x="0" y="0"/>
            <wp:positionH relativeFrom="page">
              <wp:posOffset>6202674</wp:posOffset>
            </wp:positionH>
            <wp:positionV relativeFrom="paragraph">
              <wp:posOffset>-142644</wp:posOffset>
            </wp:positionV>
            <wp:extent cx="1112520" cy="902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tretch>
                      <a:fillRect/>
                    </a:stretch>
                  </pic:blipFill>
                  <pic:spPr>
                    <a:xfrm>
                      <a:off x="0" y="0"/>
                      <a:ext cx="1112520" cy="902915"/>
                    </a:xfrm>
                    <a:prstGeom prst="rect">
                      <a:avLst/>
                    </a:prstGeom>
                  </pic:spPr>
                </pic:pic>
              </a:graphicData>
            </a:graphic>
          </wp:anchor>
        </w:drawing>
      </w:r>
      <w:r>
        <w:rPr>
          <w:noProof/>
          <w:lang w:val="en-US"/>
        </w:rPr>
        <w:drawing>
          <wp:anchor distT="0" distB="0" distL="0" distR="0" simplePos="0" relativeHeight="251659264" behindDoc="0" locked="0" layoutInCell="1" allowOverlap="1">
            <wp:simplePos x="0" y="0"/>
            <wp:positionH relativeFrom="page">
              <wp:posOffset>457196</wp:posOffset>
            </wp:positionH>
            <wp:positionV relativeFrom="paragraph">
              <wp:posOffset>118522</wp:posOffset>
            </wp:positionV>
            <wp:extent cx="1626696" cy="60959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8" cstate="print"/>
                    <a:stretch>
                      <a:fillRect/>
                    </a:stretch>
                  </pic:blipFill>
                  <pic:spPr>
                    <a:xfrm>
                      <a:off x="0" y="0"/>
                      <a:ext cx="1626696" cy="609594"/>
                    </a:xfrm>
                    <a:prstGeom prst="rect">
                      <a:avLst/>
                    </a:prstGeom>
                  </pic:spPr>
                </pic:pic>
              </a:graphicData>
            </a:graphic>
          </wp:anchor>
        </w:drawing>
      </w:r>
      <w:bookmarkStart w:id="0" w:name="Adult-Visitor-Application-OHA8900-fillab"/>
      <w:bookmarkEnd w:id="0"/>
      <w:r>
        <w:rPr>
          <w:b/>
          <w:bCs/>
          <w:color w:val="231F20"/>
          <w:w w:val="85"/>
          <w:sz w:val="36"/>
          <w:szCs w:val="36"/>
          <w:lang w:val="es-ES_tradnl"/>
        </w:rPr>
        <w:t xml:space="preserve">Solicitud para visitantes adultos del </w:t>
      </w:r>
      <w:proofErr w:type="spellStart"/>
      <w:r>
        <w:rPr>
          <w:b/>
          <w:bCs/>
          <w:color w:val="231F20"/>
          <w:w w:val="85"/>
          <w:sz w:val="36"/>
          <w:szCs w:val="36"/>
          <w:lang w:val="es-ES_tradnl"/>
        </w:rPr>
        <w:t>Oregon</w:t>
      </w:r>
      <w:proofErr w:type="spellEnd"/>
      <w:r>
        <w:rPr>
          <w:b/>
          <w:bCs/>
          <w:color w:val="231F20"/>
          <w:w w:val="85"/>
          <w:sz w:val="36"/>
          <w:szCs w:val="36"/>
          <w:lang w:val="es-ES_tradnl"/>
        </w:rPr>
        <w:t xml:space="preserve"> </w:t>
      </w:r>
      <w:proofErr w:type="spellStart"/>
      <w:r>
        <w:rPr>
          <w:b/>
          <w:bCs/>
          <w:color w:val="231F20"/>
          <w:w w:val="85"/>
          <w:sz w:val="36"/>
          <w:szCs w:val="36"/>
          <w:lang w:val="es-ES_tradnl"/>
        </w:rPr>
        <w:t>State</w:t>
      </w:r>
      <w:proofErr w:type="spellEnd"/>
      <w:r>
        <w:rPr>
          <w:b/>
          <w:bCs/>
          <w:color w:val="231F20"/>
          <w:w w:val="85"/>
          <w:sz w:val="36"/>
          <w:szCs w:val="36"/>
          <w:lang w:val="es-ES_tradnl"/>
        </w:rPr>
        <w:t xml:space="preserve"> Hospital</w:t>
      </w:r>
    </w:p>
    <w:p>
      <w:pPr>
        <w:pStyle w:val="BodyText"/>
        <w:spacing w:before="1"/>
        <w:rPr>
          <w:b/>
          <w:sz w:val="20"/>
        </w:rPr>
      </w:pPr>
      <w:r>
        <w:pict>
          <v:shape id="docshape1" o:spid="_x0000_s1048" style="position:absolute;margin-left:36pt;margin-top:12.8pt;width:540pt;height:.1pt;z-index:-251653120;mso-wrap-distance-left:0;mso-wrap-distance-right:0;mso-position-horizontal-relative:page" coordorigin="720,256" coordsize="10800,0" path="m720,256r10800,e" filled="f" strokecolor="#231f20" strokeweight="2pt">
            <v:path arrowok="t"/>
            <w10:wrap type="topAndBottom" anchorx="page"/>
          </v:shape>
        </w:pict>
      </w:r>
    </w:p>
    <w:p>
      <w:pPr>
        <w:pStyle w:val="BodyText"/>
        <w:spacing w:before="17" w:line="249" w:lineRule="auto"/>
        <w:ind w:left="120" w:right="80"/>
      </w:pPr>
      <w:r>
        <w:rPr>
          <w:b/>
          <w:bCs/>
          <w:color w:val="231F20"/>
          <w:w w:val="85"/>
          <w:lang w:val="es-ES_tradnl"/>
        </w:rPr>
        <w:t xml:space="preserve">Instrucciones: </w:t>
      </w:r>
      <w:r>
        <w:rPr>
          <w:color w:val="231F20"/>
          <w:w w:val="85"/>
          <w:lang w:val="es-ES_tradnl"/>
        </w:rPr>
        <w:t>Complete esta solicitud con su información personal. La información faltante o ilegible puede provocar un retraso en el proceso de solicitud. Este formulario contiene su información personal.</w:t>
      </w:r>
    </w:p>
    <w:p>
      <w:pPr>
        <w:pStyle w:val="BodyText"/>
        <w:spacing w:before="2" w:line="249" w:lineRule="auto"/>
        <w:ind w:left="120" w:right="695"/>
      </w:pPr>
      <w:r>
        <w:rPr>
          <w:color w:val="231F20"/>
          <w:w w:val="85"/>
          <w:lang w:val="es-ES_tradnl"/>
        </w:rPr>
        <w:t>El envío por correo electrónico implica cierto riesgo de que pueda ser interceptado por personas no autorizadas. Si no puede enviar un correo electrónico seguro, considere utilizar el correo postal o enviarlo por fax.</w:t>
      </w:r>
    </w:p>
    <w:p>
      <w:pPr>
        <w:pStyle w:val="Heading2"/>
        <w:spacing w:before="62"/>
      </w:pPr>
      <w:r>
        <w:rPr>
          <w:color w:val="231F20"/>
          <w:w w:val="80"/>
          <w:lang w:val="es-ES_tradnl"/>
        </w:rPr>
        <w:t>Envíe la solicitud:</w:t>
      </w:r>
    </w:p>
    <w:p>
      <w:pPr>
        <w:sectPr>
          <w:type w:val="continuous"/>
          <w:pgSz w:w="12240" w:h="15840"/>
          <w:pgMar w:top="300" w:right="600" w:bottom="0" w:left="600" w:header="720" w:footer="720" w:gutter="0"/>
          <w:cols w:space="720"/>
        </w:sectPr>
      </w:pPr>
    </w:p>
    <w:p>
      <w:pPr>
        <w:pStyle w:val="ListParagraph"/>
        <w:numPr>
          <w:ilvl w:val="0"/>
          <w:numId w:val="2"/>
        </w:numPr>
        <w:tabs>
          <w:tab w:val="left" w:pos="479"/>
          <w:tab w:val="left" w:pos="480"/>
        </w:tabs>
        <w:spacing w:before="15" w:line="249" w:lineRule="auto"/>
        <w:ind w:right="488"/>
        <w:rPr>
          <w:sz w:val="28"/>
        </w:rPr>
      </w:pPr>
      <w:r>
        <w:rPr>
          <w:color w:val="231F20"/>
          <w:w w:val="85"/>
          <w:sz w:val="28"/>
          <w:szCs w:val="28"/>
          <w:lang w:val="es-ES_tradnl"/>
        </w:rPr>
        <w:t>Entréguela en mano al personal de recepción en cualquiera de los campus.</w:t>
      </w:r>
    </w:p>
    <w:p>
      <w:pPr>
        <w:pStyle w:val="ListParagraph"/>
        <w:numPr>
          <w:ilvl w:val="0"/>
          <w:numId w:val="2"/>
        </w:numPr>
        <w:tabs>
          <w:tab w:val="left" w:pos="479"/>
          <w:tab w:val="left" w:pos="480"/>
        </w:tabs>
        <w:spacing w:before="62" w:line="249" w:lineRule="auto"/>
        <w:ind w:right="38"/>
        <w:rPr>
          <w:sz w:val="28"/>
        </w:rPr>
      </w:pPr>
      <w:r>
        <w:rPr>
          <w:color w:val="231F20"/>
          <w:w w:val="90"/>
          <w:sz w:val="28"/>
          <w:szCs w:val="28"/>
          <w:lang w:val="es-ES_tradnl"/>
        </w:rPr>
        <w:t>Envíela por fax a Salem: 503-945-2807, Junction City: 541-465-3007.</w:t>
      </w:r>
    </w:p>
    <w:p>
      <w:pPr>
        <w:pStyle w:val="ListParagraph"/>
        <w:numPr>
          <w:ilvl w:val="0"/>
          <w:numId w:val="2"/>
        </w:numPr>
        <w:tabs>
          <w:tab w:val="left" w:pos="479"/>
          <w:tab w:val="left" w:pos="480"/>
        </w:tabs>
        <w:spacing w:before="62"/>
        <w:rPr>
          <w:sz w:val="28"/>
        </w:rPr>
      </w:pPr>
      <w:r>
        <w:rPr>
          <w:color w:val="231F20"/>
          <w:w w:val="80"/>
          <w:sz w:val="28"/>
          <w:szCs w:val="28"/>
          <w:lang w:val="es-ES_tradnl"/>
        </w:rPr>
        <w:t>Envíe este formulario completo por correo electrónico.</w:t>
      </w:r>
    </w:p>
    <w:p>
      <w:pPr>
        <w:pStyle w:val="ListParagraph"/>
        <w:numPr>
          <w:ilvl w:val="0"/>
          <w:numId w:val="2"/>
        </w:numPr>
        <w:tabs>
          <w:tab w:val="left" w:pos="479"/>
          <w:tab w:val="left" w:pos="480"/>
        </w:tabs>
        <w:spacing w:before="15"/>
        <w:rPr>
          <w:sz w:val="28"/>
        </w:rPr>
      </w:pPr>
      <w:r>
        <w:rPr>
          <w:color w:val="231F20"/>
          <w:sz w:val="28"/>
          <w:szCs w:val="28"/>
          <w:lang w:val="es-ES_tradnl"/>
        </w:rPr>
        <w:br w:type="column"/>
      </w:r>
      <w:r>
        <w:rPr>
          <w:color w:val="231F20"/>
          <w:sz w:val="28"/>
          <w:szCs w:val="28"/>
          <w:lang w:val="es-ES_tradnl"/>
        </w:rPr>
        <w:t>Envíe por correo postal a la siguiente dirección:</w:t>
      </w:r>
    </w:p>
    <w:p>
      <w:pPr>
        <w:pStyle w:val="Heading2"/>
        <w:spacing w:before="14"/>
        <w:ind w:left="480"/>
      </w:pPr>
      <w:r>
        <w:rPr>
          <w:color w:val="231F20"/>
          <w:w w:val="80"/>
          <w:u w:val="single" w:color="231F20"/>
          <w:lang w:val="es-ES_tradnl"/>
        </w:rPr>
        <w:t>Pacientes de Salem:</w:t>
      </w:r>
    </w:p>
    <w:p>
      <w:pPr>
        <w:pStyle w:val="BodyText"/>
        <w:spacing w:before="14"/>
        <w:ind w:left="480"/>
      </w:pPr>
      <w:proofErr w:type="spellStart"/>
      <w:r>
        <w:rPr>
          <w:color w:val="005594"/>
          <w:w w:val="75"/>
          <w:lang w:val="es-ES_tradnl"/>
        </w:rPr>
        <w:t>OSH</w:t>
      </w:r>
      <w:proofErr w:type="spellEnd"/>
      <w:r>
        <w:rPr>
          <w:color w:val="005594"/>
          <w:w w:val="75"/>
          <w:lang w:val="es-ES_tradnl"/>
        </w:rPr>
        <w:t xml:space="preserve"> </w:t>
      </w:r>
      <w:proofErr w:type="spellStart"/>
      <w:r>
        <w:rPr>
          <w:color w:val="005594"/>
          <w:w w:val="75"/>
          <w:lang w:val="es-ES_tradnl"/>
        </w:rPr>
        <w:t>RECEPTION</w:t>
      </w:r>
      <w:proofErr w:type="spellEnd"/>
    </w:p>
    <w:p>
      <w:pPr>
        <w:pStyle w:val="BodyText"/>
        <w:spacing w:before="14" w:line="249" w:lineRule="auto"/>
        <w:ind w:left="480"/>
      </w:pPr>
      <w:r>
        <w:rPr>
          <w:color w:val="005594"/>
          <w:w w:val="80"/>
          <w:lang w:val="es-ES_tradnl"/>
        </w:rPr>
        <w:t xml:space="preserve">2600 Center Street NE Salem, </w:t>
      </w:r>
      <w:proofErr w:type="spellStart"/>
      <w:r>
        <w:rPr>
          <w:color w:val="005594"/>
          <w:w w:val="80"/>
          <w:lang w:val="es-ES_tradnl"/>
        </w:rPr>
        <w:t>Oregon</w:t>
      </w:r>
      <w:proofErr w:type="spellEnd"/>
      <w:r>
        <w:rPr>
          <w:color w:val="005594"/>
          <w:w w:val="80"/>
          <w:lang w:val="es-ES_tradnl"/>
        </w:rPr>
        <w:t xml:space="preserve"> 97301</w:t>
      </w:r>
    </w:p>
    <w:p>
      <w:pPr>
        <w:spacing w:before="5"/>
        <w:rPr>
          <w:sz w:val="30"/>
        </w:rPr>
      </w:pPr>
      <w:r>
        <w:br w:type="column"/>
      </w:r>
    </w:p>
    <w:p>
      <w:pPr>
        <w:pStyle w:val="Heading2"/>
      </w:pPr>
      <w:r>
        <w:rPr>
          <w:color w:val="231F20"/>
          <w:w w:val="80"/>
          <w:u w:val="single" w:color="231F20"/>
          <w:lang w:val="es-ES_tradnl"/>
        </w:rPr>
        <w:t>Pacientes de Junction City:</w:t>
      </w:r>
    </w:p>
    <w:p>
      <w:pPr>
        <w:pStyle w:val="BodyText"/>
        <w:spacing w:before="14"/>
        <w:ind w:left="120"/>
      </w:pPr>
      <w:proofErr w:type="spellStart"/>
      <w:r>
        <w:rPr>
          <w:color w:val="005594"/>
          <w:w w:val="75"/>
          <w:lang w:val="es-ES_tradnl"/>
        </w:rPr>
        <w:t>OSH</w:t>
      </w:r>
      <w:proofErr w:type="spellEnd"/>
      <w:r>
        <w:rPr>
          <w:color w:val="005594"/>
          <w:w w:val="75"/>
          <w:lang w:val="es-ES_tradnl"/>
        </w:rPr>
        <w:t xml:space="preserve"> </w:t>
      </w:r>
      <w:proofErr w:type="spellStart"/>
      <w:r>
        <w:rPr>
          <w:color w:val="005594"/>
          <w:w w:val="75"/>
          <w:lang w:val="es-ES_tradnl"/>
        </w:rPr>
        <w:t>RECEPTION</w:t>
      </w:r>
      <w:proofErr w:type="spellEnd"/>
    </w:p>
    <w:p>
      <w:pPr>
        <w:pStyle w:val="BodyText"/>
        <w:spacing w:before="14" w:line="249" w:lineRule="auto"/>
        <w:ind w:left="120" w:right="360"/>
      </w:pPr>
      <w:r>
        <w:rPr>
          <w:color w:val="005594"/>
          <w:w w:val="90"/>
          <w:lang w:val="es-ES_tradnl"/>
        </w:rPr>
        <w:t xml:space="preserve">29398 </w:t>
      </w:r>
      <w:proofErr w:type="spellStart"/>
      <w:r>
        <w:rPr>
          <w:color w:val="005594"/>
          <w:w w:val="90"/>
          <w:lang w:val="es-ES_tradnl"/>
        </w:rPr>
        <w:t>Recovery</w:t>
      </w:r>
      <w:proofErr w:type="spellEnd"/>
      <w:r>
        <w:rPr>
          <w:color w:val="005594"/>
          <w:w w:val="90"/>
          <w:lang w:val="es-ES_tradnl"/>
        </w:rPr>
        <w:t xml:space="preserve"> </w:t>
      </w:r>
      <w:proofErr w:type="spellStart"/>
      <w:r>
        <w:rPr>
          <w:color w:val="005594"/>
          <w:w w:val="90"/>
          <w:lang w:val="es-ES_tradnl"/>
        </w:rPr>
        <w:t>Way</w:t>
      </w:r>
      <w:proofErr w:type="spellEnd"/>
      <w:r>
        <w:rPr>
          <w:color w:val="005594"/>
          <w:w w:val="90"/>
          <w:lang w:val="es-ES_tradnl"/>
        </w:rPr>
        <w:t xml:space="preserve"> Junction City, </w:t>
      </w:r>
      <w:proofErr w:type="spellStart"/>
      <w:r>
        <w:rPr>
          <w:color w:val="005594"/>
          <w:w w:val="90"/>
          <w:lang w:val="es-ES_tradnl"/>
        </w:rPr>
        <w:t>Oregon</w:t>
      </w:r>
      <w:proofErr w:type="spellEnd"/>
      <w:r>
        <w:rPr>
          <w:color w:val="005594"/>
          <w:w w:val="90"/>
          <w:lang w:val="es-ES_tradnl"/>
        </w:rPr>
        <w:t xml:space="preserve"> 97448</w:t>
      </w:r>
    </w:p>
    <w:p>
      <w:pPr>
        <w:spacing w:line="249" w:lineRule="auto"/>
        <w:sectPr>
          <w:type w:val="continuous"/>
          <w:pgSz w:w="12240" w:h="15840"/>
          <w:pgMar w:top="300" w:right="600" w:bottom="0" w:left="600" w:header="720" w:footer="720" w:gutter="0"/>
          <w:cols w:num="3" w:space="720" w:equalWidth="0">
            <w:col w:w="3583" w:space="97"/>
            <w:col w:w="2898" w:space="782"/>
            <w:col w:w="3680" w:space="0"/>
          </w:cols>
        </w:sectPr>
      </w:pPr>
    </w:p>
    <w:p>
      <w:pPr>
        <w:pStyle w:val="BodyText"/>
        <w:spacing w:before="5"/>
        <w:rPr>
          <w:sz w:val="8"/>
        </w:rPr>
      </w:pPr>
    </w:p>
    <w:p>
      <w:pPr>
        <w:pStyle w:val="BodyText"/>
        <w:spacing w:line="20" w:lineRule="exact"/>
        <w:ind w:left="120"/>
        <w:rPr>
          <w:sz w:val="2"/>
        </w:rPr>
      </w:pPr>
      <w:r>
        <w:rPr>
          <w:sz w:val="2"/>
        </w:rPr>
      </w:r>
      <w:r>
        <w:rPr>
          <w:sz w:val="2"/>
        </w:rPr>
        <w:pict>
          <v:group id="docshapegroup2" o:spid="_x0000_s1026" style="width:540pt;height:2pt;mso-position-horizontal-relative:char;mso-position-vertical-relative:line" coordsize="10800,40">
            <v:line id="_x0000_s1027" style="position:absolute" from="0,20" to="10800,20" strokecolor="#231f20" strokeweight="2pt"/>
            <w10:anchorlock/>
          </v:group>
        </w:pict>
      </w:r>
    </w:p>
    <w:p>
      <w:pPr>
        <w:pStyle w:val="BodyText"/>
        <w:tabs>
          <w:tab w:val="left" w:pos="5159"/>
          <w:tab w:val="left" w:pos="5879"/>
          <w:tab w:val="left" w:pos="10199"/>
        </w:tabs>
        <w:spacing w:before="159"/>
        <w:ind w:left="120"/>
      </w:pPr>
      <w:r>
        <w:rPr>
          <w:color w:val="231F20"/>
          <w:w w:val="80"/>
          <w:lang w:val="es-ES_tradnl"/>
        </w:rPr>
        <w:t xml:space="preserve">Nombre del paciente: </w:t>
      </w:r>
      <w:r>
        <w:rPr>
          <w:color w:val="231F20"/>
          <w:w w:val="80"/>
          <w:u w:val="single"/>
          <w:lang w:val="es-ES_tradnl"/>
        </w:rPr>
        <w:tab/>
      </w:r>
      <w:r>
        <w:rPr>
          <w:color w:val="231F20"/>
          <w:w w:val="80"/>
          <w:lang w:val="es-ES_tradnl"/>
        </w:rPr>
        <w:tab/>
        <w:t xml:space="preserve">Unidad del paciente: </w:t>
      </w:r>
      <w:r>
        <w:rPr>
          <w:color w:val="231F20"/>
          <w:w w:val="80"/>
          <w:u w:val="single"/>
          <w:lang w:val="es-ES_tradnl"/>
        </w:rPr>
        <w:tab/>
      </w:r>
    </w:p>
    <w:p>
      <w:pPr>
        <w:pStyle w:val="BodyText"/>
        <w:rPr>
          <w:sz w:val="10"/>
        </w:rPr>
      </w:pPr>
      <w:r>
        <w:pict>
          <v:shapetype id="_x0000_t202" coordsize="21600,21600" o:spt="202" path="m,l,21600r21600,l21600,xe">
            <v:stroke joinstyle="miter"/>
            <v:path gradientshapeok="t" o:connecttype="rect"/>
          </v:shapetype>
          <v:shape id="docshape3" o:spid="_x0000_s1028" type="#_x0000_t202" style="position:absolute;margin-left:36.5pt;margin-top:7.45pt;width:540pt;height:23.7pt;z-index:-251652096;mso-wrap-distance-left:0;mso-wrap-distance-right:0;mso-position-horizontal-relative:page" fillcolor="#f9fbfa" strokecolor="#231f20" strokeweight="1pt">
            <v:textbox inset="0,0,0,0">
              <w:txbxContent>
                <w:p>
                  <w:pPr>
                    <w:spacing w:before="67"/>
                    <w:ind w:right="-11"/>
                    <w:jc w:val="center"/>
                    <w:rPr>
                      <w:b/>
                      <w:color w:val="000000"/>
                      <w:sz w:val="28"/>
                    </w:rPr>
                  </w:pPr>
                  <w:r>
                    <w:rPr>
                      <w:b/>
                      <w:bCs/>
                      <w:color w:val="231F20"/>
                      <w:w w:val="80"/>
                      <w:sz w:val="28"/>
                      <w:szCs w:val="28"/>
                      <w:lang w:val="es-ES_tradnl"/>
                    </w:rPr>
                    <w:t>Información sobre el visitante adulto</w:t>
                  </w:r>
                </w:p>
              </w:txbxContent>
            </v:textbox>
            <w10:wrap type="topAndBottom" anchorx="page"/>
          </v:shape>
        </w:pict>
      </w:r>
    </w:p>
    <w:p>
      <w:pPr>
        <w:pStyle w:val="BodyText"/>
        <w:spacing w:before="6"/>
        <w:rPr>
          <w:sz w:val="10"/>
        </w:rPr>
      </w:pPr>
    </w:p>
    <w:p>
      <w:pPr>
        <w:pStyle w:val="BodyText"/>
        <w:tabs>
          <w:tab w:val="left" w:pos="3719"/>
          <w:tab w:val="left" w:pos="4050"/>
          <w:tab w:val="left" w:pos="4641"/>
          <w:tab w:val="left" w:pos="4977"/>
          <w:tab w:val="left" w:pos="5044"/>
          <w:tab w:val="left" w:pos="5159"/>
          <w:tab w:val="left" w:pos="6216"/>
          <w:tab w:val="left" w:pos="6599"/>
          <w:tab w:val="left" w:pos="7319"/>
          <w:tab w:val="left" w:pos="8039"/>
          <w:tab w:val="left" w:pos="8759"/>
          <w:tab w:val="left" w:pos="10199"/>
          <w:tab w:val="left" w:pos="10919"/>
        </w:tabs>
        <w:spacing w:before="102" w:line="295" w:lineRule="auto"/>
        <w:ind w:left="119" w:right="119"/>
        <w:rPr>
          <w:color w:val="231F20"/>
          <w:w w:val="95"/>
          <w:u w:val="single"/>
          <w:lang w:val="es-ES_tradnl"/>
        </w:rPr>
      </w:pPr>
      <w:r>
        <w:rPr>
          <w:color w:val="231F20"/>
          <w:w w:val="95"/>
          <w:lang w:val="es-ES_tradnl"/>
        </w:rPr>
        <w:t xml:space="preserve">Nombre del visitante: </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lang w:val="es-ES_tradnl"/>
        </w:rPr>
        <w:tab/>
      </w:r>
      <w:r>
        <w:rPr>
          <w:color w:val="231F20"/>
          <w:w w:val="95"/>
          <w:lang w:val="es-ES_tradnl"/>
        </w:rPr>
        <w:tab/>
      </w:r>
      <w:r>
        <w:rPr>
          <w:color w:val="231F20"/>
          <w:w w:val="95"/>
          <w:lang w:val="es-ES_tradnl"/>
        </w:rPr>
        <w:tab/>
      </w:r>
      <w:r>
        <w:rPr>
          <w:color w:val="231F20"/>
          <w:w w:val="95"/>
          <w:lang w:val="es-ES_tradnl"/>
        </w:rPr>
        <w:tab/>
      </w:r>
      <w:r>
        <w:rPr>
          <w:rFonts w:ascii="Wingdings 2" w:eastAsia="Wingdings 2" w:hAnsi="Wingdings 2" w:cs="Wingdings 2"/>
          <w:color w:val="231F20"/>
          <w:w w:val="95"/>
          <w:lang w:val="es-ES_tradnl"/>
        </w:rPr>
        <w:sym w:font="Wingdings 2" w:char="F0A3"/>
      </w:r>
      <w:r>
        <w:rPr>
          <w:rFonts w:ascii="Times New Roman" w:eastAsia="Times New Roman" w:hAnsi="Times New Roman"/>
          <w:color w:val="231F20"/>
          <w:w w:val="95"/>
          <w:lang w:val="es-ES_tradnl"/>
        </w:rPr>
        <w:t xml:space="preserve"> </w:t>
      </w:r>
      <w:r>
        <w:rPr>
          <w:color w:val="231F20"/>
          <w:w w:val="95"/>
          <w:lang w:val="es-ES_tradnl"/>
        </w:rPr>
        <w:t xml:space="preserve">Espiritual/pastoral Dirección postal: </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lang w:val="es-ES_tradnl"/>
        </w:rPr>
        <w:tab/>
        <w:t xml:space="preserve">Número de teléfono: </w:t>
      </w:r>
      <w:r>
        <w:rPr>
          <w:color w:val="231F20"/>
          <w:w w:val="95"/>
          <w:u w:val="single"/>
          <w:lang w:val="es-ES_tradnl"/>
        </w:rPr>
        <w:tab/>
      </w:r>
      <w:r>
        <w:rPr>
          <w:color w:val="231F20"/>
          <w:w w:val="95"/>
          <w:u w:val="single"/>
          <w:lang w:val="es-ES_tradnl"/>
        </w:rPr>
        <w:tab/>
      </w:r>
      <w:r>
        <w:rPr>
          <w:color w:val="231F20"/>
          <w:w w:val="95"/>
          <w:lang w:val="es-ES_tradnl"/>
        </w:rPr>
        <w:t xml:space="preserve"> Ciudad: </w:t>
      </w:r>
      <w:r>
        <w:rPr>
          <w:color w:val="231F20"/>
          <w:w w:val="95"/>
          <w:u w:val="single"/>
          <w:lang w:val="es-ES_tradnl"/>
        </w:rPr>
        <w:tab/>
      </w:r>
      <w:r>
        <w:rPr>
          <w:color w:val="231F20"/>
          <w:w w:val="95"/>
          <w:lang w:val="es-ES_tradnl"/>
        </w:rPr>
        <w:tab/>
        <w:t xml:space="preserve">Estado: </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lang w:val="es-ES_tradnl"/>
        </w:rPr>
        <w:tab/>
        <w:t xml:space="preserve">Código postal: </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lang w:val="es-ES_tradnl"/>
        </w:rPr>
        <w:t xml:space="preserve"> N.º de licencia de conducir/identificación estatal: </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lang w:val="es-ES_tradnl"/>
        </w:rPr>
        <w:br/>
        <w:t xml:space="preserve">Estado emisor: </w:t>
      </w:r>
      <w:r>
        <w:rPr>
          <w:color w:val="231F20"/>
          <w:w w:val="95"/>
          <w:u w:val="single"/>
          <w:lang w:val="es-ES_tradnl"/>
        </w:rPr>
        <w:tab/>
      </w:r>
      <w:r>
        <w:rPr>
          <w:color w:val="231F20"/>
          <w:w w:val="95"/>
          <w:u w:val="single"/>
          <w:lang w:val="es-ES_tradnl"/>
        </w:rPr>
        <w:tab/>
      </w:r>
      <w:r>
        <w:rPr>
          <w:color w:val="231F20"/>
          <w:w w:val="95"/>
          <w:lang w:val="es-ES_tradnl"/>
        </w:rPr>
        <w:t xml:space="preserve"> Últimos cuatro dígitos del n.º de Seguro Social*: </w:t>
      </w:r>
      <w:r>
        <w:rPr>
          <w:color w:val="231F20"/>
          <w:w w:val="95"/>
          <w:u w:val="single"/>
          <w:lang w:val="es-ES_tradnl"/>
        </w:rPr>
        <w:tab/>
      </w:r>
      <w:r>
        <w:rPr>
          <w:color w:val="231F20"/>
          <w:w w:val="95"/>
          <w:u w:val="single"/>
          <w:lang w:val="es-ES_tradnl"/>
        </w:rPr>
        <w:tab/>
      </w:r>
      <w:r>
        <w:rPr>
          <w:color w:val="231F20"/>
          <w:w w:val="95"/>
          <w:lang w:val="es-ES_tradnl"/>
        </w:rPr>
        <w:t xml:space="preserve"> Nombres utilizados anteriormente: </w:t>
      </w:r>
      <w:r>
        <w:rPr>
          <w:color w:val="231F20"/>
          <w:w w:val="95"/>
          <w:u w:val="single"/>
          <w:lang w:val="es-ES_tradnl"/>
        </w:rPr>
        <w:tab/>
      </w:r>
      <w:r>
        <w:rPr>
          <w:color w:val="231F20"/>
          <w:w w:val="95"/>
          <w:u w:val="single"/>
          <w:lang w:val="es-ES_tradnl"/>
        </w:rPr>
        <w:tab/>
      </w:r>
      <w:r>
        <w:rPr>
          <w:color w:val="231F20"/>
          <w:w w:val="95"/>
          <w:lang w:val="es-ES_tradnl"/>
        </w:rPr>
        <w:t xml:space="preserve"> Fecha de nacimiento:</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lang w:val="es-ES_tradnl"/>
        </w:rPr>
        <w:t xml:space="preserve"> Lugar de nacimiento: </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t xml:space="preserve"> </w:t>
      </w:r>
      <w:r>
        <w:rPr>
          <w:color w:val="231F20"/>
          <w:w w:val="95"/>
          <w:lang w:val="es-ES_tradnl"/>
        </w:rPr>
        <w:t xml:space="preserve">Género: </w:t>
      </w:r>
      <w:r>
        <w:rPr>
          <w:color w:val="231F20"/>
          <w:w w:val="95"/>
          <w:u w:val="single"/>
          <w:lang w:val="es-ES_tradnl"/>
        </w:rPr>
        <w:tab/>
      </w:r>
      <w:r>
        <w:rPr>
          <w:color w:val="231F20"/>
          <w:w w:val="95"/>
          <w:u w:val="single"/>
          <w:lang w:val="es-ES_tradnl"/>
        </w:rPr>
        <w:tab/>
      </w:r>
      <w:r>
        <w:rPr>
          <w:color w:val="231F20"/>
          <w:w w:val="95"/>
          <w:u w:val="single"/>
          <w:lang w:val="es-ES_tradnl"/>
        </w:rPr>
        <w:tab/>
      </w:r>
    </w:p>
    <w:p>
      <w:pPr>
        <w:pStyle w:val="BodyText"/>
        <w:tabs>
          <w:tab w:val="left" w:pos="3719"/>
          <w:tab w:val="left" w:pos="4050"/>
          <w:tab w:val="left" w:pos="4641"/>
          <w:tab w:val="left" w:pos="4977"/>
          <w:tab w:val="left" w:pos="5044"/>
          <w:tab w:val="left" w:pos="5159"/>
          <w:tab w:val="left" w:pos="6216"/>
          <w:tab w:val="left" w:pos="6599"/>
          <w:tab w:val="left" w:pos="7319"/>
          <w:tab w:val="left" w:pos="8039"/>
          <w:tab w:val="left" w:pos="8759"/>
          <w:tab w:val="left" w:pos="10199"/>
          <w:tab w:val="left" w:pos="10919"/>
        </w:tabs>
        <w:spacing w:before="102" w:line="295" w:lineRule="auto"/>
        <w:ind w:left="119" w:right="119"/>
        <w:rPr>
          <w:color w:val="231F20"/>
          <w:w w:val="95"/>
          <w:u w:val="single"/>
          <w:lang w:val="es-ES_tradnl"/>
        </w:rPr>
      </w:pPr>
      <w:r>
        <w:rPr>
          <w:color w:val="231F20"/>
          <w:w w:val="95"/>
          <w:lang w:val="es-ES_tradnl"/>
        </w:rPr>
        <w:t xml:space="preserve"> Correo electrónico: </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br/>
      </w:r>
      <w:r>
        <w:rPr>
          <w:color w:val="231F20"/>
          <w:w w:val="95"/>
          <w:lang w:val="es-ES_tradnl"/>
        </w:rPr>
        <w:t xml:space="preserve"> Método de contacto preferido: </w:t>
      </w:r>
      <w:r>
        <w:rPr>
          <w:rFonts w:ascii="Wingdings 2" w:eastAsia="Wingdings 2" w:hAnsi="Wingdings 2" w:cs="Wingdings 2"/>
          <w:color w:val="231F20"/>
          <w:w w:val="95"/>
          <w:lang w:val="es-ES_tradnl"/>
        </w:rPr>
        <w:sym w:font="Wingdings 2" w:char="F0A3"/>
      </w:r>
      <w:r>
        <w:rPr>
          <w:rFonts w:ascii="Times New Roman" w:eastAsia="Times New Roman" w:hAnsi="Times New Roman"/>
          <w:color w:val="231F20"/>
          <w:w w:val="95"/>
          <w:lang w:val="es-ES_tradnl"/>
        </w:rPr>
        <w:t xml:space="preserve"> </w:t>
      </w:r>
      <w:r>
        <w:rPr>
          <w:color w:val="231F20"/>
          <w:w w:val="95"/>
          <w:lang w:val="es-ES_tradnl"/>
        </w:rPr>
        <w:t xml:space="preserve">Teléfono </w:t>
      </w:r>
      <w:r>
        <w:rPr>
          <w:rFonts w:ascii="Wingdings 2" w:eastAsia="Wingdings 2" w:hAnsi="Wingdings 2" w:cs="Wingdings 2"/>
          <w:color w:val="231F20"/>
          <w:w w:val="95"/>
          <w:lang w:val="es-ES_tradnl"/>
        </w:rPr>
        <w:sym w:font="Wingdings 2" w:char="F0A3"/>
      </w:r>
      <w:r>
        <w:rPr>
          <w:rFonts w:ascii="Times New Roman" w:eastAsia="Times New Roman" w:hAnsi="Times New Roman"/>
          <w:color w:val="231F20"/>
          <w:w w:val="95"/>
          <w:lang w:val="es-ES_tradnl"/>
        </w:rPr>
        <w:t xml:space="preserve"> </w:t>
      </w:r>
      <w:r>
        <w:rPr>
          <w:color w:val="231F20"/>
          <w:w w:val="95"/>
          <w:lang w:val="es-ES_tradnl"/>
        </w:rPr>
        <w:t xml:space="preserve">Correo electrónico </w:t>
      </w:r>
      <w:r>
        <w:rPr>
          <w:rFonts w:ascii="Wingdings 2" w:eastAsia="Wingdings 2" w:hAnsi="Wingdings 2" w:cs="Wingdings 2"/>
          <w:color w:val="231F20"/>
          <w:w w:val="95"/>
          <w:lang w:val="es-ES_tradnl"/>
        </w:rPr>
        <w:sym w:font="Wingdings 2" w:char="F0A3"/>
      </w:r>
      <w:r>
        <w:rPr>
          <w:rFonts w:ascii="Times New Roman" w:eastAsia="Times New Roman" w:hAnsi="Times New Roman"/>
          <w:color w:val="231F20"/>
          <w:w w:val="95"/>
          <w:lang w:val="es-ES_tradnl"/>
        </w:rPr>
        <w:t xml:space="preserve"> </w:t>
      </w:r>
      <w:r>
        <w:rPr>
          <w:color w:val="231F20"/>
          <w:w w:val="95"/>
          <w:lang w:val="es-ES_tradnl"/>
        </w:rPr>
        <w:t xml:space="preserve">Correo postal </w:t>
      </w:r>
      <w:r>
        <w:rPr>
          <w:color w:val="231F20"/>
          <w:w w:val="95"/>
          <w:lang w:val="es-ES_tradnl"/>
        </w:rPr>
        <w:br/>
        <w:t xml:space="preserve">¿Ha sido o es actualmente empleado del </w:t>
      </w:r>
      <w:proofErr w:type="spellStart"/>
      <w:r>
        <w:rPr>
          <w:color w:val="231F20"/>
          <w:w w:val="95"/>
          <w:lang w:val="es-ES_tradnl"/>
        </w:rPr>
        <w:t>OSH</w:t>
      </w:r>
      <w:proofErr w:type="spellEnd"/>
      <w:r>
        <w:rPr>
          <w:color w:val="231F20"/>
          <w:w w:val="95"/>
          <w:lang w:val="es-ES_tradnl"/>
        </w:rPr>
        <w:t xml:space="preserve">? </w:t>
      </w:r>
      <w:r>
        <w:rPr>
          <w:rFonts w:ascii="Wingdings 2" w:eastAsia="Wingdings 2" w:hAnsi="Wingdings 2" w:cs="Wingdings 2"/>
          <w:color w:val="231F20"/>
          <w:w w:val="95"/>
          <w:lang w:val="es-ES_tradnl"/>
        </w:rPr>
        <w:sym w:font="Wingdings 2" w:char="F0A3"/>
      </w:r>
      <w:r>
        <w:rPr>
          <w:rFonts w:ascii="Times New Roman" w:eastAsia="Times New Roman" w:hAnsi="Times New Roman"/>
          <w:color w:val="231F20"/>
          <w:w w:val="95"/>
          <w:lang w:val="es-ES_tradnl"/>
        </w:rPr>
        <w:t xml:space="preserve"> </w:t>
      </w:r>
      <w:r>
        <w:rPr>
          <w:color w:val="231F20"/>
          <w:w w:val="95"/>
          <w:lang w:val="es-ES_tradnl"/>
        </w:rPr>
        <w:t xml:space="preserve">Sí </w:t>
      </w:r>
      <w:r>
        <w:rPr>
          <w:rFonts w:ascii="Wingdings 2" w:eastAsia="Wingdings 2" w:hAnsi="Wingdings 2" w:cs="Wingdings 2"/>
          <w:color w:val="231F20"/>
          <w:w w:val="95"/>
          <w:lang w:val="es-ES_tradnl"/>
        </w:rPr>
        <w:sym w:font="Wingdings 2" w:char="F0A3"/>
      </w:r>
      <w:r>
        <w:rPr>
          <w:rFonts w:ascii="Times New Roman" w:eastAsia="Times New Roman" w:hAnsi="Times New Roman"/>
          <w:color w:val="231F20"/>
          <w:w w:val="95"/>
          <w:lang w:val="es-ES_tradnl"/>
        </w:rPr>
        <w:t xml:space="preserve"> </w:t>
      </w:r>
      <w:r>
        <w:rPr>
          <w:color w:val="231F20"/>
          <w:w w:val="95"/>
          <w:lang w:val="es-ES_tradnl"/>
        </w:rPr>
        <w:t>No</w:t>
      </w:r>
      <w:r>
        <w:rPr>
          <w:color w:val="231F20"/>
          <w:w w:val="95"/>
          <w:lang w:val="es-ES_tradnl"/>
        </w:rPr>
        <w:tab/>
      </w:r>
      <w:r>
        <w:rPr>
          <w:color w:val="231F20"/>
          <w:w w:val="95"/>
          <w:lang w:val="es-ES_tradnl"/>
        </w:rPr>
        <w:br/>
        <w:t xml:space="preserve">Si la respuesta es “Sí”, ¿cuándo? </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lang w:val="es-ES_tradnl"/>
        </w:rPr>
        <w:t xml:space="preserve"> </w:t>
      </w:r>
      <w:r>
        <w:rPr>
          <w:color w:val="231F20"/>
          <w:w w:val="95"/>
          <w:lang w:val="es-ES_tradnl"/>
        </w:rPr>
        <w:br/>
        <w:t xml:space="preserve">¿Cuál es la relación con el paciente? </w:t>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r>
        <w:rPr>
          <w:color w:val="231F20"/>
          <w:w w:val="95"/>
          <w:u w:val="single"/>
          <w:lang w:val="es-ES_tradnl"/>
        </w:rPr>
        <w:tab/>
      </w:r>
    </w:p>
    <w:p>
      <w:pPr>
        <w:pStyle w:val="BodyText"/>
        <w:tabs>
          <w:tab w:val="left" w:pos="3719"/>
          <w:tab w:val="left" w:pos="4050"/>
          <w:tab w:val="left" w:pos="4641"/>
          <w:tab w:val="left" w:pos="4977"/>
          <w:tab w:val="left" w:pos="5044"/>
          <w:tab w:val="left" w:pos="5159"/>
          <w:tab w:val="left" w:pos="6216"/>
          <w:tab w:val="left" w:pos="6599"/>
          <w:tab w:val="left" w:pos="7319"/>
          <w:tab w:val="left" w:pos="8039"/>
          <w:tab w:val="left" w:pos="8759"/>
          <w:tab w:val="left" w:pos="10199"/>
          <w:tab w:val="left" w:pos="10919"/>
        </w:tabs>
        <w:spacing w:before="102" w:line="295" w:lineRule="auto"/>
        <w:ind w:left="119" w:right="119"/>
        <w:rPr>
          <w:color w:val="231F20"/>
          <w:w w:val="95"/>
          <w:u w:val="single"/>
          <w:lang w:val="es-ES_tradnl"/>
        </w:rPr>
      </w:pPr>
    </w:p>
    <w:p>
      <w:pPr>
        <w:pStyle w:val="BodyText"/>
        <w:tabs>
          <w:tab w:val="left" w:pos="3719"/>
          <w:tab w:val="left" w:pos="4050"/>
          <w:tab w:val="left" w:pos="4641"/>
          <w:tab w:val="left" w:pos="4977"/>
          <w:tab w:val="left" w:pos="5044"/>
          <w:tab w:val="left" w:pos="5159"/>
          <w:tab w:val="left" w:pos="6216"/>
          <w:tab w:val="left" w:pos="6599"/>
          <w:tab w:val="left" w:pos="7319"/>
          <w:tab w:val="left" w:pos="8039"/>
          <w:tab w:val="left" w:pos="8759"/>
          <w:tab w:val="left" w:pos="10199"/>
          <w:tab w:val="left" w:pos="10919"/>
        </w:tabs>
        <w:spacing w:before="102" w:line="295" w:lineRule="auto"/>
        <w:ind w:left="119" w:right="119"/>
        <w:rPr>
          <w:color w:val="231F20"/>
          <w:w w:val="95"/>
          <w:u w:val="single"/>
          <w:lang w:val="es-ES_tradnl"/>
        </w:rPr>
      </w:pPr>
    </w:p>
    <w:p>
      <w:pPr>
        <w:pStyle w:val="BodyText"/>
        <w:tabs>
          <w:tab w:val="left" w:pos="3719"/>
          <w:tab w:val="left" w:pos="4050"/>
          <w:tab w:val="left" w:pos="4641"/>
          <w:tab w:val="left" w:pos="4977"/>
          <w:tab w:val="left" w:pos="5044"/>
          <w:tab w:val="left" w:pos="5159"/>
          <w:tab w:val="left" w:pos="6216"/>
          <w:tab w:val="left" w:pos="6599"/>
          <w:tab w:val="left" w:pos="7319"/>
          <w:tab w:val="left" w:pos="8039"/>
          <w:tab w:val="left" w:pos="8759"/>
          <w:tab w:val="left" w:pos="10199"/>
          <w:tab w:val="left" w:pos="10919"/>
        </w:tabs>
        <w:spacing w:before="102" w:line="295" w:lineRule="auto"/>
        <w:ind w:left="119" w:right="119"/>
        <w:rPr>
          <w:color w:val="231F20"/>
          <w:w w:val="95"/>
          <w:lang w:val="es-ES_tradnl"/>
        </w:rPr>
      </w:pPr>
    </w:p>
    <w:p>
      <w:pPr>
        <w:pStyle w:val="ListParagraph"/>
        <w:numPr>
          <w:ilvl w:val="0"/>
          <w:numId w:val="2"/>
        </w:numPr>
        <w:tabs>
          <w:tab w:val="left" w:pos="479"/>
          <w:tab w:val="left" w:pos="480"/>
        </w:tabs>
        <w:spacing w:before="0" w:line="249" w:lineRule="auto"/>
        <w:ind w:right="383"/>
        <w:rPr>
          <w:sz w:val="28"/>
        </w:rPr>
      </w:pPr>
      <w:r>
        <w:rPr>
          <w:color w:val="231F20"/>
          <w:w w:val="85"/>
          <w:sz w:val="28"/>
          <w:szCs w:val="28"/>
          <w:lang w:val="es-ES_tradnl"/>
        </w:rPr>
        <w:lastRenderedPageBreak/>
        <w:t>Entiendo que al solicitar la visita, doy permiso para que se realice una verificación confidencial mediante los Sistemas de Datos del Organismo del Orden Público (</w:t>
      </w:r>
      <w:proofErr w:type="spellStart"/>
      <w:r>
        <w:rPr>
          <w:color w:val="231F20"/>
          <w:w w:val="85"/>
          <w:sz w:val="28"/>
          <w:szCs w:val="28"/>
          <w:lang w:val="es-ES_tradnl"/>
        </w:rPr>
        <w:t>Law</w:t>
      </w:r>
      <w:proofErr w:type="spellEnd"/>
      <w:r>
        <w:rPr>
          <w:color w:val="231F20"/>
          <w:w w:val="85"/>
          <w:sz w:val="28"/>
          <w:szCs w:val="28"/>
          <w:lang w:val="es-ES_tradnl"/>
        </w:rPr>
        <w:t xml:space="preserve"> </w:t>
      </w:r>
      <w:proofErr w:type="spellStart"/>
      <w:r>
        <w:rPr>
          <w:color w:val="231F20"/>
          <w:w w:val="85"/>
          <w:sz w:val="28"/>
          <w:szCs w:val="28"/>
          <w:lang w:val="es-ES_tradnl"/>
        </w:rPr>
        <w:t>Enforcement</w:t>
      </w:r>
      <w:proofErr w:type="spellEnd"/>
      <w:r>
        <w:rPr>
          <w:color w:val="231F20"/>
          <w:w w:val="85"/>
          <w:sz w:val="28"/>
          <w:szCs w:val="28"/>
          <w:lang w:val="es-ES_tradnl"/>
        </w:rPr>
        <w:t xml:space="preserve"> Data </w:t>
      </w:r>
      <w:proofErr w:type="spellStart"/>
      <w:r>
        <w:rPr>
          <w:color w:val="231F20"/>
          <w:w w:val="85"/>
          <w:sz w:val="28"/>
          <w:szCs w:val="28"/>
          <w:lang w:val="es-ES_tradnl"/>
        </w:rPr>
        <w:t>Systems</w:t>
      </w:r>
      <w:proofErr w:type="spellEnd"/>
      <w:r>
        <w:rPr>
          <w:color w:val="231F20"/>
          <w:w w:val="85"/>
          <w:sz w:val="28"/>
          <w:szCs w:val="28"/>
          <w:lang w:val="es-ES_tradnl"/>
        </w:rPr>
        <w:t>, LEDS) al momento de presentar la solicitud inicial. Además, acepto que se realice una verificación anual a través de los LEDS a partir de entonces si tengo antecedentes penales de ciertos delitos en los últimos cinco años.</w:t>
      </w:r>
    </w:p>
    <w:p>
      <w:pPr>
        <w:pStyle w:val="ListParagraph"/>
        <w:numPr>
          <w:ilvl w:val="0"/>
          <w:numId w:val="2"/>
        </w:numPr>
        <w:tabs>
          <w:tab w:val="left" w:pos="479"/>
          <w:tab w:val="left" w:pos="480"/>
        </w:tabs>
        <w:spacing w:before="63" w:line="249" w:lineRule="auto"/>
        <w:ind w:right="725"/>
        <w:rPr>
          <w:sz w:val="28"/>
        </w:rPr>
      </w:pPr>
      <w:r>
        <w:rPr>
          <w:color w:val="231F20"/>
          <w:w w:val="80"/>
          <w:sz w:val="28"/>
          <w:szCs w:val="28"/>
          <w:lang w:val="es-ES_tradnl"/>
        </w:rPr>
        <w:t xml:space="preserve">Entiendo que al solicitar la visita, acepto seguir todas las pautas de visitas del </w:t>
      </w:r>
      <w:proofErr w:type="spellStart"/>
      <w:r>
        <w:rPr>
          <w:color w:val="231F20"/>
          <w:w w:val="80"/>
          <w:sz w:val="28"/>
          <w:szCs w:val="28"/>
          <w:lang w:val="es-ES_tradnl"/>
        </w:rPr>
        <w:t>Oregon</w:t>
      </w:r>
      <w:proofErr w:type="spellEnd"/>
      <w:r>
        <w:rPr>
          <w:color w:val="231F20"/>
          <w:w w:val="80"/>
          <w:sz w:val="28"/>
          <w:szCs w:val="28"/>
          <w:lang w:val="es-ES_tradnl"/>
        </w:rPr>
        <w:t xml:space="preserve"> </w:t>
      </w:r>
      <w:proofErr w:type="spellStart"/>
      <w:r>
        <w:rPr>
          <w:color w:val="231F20"/>
          <w:w w:val="80"/>
          <w:sz w:val="28"/>
          <w:szCs w:val="28"/>
          <w:lang w:val="es-ES_tradnl"/>
        </w:rPr>
        <w:t>State</w:t>
      </w:r>
      <w:proofErr w:type="spellEnd"/>
      <w:r>
        <w:rPr>
          <w:color w:val="231F20"/>
          <w:w w:val="80"/>
          <w:sz w:val="28"/>
          <w:szCs w:val="28"/>
          <w:lang w:val="es-ES_tradnl"/>
        </w:rPr>
        <w:t xml:space="preserve"> Hospital (</w:t>
      </w:r>
      <w:proofErr w:type="spellStart"/>
      <w:r>
        <w:rPr>
          <w:color w:val="231F20"/>
          <w:w w:val="80"/>
          <w:sz w:val="28"/>
          <w:szCs w:val="28"/>
          <w:lang w:val="es-ES_tradnl"/>
        </w:rPr>
        <w:t>OSH</w:t>
      </w:r>
      <w:proofErr w:type="spellEnd"/>
      <w:r>
        <w:rPr>
          <w:color w:val="231F20"/>
          <w:w w:val="80"/>
          <w:sz w:val="28"/>
          <w:szCs w:val="28"/>
          <w:lang w:val="es-ES_tradnl"/>
        </w:rPr>
        <w:t>). El incumplimiento de estas pautas puede dar lugar a la finalización anticipada de mi visita y a restricciones para visitas futuras.</w:t>
      </w:r>
    </w:p>
    <w:p>
      <w:pPr>
        <w:pStyle w:val="BodyText"/>
        <w:spacing w:before="7"/>
      </w:pPr>
      <w:r>
        <w:pict>
          <v:shape id="docshape4" o:spid="_x0000_s1029" style="position:absolute;margin-left:36pt;margin-top:17.65pt;width:2in;height:.1pt;z-index:-251651072;mso-wrap-distance-left:0;mso-wrap-distance-right:0;mso-position-horizontal-relative:page" coordorigin="720,353" coordsize="2880,0" path="m720,353r2880,e" filled="f" strokecolor="#231f20" strokeweight=".7pt">
            <v:path arrowok="t"/>
            <w10:wrap type="topAndBottom" anchorx="page"/>
          </v:shape>
        </w:pict>
      </w:r>
      <w:r>
        <w:pict>
          <v:shape id="docshape5" o:spid="_x0000_s1030" style="position:absolute;margin-left:252pt;margin-top:17.65pt;width:2in;height:.1pt;z-index:-251650048;mso-wrap-distance-left:0;mso-wrap-distance-right:0;mso-position-horizontal-relative:page" coordorigin="5040,353" coordsize="2880,0" path="m5040,353r2880,e" filled="f" strokecolor="#231f20" strokeweight=".7pt">
            <v:path arrowok="t"/>
            <w10:wrap type="topAndBottom" anchorx="page"/>
          </v:shape>
        </w:pict>
      </w:r>
      <w:r>
        <w:pict>
          <v:shape id="docshape6" o:spid="_x0000_s1031" style="position:absolute;margin-left:468pt;margin-top:17.65pt;width:1in;height:.1pt;z-index:-251649024;mso-wrap-distance-left:0;mso-wrap-distance-right:0;mso-position-horizontal-relative:page" coordorigin="9360,353" coordsize="1440,0" path="m9360,353r1440,e" filled="f" strokecolor="#231f20" strokeweight=".7pt">
            <v:path arrowok="t"/>
            <w10:wrap type="topAndBottom" anchorx="page"/>
          </v:shape>
        </w:pict>
      </w:r>
    </w:p>
    <w:p>
      <w:pPr>
        <w:pStyle w:val="BodyText"/>
        <w:tabs>
          <w:tab w:val="left" w:pos="4440"/>
          <w:tab w:val="left" w:pos="8760"/>
        </w:tabs>
        <w:spacing w:before="22"/>
        <w:ind w:left="120"/>
      </w:pPr>
      <w:r>
        <w:rPr>
          <w:color w:val="231F20"/>
          <w:w w:val="80"/>
          <w:lang w:val="es-ES_tradnl"/>
        </w:rPr>
        <w:t>Nombre en letra de imprenta del solicitante</w:t>
      </w:r>
      <w:r>
        <w:rPr>
          <w:color w:val="231F20"/>
          <w:w w:val="80"/>
          <w:lang w:val="es-ES_tradnl"/>
        </w:rPr>
        <w:tab/>
        <w:t>Firma del solicitante</w:t>
      </w:r>
      <w:r>
        <w:rPr>
          <w:color w:val="231F20"/>
          <w:w w:val="80"/>
          <w:lang w:val="es-ES_tradnl"/>
        </w:rPr>
        <w:tab/>
        <w:t>Fecha</w:t>
      </w:r>
    </w:p>
    <w:p>
      <w:pPr>
        <w:pStyle w:val="BodyText"/>
        <w:spacing w:before="1"/>
        <w:rPr>
          <w:sz w:val="17"/>
        </w:rPr>
      </w:pPr>
      <w:r>
        <w:pict>
          <v:shape id="docshape7" o:spid="_x0000_s1032" type="#_x0000_t202" style="position:absolute;margin-left:36.5pt;margin-top:11.55pt;width:539pt;height:32.8pt;z-index:-251648000;mso-wrap-distance-left:0;mso-wrap-distance-right:0;mso-position-horizontal-relative:page" fillcolor="#f9fbfa" strokecolor="#231f20" strokeweight="1pt">
            <v:textbox inset="0,0,0,0">
              <w:txbxContent>
                <w:p>
                  <w:pPr>
                    <w:spacing w:before="90"/>
                    <w:ind w:left="70"/>
                    <w:rPr>
                      <w:color w:val="000000"/>
                      <w:sz w:val="24"/>
                    </w:rPr>
                  </w:pPr>
                  <w:r>
                    <w:rPr>
                      <w:color w:val="231F20"/>
                      <w:w w:val="75"/>
                      <w:sz w:val="24"/>
                      <w:szCs w:val="24"/>
                      <w:lang w:val="es-ES_tradnl"/>
                    </w:rPr>
                    <w:t>* No es necesario que proporcione su número de Seguro Social, pero dejar este campo en blanco puede retrasar el procesamiento de su solicitud.</w:t>
                  </w:r>
                </w:p>
              </w:txbxContent>
            </v:textbox>
            <w10:wrap type="topAndBottom" anchorx="page"/>
          </v:shape>
        </w:pict>
      </w:r>
    </w:p>
    <w:p>
      <w:pPr>
        <w:pStyle w:val="BodyText"/>
        <w:spacing w:before="4"/>
        <w:rPr>
          <w:sz w:val="24"/>
        </w:rPr>
      </w:pPr>
    </w:p>
    <w:tbl>
      <w:tblPr>
        <w:tblW w:w="0" w:type="auto"/>
        <w:tblInd w:w="140" w:type="dxa"/>
        <w:tblBorders>
          <w:top w:val="single" w:sz="8" w:space="0" w:color="005594"/>
          <w:left w:val="single" w:sz="8" w:space="0" w:color="005594"/>
          <w:bottom w:val="single" w:sz="8" w:space="0" w:color="005594"/>
          <w:right w:val="single" w:sz="8" w:space="0" w:color="005594"/>
          <w:insideH w:val="single" w:sz="8" w:space="0" w:color="005594"/>
          <w:insideV w:val="single" w:sz="8" w:space="0" w:color="005594"/>
        </w:tblBorders>
        <w:tblLayout w:type="fixed"/>
        <w:tblCellMar>
          <w:left w:w="0" w:type="dxa"/>
          <w:right w:w="0" w:type="dxa"/>
        </w:tblCellMar>
        <w:tblLook w:val="01E0" w:firstRow="1" w:lastRow="1" w:firstColumn="1" w:lastColumn="1" w:noHBand="0" w:noVBand="0"/>
      </w:tblPr>
      <w:tblGrid>
        <w:gridCol w:w="5390"/>
        <w:gridCol w:w="2542"/>
        <w:gridCol w:w="2848"/>
      </w:tblGrid>
      <w:tr>
        <w:trPr>
          <w:trHeight w:val="490"/>
        </w:trPr>
        <w:tc>
          <w:tcPr>
            <w:tcW w:w="10780" w:type="dxa"/>
            <w:gridSpan w:val="3"/>
            <w:tcBorders>
              <w:top w:val="nil"/>
              <w:left w:val="nil"/>
              <w:bottom w:val="nil"/>
              <w:right w:val="nil"/>
            </w:tcBorders>
            <w:shd w:val="clear" w:color="auto" w:fill="005594"/>
          </w:tcPr>
          <w:p>
            <w:pPr>
              <w:pStyle w:val="TableParagraph"/>
              <w:spacing w:before="27" w:line="240" w:lineRule="auto"/>
              <w:ind w:left="4064" w:right="4044"/>
              <w:jc w:val="center"/>
              <w:rPr>
                <w:b/>
                <w:sz w:val="28"/>
              </w:rPr>
            </w:pPr>
            <w:r>
              <w:rPr>
                <w:b/>
                <w:bCs/>
                <w:color w:val="FFFFFF"/>
                <w:w w:val="80"/>
                <w:sz w:val="28"/>
                <w:szCs w:val="28"/>
                <w:lang w:val="es-ES_tradnl"/>
              </w:rPr>
              <w:t>Solo para uso oficial</w:t>
            </w:r>
          </w:p>
        </w:tc>
      </w:tr>
      <w:tr>
        <w:trPr>
          <w:trHeight w:val="329"/>
        </w:trPr>
        <w:tc>
          <w:tcPr>
            <w:tcW w:w="5390" w:type="dxa"/>
          </w:tcPr>
          <w:p>
            <w:pPr>
              <w:pStyle w:val="TableParagraph"/>
              <w:spacing w:before="0" w:line="310" w:lineRule="exact"/>
              <w:rPr>
                <w:sz w:val="28"/>
              </w:rPr>
            </w:pPr>
            <w:proofErr w:type="spellStart"/>
            <w:r>
              <w:rPr>
                <w:color w:val="005594"/>
                <w:w w:val="80"/>
                <w:sz w:val="28"/>
                <w:szCs w:val="28"/>
                <w:lang w:val="es-ES_tradnl"/>
              </w:rPr>
              <w:t>Received</w:t>
            </w:r>
            <w:proofErr w:type="spellEnd"/>
            <w:r>
              <w:rPr>
                <w:color w:val="005594"/>
                <w:w w:val="80"/>
                <w:sz w:val="28"/>
                <w:szCs w:val="28"/>
                <w:lang w:val="es-ES_tradnl"/>
              </w:rPr>
              <w:t xml:space="preserve"> </w:t>
            </w:r>
            <w:proofErr w:type="spellStart"/>
            <w:r>
              <w:rPr>
                <w:color w:val="005594"/>
                <w:w w:val="80"/>
                <w:sz w:val="28"/>
                <w:szCs w:val="28"/>
                <w:lang w:val="es-ES_tradnl"/>
              </w:rPr>
              <w:t>by</w:t>
            </w:r>
            <w:proofErr w:type="spellEnd"/>
            <w:r>
              <w:rPr>
                <w:color w:val="005594"/>
                <w:w w:val="80"/>
                <w:sz w:val="28"/>
                <w:szCs w:val="28"/>
                <w:lang w:val="es-ES_tradnl"/>
              </w:rPr>
              <w:t>:</w:t>
            </w:r>
          </w:p>
        </w:tc>
        <w:tc>
          <w:tcPr>
            <w:tcW w:w="5390" w:type="dxa"/>
            <w:gridSpan w:val="2"/>
          </w:tcPr>
          <w:p>
            <w:pPr>
              <w:pStyle w:val="TableParagraph"/>
              <w:spacing w:before="0" w:line="310" w:lineRule="exact"/>
              <w:rPr>
                <w:sz w:val="28"/>
              </w:rPr>
            </w:pPr>
            <w:r>
              <w:rPr>
                <w:color w:val="005594"/>
                <w:w w:val="90"/>
                <w:sz w:val="28"/>
                <w:szCs w:val="28"/>
                <w:lang w:val="es-ES_tradnl"/>
              </w:rPr>
              <w:t>Date:</w:t>
            </w:r>
          </w:p>
        </w:tc>
      </w:tr>
      <w:tr>
        <w:trPr>
          <w:trHeight w:val="339"/>
        </w:trPr>
        <w:tc>
          <w:tcPr>
            <w:tcW w:w="5390" w:type="dxa"/>
          </w:tcPr>
          <w:p>
            <w:pPr>
              <w:pStyle w:val="TableParagraph"/>
              <w:rPr>
                <w:sz w:val="28"/>
              </w:rPr>
            </w:pPr>
            <w:r>
              <w:rPr>
                <w:color w:val="005594"/>
                <w:w w:val="75"/>
                <w:sz w:val="28"/>
                <w:szCs w:val="28"/>
                <w:lang w:val="es-ES_tradnl"/>
              </w:rPr>
              <w:t xml:space="preserve">LEDS </w:t>
            </w:r>
            <w:proofErr w:type="spellStart"/>
            <w:r>
              <w:rPr>
                <w:color w:val="005594"/>
                <w:w w:val="75"/>
                <w:sz w:val="28"/>
                <w:szCs w:val="28"/>
                <w:lang w:val="es-ES_tradnl"/>
              </w:rPr>
              <w:t>operator</w:t>
            </w:r>
            <w:proofErr w:type="spellEnd"/>
            <w:r>
              <w:rPr>
                <w:color w:val="005594"/>
                <w:w w:val="75"/>
                <w:sz w:val="28"/>
                <w:szCs w:val="28"/>
                <w:lang w:val="es-ES_tradnl"/>
              </w:rPr>
              <w:t>:</w:t>
            </w:r>
          </w:p>
        </w:tc>
        <w:tc>
          <w:tcPr>
            <w:tcW w:w="2542" w:type="dxa"/>
          </w:tcPr>
          <w:p>
            <w:pPr>
              <w:pStyle w:val="TableParagraph"/>
              <w:rPr>
                <w:sz w:val="28"/>
              </w:rPr>
            </w:pPr>
            <w:r>
              <w:rPr>
                <w:color w:val="005594"/>
                <w:w w:val="90"/>
                <w:sz w:val="28"/>
                <w:szCs w:val="28"/>
                <w:lang w:val="es-ES_tradnl"/>
              </w:rPr>
              <w:t>Date:</w:t>
            </w:r>
          </w:p>
        </w:tc>
        <w:tc>
          <w:tcPr>
            <w:tcW w:w="2848" w:type="dxa"/>
          </w:tcPr>
          <w:p>
            <w:pPr>
              <w:pStyle w:val="TableParagraph"/>
              <w:rPr>
                <w:sz w:val="28"/>
              </w:rPr>
            </w:pPr>
            <w:proofErr w:type="spellStart"/>
            <w:r>
              <w:rPr>
                <w:color w:val="005594"/>
                <w:w w:val="90"/>
                <w:sz w:val="28"/>
                <w:szCs w:val="28"/>
                <w:lang w:val="es-ES_tradnl"/>
              </w:rPr>
              <w:t>Result</w:t>
            </w:r>
            <w:proofErr w:type="spellEnd"/>
            <w:r>
              <w:rPr>
                <w:color w:val="005594"/>
                <w:w w:val="90"/>
                <w:sz w:val="28"/>
                <w:szCs w:val="28"/>
                <w:lang w:val="es-ES_tradnl"/>
              </w:rPr>
              <w:t>:</w:t>
            </w:r>
          </w:p>
        </w:tc>
      </w:tr>
    </w:tbl>
    <w:p>
      <w:pPr>
        <w:spacing w:before="40"/>
        <w:ind w:right="117"/>
        <w:jc w:val="right"/>
        <w:rPr>
          <w:sz w:val="24"/>
        </w:rPr>
      </w:pPr>
      <w:r>
        <w:pict>
          <v:group id="docshapegroup8" o:spid="_x0000_s1033" style="position:absolute;left:0;text-align:left;margin-left:36.35pt;margin-top:5.65pt;width:276.9pt;height:52pt;z-index:251660288;mso-position-horizontal-relative:page;mso-position-vertical-relative:text" coordorigin="727,113" coordsize="5538,469">
            <v:rect id="docshape9" o:spid="_x0000_s1034" style="position:absolute;left:737;top:131;width:2733;height:441" filled="f" strokeweight="1pt"/>
            <v:rect id="docshape10" o:spid="_x0000_s1035" style="position:absolute;left:3522;top:123;width:2733;height:441" filled="f" strokeweight="1pt"/>
            <v:shape id="docshape11" o:spid="_x0000_s1036" type="#_x0000_t202" style="position:absolute;left:3506;top:137;width:2739;height:421" fillcolor="#fbf485" stroked="f">
              <v:textbox inset="0,0,0,0">
                <w:txbxContent>
                  <w:p>
                    <w:pPr>
                      <w:spacing w:before="64"/>
                      <w:ind w:left="270"/>
                      <w:rPr>
                        <w:b/>
                        <w:color w:val="000000"/>
                        <w:sz w:val="24"/>
                      </w:rPr>
                    </w:pPr>
                    <w:r>
                      <w:rPr>
                        <w:b/>
                        <w:bCs/>
                        <w:color w:val="000000"/>
                        <w:sz w:val="24"/>
                        <w:szCs w:val="24"/>
                        <w:lang w:val="es-ES_tradnl"/>
                      </w:rPr>
                      <w:t>Enviar correo electrónico a Junction City</w:t>
                    </w:r>
                  </w:p>
                </w:txbxContent>
              </v:textbox>
            </v:shape>
            <v:shape id="docshape12" o:spid="_x0000_s1037" type="#_x0000_t202" style="position:absolute;left:747;top:137;width:2739;height:421" fillcolor="#69d927" stroked="f">
              <v:textbox inset="0,0,0,0">
                <w:txbxContent>
                  <w:p>
                    <w:pPr>
                      <w:spacing w:before="72"/>
                      <w:ind w:left="650"/>
                      <w:rPr>
                        <w:b/>
                        <w:color w:val="000000"/>
                        <w:sz w:val="24"/>
                      </w:rPr>
                    </w:pPr>
                    <w:r>
                      <w:rPr>
                        <w:b/>
                        <w:bCs/>
                        <w:color w:val="000000"/>
                        <w:sz w:val="24"/>
                        <w:szCs w:val="24"/>
                        <w:lang w:val="es-ES_tradnl"/>
                      </w:rPr>
                      <w:t>Enviar correo electrónico a Salem</w:t>
                    </w:r>
                  </w:p>
                </w:txbxContent>
              </v:textbox>
            </v:shape>
            <w10:wrap anchorx="page"/>
          </v:group>
        </w:pict>
      </w:r>
      <w:proofErr w:type="spellStart"/>
      <w:r>
        <w:rPr>
          <w:color w:val="005594"/>
          <w:w w:val="75"/>
          <w:sz w:val="24"/>
          <w:szCs w:val="24"/>
          <w:lang w:val="es-ES_tradnl"/>
        </w:rPr>
        <w:t>OHA</w:t>
      </w:r>
      <w:proofErr w:type="spellEnd"/>
      <w:r>
        <w:rPr>
          <w:color w:val="005594"/>
          <w:w w:val="75"/>
          <w:sz w:val="24"/>
          <w:szCs w:val="24"/>
          <w:lang w:val="es-ES_tradnl"/>
        </w:rPr>
        <w:t xml:space="preserve"> 8900 (7/2024)_Spanish</w:t>
      </w:r>
    </w:p>
    <w:p>
      <w:pPr>
        <w:jc w:val="right"/>
        <w:rPr>
          <w:sz w:val="24"/>
        </w:rPr>
        <w:sectPr>
          <w:type w:val="continuous"/>
          <w:pgSz w:w="12240" w:h="15840"/>
          <w:pgMar w:top="300" w:right="600" w:bottom="0" w:left="600" w:header="720" w:footer="720" w:gutter="0"/>
          <w:cols w:space="720"/>
        </w:sectPr>
      </w:pPr>
    </w:p>
    <w:p>
      <w:pPr>
        <w:spacing w:before="171"/>
        <w:ind w:left="120"/>
        <w:rPr>
          <w:b/>
          <w:sz w:val="44"/>
        </w:rPr>
      </w:pPr>
      <w:bookmarkStart w:id="1" w:name="OSH-Visitation-Guidelines-2024.07.25"/>
      <w:bookmarkEnd w:id="1"/>
      <w:r>
        <w:rPr>
          <w:b/>
          <w:bCs/>
          <w:color w:val="005594"/>
          <w:w w:val="80"/>
          <w:sz w:val="44"/>
          <w:szCs w:val="44"/>
          <w:lang w:val="es-ES_tradnl"/>
        </w:rPr>
        <w:lastRenderedPageBreak/>
        <w:t xml:space="preserve">Pautas de visitas del </w:t>
      </w:r>
      <w:proofErr w:type="spellStart"/>
      <w:r>
        <w:rPr>
          <w:b/>
          <w:bCs/>
          <w:color w:val="005594"/>
          <w:w w:val="80"/>
          <w:sz w:val="44"/>
          <w:szCs w:val="44"/>
          <w:lang w:val="es-ES_tradnl"/>
        </w:rPr>
        <w:t>Oregon</w:t>
      </w:r>
      <w:proofErr w:type="spellEnd"/>
      <w:r>
        <w:rPr>
          <w:b/>
          <w:bCs/>
          <w:color w:val="005594"/>
          <w:w w:val="80"/>
          <w:sz w:val="44"/>
          <w:szCs w:val="44"/>
          <w:lang w:val="es-ES_tradnl"/>
        </w:rPr>
        <w:t xml:space="preserve"> </w:t>
      </w:r>
      <w:proofErr w:type="spellStart"/>
      <w:r>
        <w:rPr>
          <w:b/>
          <w:bCs/>
          <w:color w:val="005594"/>
          <w:w w:val="80"/>
          <w:sz w:val="44"/>
          <w:szCs w:val="44"/>
          <w:lang w:val="es-ES_tradnl"/>
        </w:rPr>
        <w:t>State</w:t>
      </w:r>
      <w:proofErr w:type="spellEnd"/>
      <w:r>
        <w:rPr>
          <w:b/>
          <w:bCs/>
          <w:color w:val="005594"/>
          <w:w w:val="80"/>
          <w:sz w:val="44"/>
          <w:szCs w:val="44"/>
          <w:lang w:val="es-ES_tradnl"/>
        </w:rPr>
        <w:t xml:space="preserve"> Hospital</w:t>
      </w:r>
    </w:p>
    <w:p>
      <w:pPr>
        <w:pStyle w:val="BodyText"/>
        <w:spacing w:before="40" w:line="249" w:lineRule="auto"/>
        <w:ind w:left="120" w:right="80"/>
      </w:pPr>
      <w:r>
        <w:rPr>
          <w:color w:val="231F20"/>
          <w:w w:val="85"/>
          <w:lang w:val="es-ES_tradnl"/>
        </w:rPr>
        <w:t xml:space="preserve">Para promover la seguridad y garantizar una experiencia de visita positiva, todos los visitantes deben cumplir con las siguientes pautas de visitas. El incumplimiento de estas pautas, incluidos los requisitos de prevención de infecciones, puede dar lugar a la finalización de su visita y a una restricción de sus privilegios de visitas futuras. Estas pautas se aplican tanto a los visitantes presenciales como virtuales. Visite </w:t>
      </w:r>
      <w:hyperlink r:id="rId9">
        <w:r>
          <w:rPr>
            <w:color w:val="005594"/>
            <w:w w:val="85"/>
            <w:u w:val="single"/>
            <w:lang w:val="es-ES_tradnl"/>
          </w:rPr>
          <w:t>www.OSHFriends.com</w:t>
        </w:r>
      </w:hyperlink>
      <w:r>
        <w:rPr>
          <w:color w:val="005594"/>
          <w:w w:val="85"/>
          <w:lang w:val="es-ES_tradnl"/>
        </w:rPr>
        <w:t xml:space="preserve"> </w:t>
      </w:r>
      <w:r>
        <w:rPr>
          <w:color w:val="231F20"/>
          <w:w w:val="85"/>
          <w:lang w:val="es-ES_tradnl"/>
        </w:rPr>
        <w:t>para obtener más información sobre las visitas.</w:t>
      </w:r>
    </w:p>
    <w:p>
      <w:pPr>
        <w:pStyle w:val="BodyText"/>
        <w:spacing w:before="9"/>
        <w:rPr>
          <w:sz w:val="20"/>
        </w:rPr>
      </w:pPr>
      <w:r>
        <w:pict>
          <v:shape id="docshape23" o:spid="_x0000_s1046" style="position:absolute;margin-left:36pt;margin-top:13.2pt;width:5in;height:.1pt;z-index:-251646976;mso-wrap-distance-left:0;mso-wrap-distance-right:0;mso-position-horizontal-relative:page" coordorigin="720,264" coordsize="7200,0" path="m720,264r7200,e" filled="f" strokecolor="#005594" strokeweight="3pt">
            <v:path arrowok="t"/>
            <w10:wrap type="topAndBottom" anchorx="page"/>
          </v:shape>
        </w:pict>
      </w:r>
    </w:p>
    <w:p>
      <w:pPr>
        <w:pStyle w:val="Heading1"/>
        <w:spacing w:before="206"/>
      </w:pPr>
      <w:r>
        <w:pict>
          <v:group id="docshapegroup15" o:spid="_x0000_s1038" style="position:absolute;left:0;text-align:left;margin-left:442.45pt;margin-top:11.85pt;width:133.05pt;height:151.9pt;z-index:251661312;mso-position-horizontal-relative:page" coordorigin="8860,1612" coordsize="2661,3038">
            <v:shape id="docshape16" o:spid="_x0000_s1039" style="position:absolute;left:8869;top:1622;width:2641;height:3018" coordorigin="8870,1622" coordsize="2641,3018" path="m11270,1622r-2160,l9034,1635r-66,34l8916,1721r-34,66l8870,1862r,2538l8882,4476r34,66l8968,4594r66,34l9110,4640r2160,l11346,4628r66,-34l11464,4542r34,-66l11510,4400r,-2538l11498,1787r-34,-66l11412,1669r-66,-34l11270,1622xe" fillcolor="#005594" stroked="f">
              <v:path arrowok="t"/>
            </v:shape>
            <v:shape id="docshape17" o:spid="_x0000_s1040" style="position:absolute;left:8869;top:1622;width:2641;height:3018" coordorigin="8870,1622" coordsize="2641,3018" path="m9110,1622r-76,13l8968,1669r-52,52l8882,1787r-12,75l8870,4400r12,76l8916,4542r52,52l9034,4628r76,12l11270,4640r76,-12l11412,4594r52,-52l11498,4476r12,-76l11510,1862r-12,-75l11464,1721r-52,-52l11346,1635r-76,-13l9110,1622xe" filled="f" strokecolor="#005594" strokeweight="1pt">
              <v:path arrowok="t"/>
            </v:shape>
            <v:shape id="docshape18" o:spid="_x0000_s1041" style="position:absolute;left:9401;top:2301;width:640;height:1599" coordorigin="9402,2302" coordsize="640,1599" o:spt="100" adj="0,,0" path="m9466,3453r-64,l9402,3581r,l9402,3773r,128l9466,3901r,-128l9466,3581r,l9466,3453xm9466,3005r-64,l9402,3069r64,l9466,3005xm9466,2813r-64,l9402,2877r64,l9466,2813xm9466,2302r-64,l9402,2685r,l9402,2749r64,l9466,2685r,l9466,2302xm9529,3197r-63,l9466,3261r63,l9529,3197xm9593,3837r-64,l9466,3837r,64l9529,3901r64,l9593,3837xm9593,3581r-64,l9529,3773r64,l9593,3581xm9593,3453r-64,l9466,3453r,64l9529,3517r64,l9593,3453xm9593,3069r-64,l9529,3133r64,l9593,3069xm9593,2877r-64,l9466,2877r,64l9529,2941r,64l9593,3005r,-128xm9593,2685r-64,l9466,2685r,64l9529,2749r64,l9593,2685xm9593,2430r-64,l9529,2621r64,l9593,2430xm9593,2302r-64,l9466,2302r,64l9529,2366r64,l9593,2302xm9657,3325r-64,l9593,3389r64,l9657,3325xm9721,3581r-64,l9593,3581r,192l9657,3773r64,l9721,3581xm9721,2430r-64,l9593,2430r,191l9657,2621r64,l9721,2430xm9785,3837r-64,l9657,3837r-64,l9593,3901r64,l9721,3901r64,l9785,3837xm9785,3453r-64,l9657,3453r-64,l9593,3517r64,l9721,3517r64,l9785,3453xm9785,3325r-64,l9721,3389r64,l9785,3325xm9785,2813r-64,l9657,2813r-64,l9593,2877r64,l9657,3005r-64,l9593,3261r64,l9657,3325r64,l9721,3197r-64,l9657,3133r64,l9721,3005r,-64l9785,2941r,-128xm9785,2685r-64,l9657,2685r-64,l9593,2749r64,l9721,2749r64,l9785,2685xm9785,2302r-64,l9657,2302r-64,l9593,2366r64,l9721,2366r64,l9785,2302xm9849,3453r-64,l9785,3581r,l9785,3773r,128l9849,3901r,-128l9849,3581r,l9849,3453xm9849,3197r-64,l9785,3261r64,l9849,3197xm9849,2941r-64,l9785,3005r64,l9849,2941xm9849,2302r-64,l9785,2685r,l9785,2749r64,l9849,2685r,l9849,2302xm9913,3005r-64,l9849,3069r-64,l9785,3133r64,l9913,3133r,-128xm9977,3837r-64,l9913,3901r64,l9977,3837xm9977,3389r-64,l9913,3581r,l9913,3709r64,l9977,3581r,l9977,3389xm9977,3261r-64,l9849,3261r,64l9785,3325r,64l9849,3389r64,l9913,3325r64,l9977,3261xm9977,2813r-64,l9849,2813r-64,l9785,2877r64,l9913,2877r64,l9977,2813xm9977,2685r-64,l9913,2749r64,l9977,2685xm9977,2557r-64,l9913,2621r64,l9977,2557xm9977,2302r-64,l9913,2493r64,l9977,2302xm10041,3581r-64,l9977,3645r64,l10041,3581xm10041,3069r-64,l9977,3325r64,l10041,3069xm10041,2749r-64,l9977,2877r64,l10041,2749xm10041,2557r-64,l9977,2685r64,l10041,2557xm10041,2366r-64,l9977,2430r64,l10041,2366xe" stroked="f">
              <v:stroke joinstyle="round"/>
              <v:formulas/>
              <v:path arrowok="t" o:connecttype="segments"/>
            </v:shape>
            <v:shape id="docshape19" o:spid="_x0000_s1042" style="position:absolute;left:9977;top:2301;width:704;height:1599" coordorigin="9977,2302" coordsize="704,1599" o:spt="100" adj="0,,0" path="m10041,3709r-64,l9977,3773r64,l10041,3709xm10105,3773r-64,l10041,3901r64,l10105,3773xm10105,2941r-64,l10041,3005r64,l10105,2941xm10105,2813r-64,l10041,2877r64,l10105,2813xm10169,3581r-64,l10041,3581r-64,l9977,3645r64,l10105,3645r,128l10169,3773r,-192xm10169,3389r-64,l10041,3389r,128l10105,3517r64,l10169,3389xm10169,3197r-64,l10105,3133r-64,l10041,3261r64,l10105,3325r64,l10169,3197xm10169,3005r-64,l10105,3069r64,l10169,3005xm10169,2877r-64,l10105,2941r64,l10169,2877xm10169,2621r-64,l10105,2557r-64,l10041,2685r,64l10105,2749r,-64l10169,2685r,-64xm10169,2302r-64,l10041,2302r,64l10105,2366r64,l10169,2302xm10233,3837r-64,l10169,3901r64,l10233,3837xm10233,3197r-64,l10169,3261r64,l10233,3197xm10233,3069r-64,l10169,3133r64,l10233,3069xm10233,2877r-64,l10169,3005r64,l10233,2877xm10297,3133r-64,l10233,3197r64,l10297,3133xm10361,3325r-64,l10233,3325r-64,l10169,3389r,64l10233,3453r64,l10297,3389r64,l10361,3325xm10553,2813r-64,l10489,2941r64,l10553,2813xm10617,3453r-64,l10553,3517r64,l10617,3453xm10617,3069r-64,l10489,3069r-64,l10425,3005r,-256l10361,2749r,-64l10361,2557r64,l10425,2685r,l10425,2749r64,l10489,2685r,l10489,2366r-64,l10425,2430r-64,l10361,2430r,63l10361,2557r-64,l10297,2493r64,l10361,2430r-64,l10297,2366r64,l10361,2302r-64,l10233,2302r-64,l10169,2366r64,l10233,2557r-64,l10169,2621r64,l10233,2685r-64,l10169,2749r64,l10233,2685r64,l10297,2749r-64,l10233,2813r64,l10297,2941r64,l10361,3005r,128l10425,3133r,64l10361,3197r,64l10425,3261r,128l10425,3453r-64,l10361,3517r-64,l10233,3517r,64l10169,3581r,64l10233,3645r,-64l10297,3581r,128l10233,3709r,64l10297,3773r,64l10361,3837r,l10425,3837r,64l10489,3901r,-128l10425,3773r,-128l10489,3645r,128l10553,3773r64,l10617,3581r-64,l10489,3581r,-192l10553,3389r64,l10617,3325r-64,l10489,3325r,-64l10553,3261r,-64l10489,3197r,-64l10553,3133r64,l10617,3069xm10681,2877r-64,l10617,2941r-64,l10553,3005r64,l10681,3005r,-128xm10681,2302r-64,l10553,2302r,383l10553,2685r,64l10617,2749r64,l10681,2685r-64,l10617,2366r64,l10681,2302xe" stroked="f">
              <v:stroke joinstyle="round"/>
              <v:formulas/>
              <v:path arrowok="t" o:connecttype="segments"/>
            </v:shape>
            <v:shape id="docshape20" o:spid="_x0000_s1043" style="position:absolute;left:10616;top:2301;width:384;height:1599" coordorigin="10617,2302" coordsize="384,1599" o:spt="100" adj="0,,0" path="m10809,3837r-64,l10745,3901r64,l10809,3837xm10873,2430r-64,l10745,2430r-64,l10681,2621r64,l10809,2621r64,l10873,2430xm11001,3645r-64,l10873,3645r,64l10809,3709r,64l10809,3837r64,l10937,3837r,64l11001,3901r,-128l11001,3645xm11001,3453r-64,l10937,3517r-64,l10873,3581r64,l11001,3581r,-128xm11001,3197r-64,l10937,3133r-64,l10873,3197r-64,l10745,3197r,-64l10681,3133r,128l10617,3261r,128l10681,3389r,192l10617,3581r,192l10617,3837r64,l10745,3837r,-64l10745,3709r-64,l10681,3645r64,l10745,3709r64,l10809,3581r-64,l10745,3517r64,l10809,3453r-64,l10745,3389r,-128l10809,3261r,128l10873,3389r,64l10937,3453r,-64l10937,3325r-64,l10873,3261r64,l10937,3325r64,l11001,3197xm11001,2813r-64,l10873,2813r-64,l10809,2877r-64,l10745,2813r-64,l10681,2877r-64,l10617,3005r,64l10681,3069r,-64l10681,2941r64,l10745,3005r,64l10809,3069r64,l10937,3069r,64l11001,3133r,-128l11001,2941r-64,l10937,3005r-64,l10809,3005r,-64l10873,2941r64,l10937,2877r64,l11001,2813xm11001,2302r-64,l10873,2302r-64,l10745,2302r-64,l10681,2366r64,l10809,2366r64,l10937,2366r,319l10873,2685r-64,l10745,2685r-64,l10681,2749r64,l10809,2749r64,l10937,2749r64,l11001,2685r,l11001,2302xe" stroked="f">
              <v:stroke joinstyle="round"/>
              <v:formulas/>
              <v:path arrowok="t" o:connecttype="segments"/>
            </v:shape>
            <v:shape id="docshape21" o:spid="_x0000_s1044" type="#_x0000_t202" style="position:absolute;left:9863;top:1799;width:585;height:387" filled="f" stroked="f">
              <v:textbox style="mso-next-textbox:#docshape21" inset="0,0,0,0">
                <w:txbxContent>
                  <w:p>
                    <w:pPr>
                      <w:spacing w:before="5"/>
                      <w:rPr>
                        <w:b/>
                        <w:sz w:val="32"/>
                      </w:rPr>
                    </w:pPr>
                    <w:r>
                      <w:rPr>
                        <w:b/>
                        <w:bCs/>
                        <w:color w:val="FFFFFF"/>
                        <w:w w:val="85"/>
                        <w:sz w:val="32"/>
                        <w:szCs w:val="32"/>
                        <w:lang w:val="es-ES_tradnl"/>
                      </w:rPr>
                      <w:t>Visite</w:t>
                    </w:r>
                  </w:p>
                </w:txbxContent>
              </v:textbox>
            </v:shape>
            <v:shape id="docshape22" o:spid="_x0000_s1045" type="#_x0000_t202" style="position:absolute;left:9186;top:4084;width:2030;height:387" filled="f" stroked="f">
              <v:textbox style="mso-next-textbox:#docshape22" inset="0,0,0,0">
                <w:txbxContent>
                  <w:p>
                    <w:pPr>
                      <w:spacing w:before="5"/>
                      <w:rPr>
                        <w:b/>
                        <w:sz w:val="26"/>
                        <w:szCs w:val="26"/>
                      </w:rPr>
                    </w:pPr>
                    <w:hyperlink r:id="rId10">
                      <w:r>
                        <w:rPr>
                          <w:b/>
                          <w:bCs/>
                          <w:color w:val="FFFFFF"/>
                          <w:sz w:val="26"/>
                          <w:szCs w:val="26"/>
                          <w:u w:val="single"/>
                          <w:lang w:val="es-ES_tradnl"/>
                        </w:rPr>
                        <w:t>oshfriends.com</w:t>
                      </w:r>
                    </w:hyperlink>
                  </w:p>
                </w:txbxContent>
              </v:textbox>
            </v:shape>
            <w10:wrap anchorx="page"/>
          </v:group>
        </w:pict>
      </w:r>
      <w:r>
        <w:rPr>
          <w:color w:val="005594"/>
          <w:w w:val="90"/>
          <w:lang w:val="es-ES_tradnl"/>
        </w:rPr>
        <w:t>Visitas</w:t>
      </w:r>
    </w:p>
    <w:p>
      <w:pPr>
        <w:pStyle w:val="BodyText"/>
        <w:spacing w:before="65" w:line="249" w:lineRule="auto"/>
        <w:ind w:left="120" w:right="3390"/>
      </w:pPr>
      <w:r>
        <w:pict>
          <v:rect id="docshape24" o:spid="_x0000_s1047" style="position:absolute;left:0;text-align:left;margin-left:470.1pt;margin-top:44.3pt;width:3.2pt;height:12.8pt;z-index:-251654144;mso-position-horizontal-relative:page" stroked="f">
            <w10:wrap anchorx="page"/>
          </v:rect>
        </w:pict>
      </w:r>
      <w:r>
        <w:rPr>
          <w:color w:val="231F20"/>
          <w:w w:val="85"/>
          <w:lang w:val="es-ES_tradnl"/>
        </w:rPr>
        <w:t xml:space="preserve">El </w:t>
      </w:r>
      <w:proofErr w:type="spellStart"/>
      <w:r>
        <w:rPr>
          <w:color w:val="231F20"/>
          <w:w w:val="85"/>
          <w:lang w:val="es-ES_tradnl"/>
        </w:rPr>
        <w:t>OSH</w:t>
      </w:r>
      <w:proofErr w:type="spellEnd"/>
      <w:r>
        <w:rPr>
          <w:color w:val="231F20"/>
          <w:w w:val="85"/>
          <w:lang w:val="es-ES_tradnl"/>
        </w:rPr>
        <w:t xml:space="preserve"> ha designado áreas para visitantes en el hospital. Todos los visitantes deben completar un proceso de control de seguridad antes de ingresar al área de visita. Por razones de seguridad, es posible que se limite el número de visitantes.</w:t>
      </w:r>
    </w:p>
    <w:p>
      <w:pPr>
        <w:pStyle w:val="Heading1"/>
        <w:spacing w:before="114"/>
      </w:pPr>
      <w:r>
        <w:rPr>
          <w:color w:val="005594"/>
          <w:w w:val="80"/>
          <w:lang w:val="es-ES_tradnl"/>
        </w:rPr>
        <w:t>Visitas de menores</w:t>
      </w:r>
    </w:p>
    <w:p>
      <w:pPr>
        <w:pStyle w:val="BodyText"/>
        <w:spacing w:before="66" w:line="249" w:lineRule="auto"/>
        <w:ind w:left="120" w:right="3300"/>
      </w:pPr>
      <w:r>
        <w:rPr>
          <w:color w:val="231F20"/>
          <w:w w:val="85"/>
          <w:lang w:val="es-ES_tradnl"/>
        </w:rPr>
        <w:t>Se permite la visita de menores de 18 años con autorización previa y siempre que estén acompañados por un visitante adulto aprobado. Las visitas de menores seguirán un horario diferente al que se indica en el calendario de visitas.</w:t>
      </w:r>
    </w:p>
    <w:p>
      <w:pPr>
        <w:pStyle w:val="Heading1"/>
        <w:spacing w:before="114"/>
      </w:pPr>
      <w:r>
        <w:rPr>
          <w:color w:val="005594"/>
          <w:w w:val="80"/>
          <w:lang w:val="es-ES_tradnl"/>
        </w:rPr>
        <w:t>Visitas por video</w:t>
      </w:r>
    </w:p>
    <w:p>
      <w:pPr>
        <w:pStyle w:val="BodyText"/>
        <w:spacing w:before="66" w:line="249" w:lineRule="auto"/>
        <w:ind w:left="120" w:right="240"/>
        <w:rPr>
          <w:color w:val="231F20"/>
          <w:w w:val="85"/>
          <w:lang w:val="es-ES_tradnl"/>
        </w:rPr>
      </w:pPr>
      <w:r>
        <w:rPr>
          <w:color w:val="231F20"/>
          <w:w w:val="85"/>
          <w:lang w:val="es-ES_tradnl"/>
        </w:rPr>
        <w:t xml:space="preserve">Solo los visitantes aprobados por el </w:t>
      </w:r>
      <w:proofErr w:type="spellStart"/>
      <w:r>
        <w:rPr>
          <w:color w:val="231F20"/>
          <w:w w:val="85"/>
          <w:lang w:val="es-ES_tradnl"/>
        </w:rPr>
        <w:t>OSH</w:t>
      </w:r>
      <w:proofErr w:type="spellEnd"/>
      <w:r>
        <w:rPr>
          <w:color w:val="231F20"/>
          <w:w w:val="85"/>
          <w:lang w:val="es-ES_tradnl"/>
        </w:rPr>
        <w:t xml:space="preserve"> pueden participar en las visitas por video. Si el personal observa a visitantes que no cuentan con aprobación, se les puede solicitar que finalicen su visita. Los pacientes y visitantes deben seguir las pautas de este documento, incluidas las relacionadas con la vestimenta de los visitantes, el comportamiento de los invitados, la grabación de audio o video y el uso de artículos prohibidos.</w:t>
      </w:r>
    </w:p>
    <w:p>
      <w:pPr>
        <w:pStyle w:val="Heading1"/>
        <w:spacing w:before="115"/>
      </w:pPr>
      <w:r>
        <w:rPr>
          <w:color w:val="005594"/>
          <w:w w:val="80"/>
          <w:lang w:val="es-ES_tradnl"/>
        </w:rPr>
        <w:t>Comportamiento de los invitados</w:t>
      </w:r>
    </w:p>
    <w:p>
      <w:pPr>
        <w:pStyle w:val="BodyText"/>
        <w:spacing w:before="66" w:line="249" w:lineRule="auto"/>
        <w:ind w:left="120" w:right="80"/>
      </w:pPr>
      <w:r>
        <w:rPr>
          <w:color w:val="231F20"/>
          <w:w w:val="85"/>
          <w:lang w:val="es-ES_tradnl"/>
        </w:rPr>
        <w:t>El comportamiento disruptivo, que incluye, entre otros, discutir, gritar, usar malas palabras, asistir en estado de ebriedad o consumir sustancias prohibidas puede dar lugar a la finalización de su visita.</w:t>
      </w:r>
    </w:p>
    <w:p>
      <w:pPr>
        <w:pStyle w:val="Heading1"/>
      </w:pPr>
      <w:r>
        <w:rPr>
          <w:color w:val="005594"/>
          <w:w w:val="80"/>
          <w:lang w:val="es-ES_tradnl"/>
        </w:rPr>
        <w:t>Fumar y productos de tabaco</w:t>
      </w:r>
    </w:p>
    <w:p>
      <w:pPr>
        <w:pStyle w:val="BodyText"/>
        <w:spacing w:before="65" w:line="249" w:lineRule="auto"/>
        <w:ind w:left="120" w:right="240"/>
        <w:rPr>
          <w:color w:val="231F20"/>
          <w:w w:val="85"/>
          <w:lang w:val="es-ES_tradnl"/>
        </w:rPr>
      </w:pPr>
      <w:r>
        <w:rPr>
          <w:color w:val="231F20"/>
          <w:w w:val="85"/>
          <w:lang w:val="es-ES_tradnl"/>
        </w:rPr>
        <w:t xml:space="preserve">No se permite fumar ni usar productos de tabaco, incluidos cigarrillos, marihuana, cigarrillos electrónicos, accesorios o productos de vapeo, fósforos o encendedores en las instalaciones del hospital. Esto incluye el hospital, las zonas de estacionamiento y todas las áreas vinculadas al </w:t>
      </w:r>
      <w:proofErr w:type="spellStart"/>
      <w:r>
        <w:rPr>
          <w:color w:val="231F20"/>
          <w:w w:val="85"/>
          <w:lang w:val="es-ES_tradnl"/>
        </w:rPr>
        <w:t>OSH</w:t>
      </w:r>
      <w:proofErr w:type="spellEnd"/>
      <w:r>
        <w:rPr>
          <w:color w:val="231F20"/>
          <w:w w:val="85"/>
          <w:lang w:val="es-ES_tradnl"/>
        </w:rPr>
        <w:t>.</w:t>
      </w:r>
    </w:p>
    <w:p>
      <w:pPr>
        <w:pStyle w:val="Heading1"/>
        <w:spacing w:before="125"/>
      </w:pPr>
      <w:r>
        <w:rPr>
          <w:color w:val="005594"/>
          <w:w w:val="80"/>
          <w:lang w:val="es-ES_tradnl"/>
        </w:rPr>
        <w:t>Saludos con contacto físico</w:t>
      </w:r>
    </w:p>
    <w:p>
      <w:pPr>
        <w:pStyle w:val="BodyText"/>
        <w:spacing w:before="66" w:line="249" w:lineRule="auto"/>
        <w:ind w:left="120" w:right="150"/>
        <w:rPr>
          <w:color w:val="231F20"/>
          <w:w w:val="85"/>
          <w:lang w:val="es-ES_tradnl"/>
        </w:rPr>
      </w:pPr>
      <w:r>
        <w:rPr>
          <w:color w:val="231F20"/>
          <w:w w:val="85"/>
          <w:lang w:val="es-ES_tradnl"/>
        </w:rPr>
        <w:t>Se permiten breves saludos y abrazos de despedida. No se permite el contacto físico durante el resto de la visita.</w:t>
      </w:r>
    </w:p>
    <w:p>
      <w:pPr>
        <w:pStyle w:val="BodyText"/>
        <w:spacing w:before="66" w:line="249" w:lineRule="auto"/>
        <w:ind w:left="120" w:right="150"/>
        <w:rPr>
          <w:color w:val="231F20"/>
          <w:w w:val="85"/>
          <w:lang w:val="es-ES_tradnl"/>
        </w:rPr>
      </w:pPr>
    </w:p>
    <w:p>
      <w:pPr>
        <w:pStyle w:val="BodyText"/>
        <w:spacing w:before="66" w:line="249" w:lineRule="auto"/>
        <w:ind w:left="120" w:right="150"/>
        <w:rPr>
          <w:color w:val="231F20"/>
          <w:w w:val="85"/>
          <w:lang w:val="es-ES_tradnl"/>
        </w:rPr>
      </w:pPr>
    </w:p>
    <w:p>
      <w:pPr>
        <w:pStyle w:val="Heading1"/>
        <w:spacing w:before="112"/>
      </w:pPr>
      <w:r>
        <w:rPr>
          <w:color w:val="005594"/>
          <w:w w:val="80"/>
          <w:lang w:val="es-ES_tradnl"/>
        </w:rPr>
        <w:lastRenderedPageBreak/>
        <w:t>Salud y bienestar</w:t>
      </w:r>
    </w:p>
    <w:p>
      <w:pPr>
        <w:pStyle w:val="BodyText"/>
        <w:spacing w:before="66" w:line="249" w:lineRule="auto"/>
        <w:ind w:left="120" w:right="240"/>
      </w:pPr>
      <w:r>
        <w:rPr>
          <w:color w:val="231F20"/>
          <w:w w:val="85"/>
          <w:lang w:val="es-ES_tradnl"/>
        </w:rPr>
        <w:t xml:space="preserve">Para apoyar la salud de todos los pacientes, el personal y los visitantes del </w:t>
      </w:r>
      <w:proofErr w:type="spellStart"/>
      <w:r>
        <w:rPr>
          <w:color w:val="231F20"/>
          <w:w w:val="85"/>
          <w:lang w:val="es-ES_tradnl"/>
        </w:rPr>
        <w:t>OSH</w:t>
      </w:r>
      <w:proofErr w:type="spellEnd"/>
      <w:r>
        <w:rPr>
          <w:color w:val="231F20"/>
          <w:w w:val="85"/>
          <w:lang w:val="es-ES_tradnl"/>
        </w:rPr>
        <w:t xml:space="preserve">, absténgase de realizar visitas si no se siente bien. Recomendamos a todos los visitantes que se vacunen anualmente, utilicen las estaciones de higiene de manos ubicadas en los vestíbulos del </w:t>
      </w:r>
      <w:proofErr w:type="spellStart"/>
      <w:r>
        <w:rPr>
          <w:color w:val="231F20"/>
          <w:w w:val="85"/>
          <w:lang w:val="es-ES_tradnl"/>
        </w:rPr>
        <w:t>OSH</w:t>
      </w:r>
      <w:proofErr w:type="spellEnd"/>
      <w:r>
        <w:rPr>
          <w:color w:val="231F20"/>
          <w:w w:val="85"/>
          <w:lang w:val="es-ES_tradnl"/>
        </w:rPr>
        <w:t xml:space="preserve"> y a que se cubran la boca y la nariz al toser y estornudar. Si el </w:t>
      </w:r>
      <w:proofErr w:type="spellStart"/>
      <w:r>
        <w:rPr>
          <w:color w:val="231F20"/>
          <w:w w:val="85"/>
          <w:lang w:val="es-ES_tradnl"/>
        </w:rPr>
        <w:t>OSH</w:t>
      </w:r>
      <w:proofErr w:type="spellEnd"/>
      <w:r>
        <w:rPr>
          <w:color w:val="231F20"/>
          <w:w w:val="85"/>
          <w:lang w:val="es-ES_tradnl"/>
        </w:rPr>
        <w:t xml:space="preserve"> requiere que los visitantes usen cubrebocas, el hospital se los proporcionará.</w:t>
      </w:r>
    </w:p>
    <w:p>
      <w:pPr>
        <w:pStyle w:val="Heading1"/>
        <w:spacing w:before="105"/>
      </w:pPr>
      <w:r>
        <w:rPr>
          <w:color w:val="005594"/>
          <w:w w:val="80"/>
          <w:lang w:val="es-ES_tradnl"/>
        </w:rPr>
        <w:t>Dinero y fondos</w:t>
      </w:r>
    </w:p>
    <w:p>
      <w:pPr>
        <w:pStyle w:val="BodyText"/>
        <w:spacing w:before="66" w:line="249" w:lineRule="auto"/>
        <w:ind w:left="120" w:right="80"/>
      </w:pPr>
      <w:r>
        <w:rPr>
          <w:color w:val="231F20"/>
          <w:w w:val="85"/>
          <w:lang w:val="es-ES_tradnl"/>
        </w:rPr>
        <w:t>Los pacientes no podrán recibir dinero directamente de los visitantes. Puede dejarle el dinero al personal de recepción en el vestíbulo principal para que lo depositen en la cuenta fiduciaria de su amigo o familiar. Se le entregará un recibo.</w:t>
      </w:r>
    </w:p>
    <w:p>
      <w:pPr>
        <w:pStyle w:val="Heading1"/>
        <w:spacing w:before="114"/>
      </w:pPr>
      <w:r>
        <w:rPr>
          <w:color w:val="005594"/>
          <w:w w:val="80"/>
          <w:lang w:val="es-ES_tradnl"/>
        </w:rPr>
        <w:t>Regalos y efectos personales</w:t>
      </w:r>
    </w:p>
    <w:p>
      <w:pPr>
        <w:pStyle w:val="BodyText"/>
        <w:spacing w:before="66" w:line="249" w:lineRule="auto"/>
        <w:ind w:left="120" w:right="1095"/>
      </w:pPr>
      <w:r>
        <w:rPr>
          <w:color w:val="231F20"/>
          <w:w w:val="85"/>
          <w:lang w:val="es-ES_tradnl"/>
        </w:rPr>
        <w:t xml:space="preserve">El </w:t>
      </w:r>
      <w:proofErr w:type="spellStart"/>
      <w:r>
        <w:rPr>
          <w:color w:val="231F20"/>
          <w:w w:val="85"/>
          <w:lang w:val="es-ES_tradnl"/>
        </w:rPr>
        <w:t>OSH</w:t>
      </w:r>
      <w:proofErr w:type="spellEnd"/>
      <w:r>
        <w:rPr>
          <w:color w:val="231F20"/>
          <w:w w:val="85"/>
          <w:lang w:val="es-ES_tradnl"/>
        </w:rPr>
        <w:t xml:space="preserve"> debe mantener la seguridad de los pacientes. Una forma de lograrlo es garantizar que todos los efectos personales de los pacientes estén aprobados para su uso en nuestro entorno psiquiátrico seguro. Como resultado, los visitantes no pueden traer artículos para regalar a sus amigos o familiares durante una visita.</w:t>
      </w:r>
    </w:p>
    <w:p>
      <w:pPr>
        <w:pStyle w:val="Heading1"/>
      </w:pPr>
      <w:r>
        <w:rPr>
          <w:color w:val="005594"/>
          <w:w w:val="80"/>
          <w:lang w:val="es-ES_tradnl"/>
        </w:rPr>
        <w:t>Niños y animales en vehículos</w:t>
      </w:r>
    </w:p>
    <w:p>
      <w:pPr>
        <w:pStyle w:val="BodyText"/>
        <w:spacing w:before="66" w:line="249" w:lineRule="auto"/>
        <w:ind w:left="120" w:right="695"/>
      </w:pPr>
      <w:r>
        <w:rPr>
          <w:color w:val="231F20"/>
          <w:w w:val="80"/>
          <w:lang w:val="es-ES_tradnl"/>
        </w:rPr>
        <w:t xml:space="preserve">Se prohíbe dejar a menores sin supervisión en vehículos dentro de las instalaciones del </w:t>
      </w:r>
      <w:proofErr w:type="spellStart"/>
      <w:r>
        <w:rPr>
          <w:color w:val="231F20"/>
          <w:w w:val="80"/>
          <w:lang w:val="es-ES_tradnl"/>
        </w:rPr>
        <w:t>OSH</w:t>
      </w:r>
      <w:proofErr w:type="spellEnd"/>
      <w:r>
        <w:rPr>
          <w:color w:val="231F20"/>
          <w:w w:val="80"/>
          <w:lang w:val="es-ES_tradnl"/>
        </w:rPr>
        <w:t xml:space="preserve">. Según el Estatuto Revisado de </w:t>
      </w:r>
      <w:proofErr w:type="spellStart"/>
      <w:r>
        <w:rPr>
          <w:color w:val="231F20"/>
          <w:w w:val="80"/>
          <w:lang w:val="es-ES_tradnl"/>
        </w:rPr>
        <w:t>Oregon</w:t>
      </w:r>
      <w:proofErr w:type="spellEnd"/>
      <w:r>
        <w:rPr>
          <w:color w:val="231F20"/>
          <w:w w:val="80"/>
          <w:lang w:val="es-ES_tradnl"/>
        </w:rPr>
        <w:t xml:space="preserve"> (</w:t>
      </w:r>
      <w:proofErr w:type="spellStart"/>
      <w:r>
        <w:rPr>
          <w:color w:val="231F20"/>
          <w:w w:val="80"/>
          <w:lang w:val="es-ES_tradnl"/>
        </w:rPr>
        <w:t>Oregon</w:t>
      </w:r>
      <w:proofErr w:type="spellEnd"/>
      <w:r>
        <w:rPr>
          <w:color w:val="231F20"/>
          <w:w w:val="80"/>
          <w:lang w:val="es-ES_tradnl"/>
        </w:rPr>
        <w:t xml:space="preserve"> </w:t>
      </w:r>
      <w:proofErr w:type="spellStart"/>
      <w:r>
        <w:rPr>
          <w:color w:val="231F20"/>
          <w:w w:val="80"/>
          <w:lang w:val="es-ES_tradnl"/>
        </w:rPr>
        <w:t>Revised</w:t>
      </w:r>
      <w:proofErr w:type="spellEnd"/>
      <w:r>
        <w:rPr>
          <w:color w:val="231F20"/>
          <w:w w:val="80"/>
          <w:lang w:val="es-ES_tradnl"/>
        </w:rPr>
        <w:t xml:space="preserve"> </w:t>
      </w:r>
      <w:proofErr w:type="spellStart"/>
      <w:r>
        <w:rPr>
          <w:color w:val="231F20"/>
          <w:w w:val="80"/>
          <w:lang w:val="es-ES_tradnl"/>
        </w:rPr>
        <w:t>Statute</w:t>
      </w:r>
      <w:proofErr w:type="spellEnd"/>
      <w:r>
        <w:rPr>
          <w:color w:val="231F20"/>
          <w:w w:val="80"/>
          <w:lang w:val="es-ES_tradnl"/>
        </w:rPr>
        <w:t xml:space="preserve">, ORS) 167.310 a ORS 167.350, no se puede dejar a animales en vehículos estacionados en las instalaciones del </w:t>
      </w:r>
      <w:proofErr w:type="spellStart"/>
      <w:r>
        <w:rPr>
          <w:color w:val="231F20"/>
          <w:w w:val="80"/>
          <w:lang w:val="es-ES_tradnl"/>
        </w:rPr>
        <w:t>OSH</w:t>
      </w:r>
      <w:proofErr w:type="spellEnd"/>
      <w:r>
        <w:rPr>
          <w:color w:val="231F20"/>
          <w:w w:val="80"/>
          <w:lang w:val="es-ES_tradnl"/>
        </w:rPr>
        <w:t>.</w:t>
      </w:r>
    </w:p>
    <w:p>
      <w:pPr>
        <w:pStyle w:val="Heading1"/>
      </w:pPr>
      <w:r>
        <w:rPr>
          <w:color w:val="005594"/>
          <w:w w:val="80"/>
          <w:lang w:val="es-ES_tradnl"/>
        </w:rPr>
        <w:t>Artículos prohibidos y de contrabando</w:t>
      </w:r>
    </w:p>
    <w:p>
      <w:pPr>
        <w:pStyle w:val="BodyText"/>
        <w:spacing w:before="65" w:line="249" w:lineRule="auto"/>
        <w:ind w:left="120" w:right="944"/>
      </w:pPr>
      <w:r>
        <w:rPr>
          <w:color w:val="231F20"/>
          <w:w w:val="85"/>
          <w:lang w:val="es-ES_tradnl"/>
        </w:rPr>
        <w:t>Para proporcionar un entorno seguro para los pacientes, los visitantes y el personal, no se permiten ciertos artículos en el hospital. Los pacientes y visitantes no pueden intercambiar artículos de ningún tipo durante la visita.</w:t>
      </w:r>
    </w:p>
    <w:p>
      <w:pPr>
        <w:pStyle w:val="BodyText"/>
        <w:spacing w:before="63" w:line="249" w:lineRule="auto"/>
        <w:ind w:left="120" w:right="80"/>
      </w:pPr>
      <w:r>
        <w:rPr>
          <w:color w:val="231F20"/>
          <w:w w:val="85"/>
          <w:lang w:val="es-ES_tradnl"/>
        </w:rPr>
        <w:t xml:space="preserve">Los artículos de contrabando incluyen, entre otros, sustancias controladas, accesorios para el consumo de drogas, dispositivos de escape, productos de tabaco, armas y todos los artículos prohibidos enumerados en la Lista de acceso a artículos/efectos personales del paciente del </w:t>
      </w:r>
      <w:proofErr w:type="spellStart"/>
      <w:r>
        <w:rPr>
          <w:color w:val="231F20"/>
          <w:w w:val="85"/>
          <w:lang w:val="es-ES_tradnl"/>
        </w:rPr>
        <w:t>OSH</w:t>
      </w:r>
      <w:proofErr w:type="spellEnd"/>
      <w:r>
        <w:rPr>
          <w:color w:val="231F20"/>
          <w:w w:val="85"/>
          <w:lang w:val="es-ES_tradnl"/>
        </w:rPr>
        <w:t>. La entrega de artículos de contrabando constituye un delito grave de clase C, de conformidad con los ORS 162.135-162.1851.</w:t>
      </w:r>
    </w:p>
    <w:p>
      <w:pPr>
        <w:pStyle w:val="BodyText"/>
        <w:spacing w:before="63" w:line="249" w:lineRule="auto"/>
        <w:ind w:left="120" w:right="80"/>
      </w:pPr>
      <w:r>
        <w:rPr>
          <w:color w:val="231F20"/>
          <w:w w:val="85"/>
          <w:lang w:val="es-ES_tradnl"/>
        </w:rPr>
        <w:t xml:space="preserve">Todas las personas, carteras, mochilas, bolsos y vehículos que ingresen a las instalaciones del </w:t>
      </w:r>
      <w:proofErr w:type="spellStart"/>
      <w:r>
        <w:rPr>
          <w:color w:val="231F20"/>
          <w:w w:val="85"/>
          <w:lang w:val="es-ES_tradnl"/>
        </w:rPr>
        <w:t>OSH</w:t>
      </w:r>
      <w:proofErr w:type="spellEnd"/>
      <w:r>
        <w:rPr>
          <w:color w:val="231F20"/>
          <w:w w:val="85"/>
          <w:lang w:val="es-ES_tradnl"/>
        </w:rPr>
        <w:t xml:space="preserve"> están sujetos a registros. Para obtener más información sobre los efectos personales de los pacientes, el contrabando y los artículos prohibidos, visite </w:t>
      </w:r>
      <w:hyperlink r:id="rId11">
        <w:r>
          <w:rPr>
            <w:color w:val="005594"/>
            <w:w w:val="85"/>
            <w:u w:val="single"/>
            <w:lang w:val="es-ES_tradnl"/>
          </w:rPr>
          <w:t>www.OSHFriends.com</w:t>
        </w:r>
      </w:hyperlink>
      <w:r>
        <w:rPr>
          <w:color w:val="231F20"/>
          <w:w w:val="85"/>
          <w:lang w:val="es-ES_tradnl"/>
        </w:rPr>
        <w:t>.</w:t>
      </w:r>
    </w:p>
    <w:p>
      <w:pPr>
        <w:pStyle w:val="Heading1"/>
      </w:pPr>
      <w:r>
        <w:rPr>
          <w:color w:val="005594"/>
          <w:w w:val="90"/>
          <w:lang w:val="es-ES_tradnl"/>
        </w:rPr>
        <w:t>Alimentos</w:t>
      </w:r>
    </w:p>
    <w:p>
      <w:pPr>
        <w:pStyle w:val="BodyText"/>
        <w:spacing w:before="65" w:line="249" w:lineRule="auto"/>
        <w:ind w:left="120" w:right="695"/>
        <w:rPr>
          <w:color w:val="231F20"/>
          <w:w w:val="85"/>
          <w:lang w:val="es-ES_tradnl"/>
        </w:rPr>
      </w:pPr>
      <w:r>
        <w:rPr>
          <w:color w:val="231F20"/>
          <w:w w:val="85"/>
          <w:lang w:val="es-ES_tradnl"/>
        </w:rPr>
        <w:t>Los pacientes y sus visitantes no podrán consumir alimentos ni bebidas durante la visita. Esto incluye productos de mercados, cafeterías y tiendas del hospital.</w:t>
      </w:r>
    </w:p>
    <w:p>
      <w:pPr>
        <w:pStyle w:val="BodyText"/>
        <w:spacing w:before="65" w:line="249" w:lineRule="auto"/>
        <w:ind w:left="120" w:right="695"/>
        <w:rPr>
          <w:color w:val="231F20"/>
          <w:w w:val="85"/>
          <w:lang w:val="es-ES_tradnl"/>
        </w:rPr>
      </w:pPr>
    </w:p>
    <w:p>
      <w:pPr>
        <w:pStyle w:val="BodyText"/>
        <w:spacing w:before="65" w:line="249" w:lineRule="auto"/>
        <w:ind w:left="120" w:right="695"/>
        <w:rPr>
          <w:color w:val="231F20"/>
          <w:w w:val="85"/>
          <w:lang w:val="es-ES_tradnl"/>
        </w:rPr>
      </w:pPr>
    </w:p>
    <w:p>
      <w:pPr>
        <w:pStyle w:val="Heading1"/>
      </w:pPr>
      <w:r>
        <w:rPr>
          <w:color w:val="005594"/>
          <w:w w:val="80"/>
          <w:lang w:val="es-ES_tradnl"/>
        </w:rPr>
        <w:lastRenderedPageBreak/>
        <w:t>Fotografías y grabaciones</w:t>
      </w:r>
    </w:p>
    <w:p>
      <w:pPr>
        <w:pStyle w:val="BodyText"/>
        <w:spacing w:before="66" w:line="249" w:lineRule="auto"/>
        <w:ind w:left="120" w:right="695"/>
      </w:pPr>
      <w:r>
        <w:rPr>
          <w:color w:val="231F20"/>
          <w:w w:val="85"/>
          <w:lang w:val="es-ES_tradnl"/>
        </w:rPr>
        <w:t>No se permite la grabación de audio ni video durante la visita. Se permiten las fotografías con los pacientes si se cuenta con autorización previa. El hospital tiene cámaras y el personal puede tomarle fotografías a usted y a su amigo o familiar. Le pedimos que realice esta solicitud cuando programe su visita.</w:t>
      </w:r>
    </w:p>
    <w:p>
      <w:pPr>
        <w:pStyle w:val="Heading1"/>
        <w:spacing w:before="105"/>
        <w:jc w:val="both"/>
      </w:pPr>
      <w:r>
        <w:rPr>
          <w:color w:val="005594"/>
          <w:w w:val="80"/>
          <w:lang w:val="es-ES_tradnl"/>
        </w:rPr>
        <w:t>Vestimenta de los visitantes</w:t>
      </w:r>
    </w:p>
    <w:p>
      <w:pPr>
        <w:pStyle w:val="BodyText"/>
        <w:spacing w:before="66" w:line="249" w:lineRule="auto"/>
        <w:ind w:left="120" w:right="583"/>
        <w:jc w:val="both"/>
      </w:pPr>
      <w:r>
        <w:rPr>
          <w:color w:val="231F20"/>
          <w:w w:val="85"/>
          <w:lang w:val="es-ES_tradnl"/>
        </w:rPr>
        <w:t>Tenga en cuenta que algunos pacientes pueden reaccionar ante ropa provocativa o imágenes que promuevan la violencia o el consumo de drogas y alcohol. Para su bienestar y seguridad, así como para la seguridad del personal y otros visitantes, le pedimos que se vista de manera adecuada al entorno hospitalario. La vestimenta debe incluir un vestido o una camisa con falda, pantalón o pantalones cortos y zapatos o sandalias.</w:t>
      </w:r>
    </w:p>
    <w:p>
      <w:pPr>
        <w:pStyle w:val="Heading2"/>
        <w:spacing w:before="65"/>
        <w:jc w:val="both"/>
      </w:pPr>
      <w:r>
        <w:rPr>
          <w:color w:val="231F20"/>
          <w:w w:val="80"/>
          <w:lang w:val="es-ES_tradnl"/>
        </w:rPr>
        <w:t>Las siguientes prendas de ropa no se permiten durante la visita:</w:t>
      </w:r>
    </w:p>
    <w:p>
      <w:pPr>
        <w:pStyle w:val="ListParagraph"/>
        <w:numPr>
          <w:ilvl w:val="0"/>
          <w:numId w:val="1"/>
        </w:numPr>
        <w:tabs>
          <w:tab w:val="left" w:pos="599"/>
          <w:tab w:val="left" w:pos="600"/>
        </w:tabs>
        <w:rPr>
          <w:sz w:val="28"/>
        </w:rPr>
      </w:pPr>
      <w:r>
        <w:rPr>
          <w:color w:val="231F20"/>
          <w:w w:val="80"/>
          <w:sz w:val="28"/>
          <w:szCs w:val="28"/>
          <w:lang w:val="es-ES_tradnl"/>
        </w:rPr>
        <w:t xml:space="preserve">Ropa de camuflaje o de tipo militar, salvo con aprobación previa del </w:t>
      </w:r>
      <w:proofErr w:type="spellStart"/>
      <w:r>
        <w:rPr>
          <w:color w:val="231F20"/>
          <w:w w:val="80"/>
          <w:sz w:val="28"/>
          <w:szCs w:val="28"/>
          <w:lang w:val="es-ES_tradnl"/>
        </w:rPr>
        <w:t>OSH</w:t>
      </w:r>
      <w:proofErr w:type="spellEnd"/>
      <w:r>
        <w:rPr>
          <w:color w:val="231F20"/>
          <w:w w:val="80"/>
          <w:sz w:val="28"/>
          <w:szCs w:val="28"/>
          <w:lang w:val="es-ES_tradnl"/>
        </w:rPr>
        <w:t>.</w:t>
      </w:r>
    </w:p>
    <w:p>
      <w:pPr>
        <w:pStyle w:val="ListParagraph"/>
        <w:numPr>
          <w:ilvl w:val="0"/>
          <w:numId w:val="1"/>
        </w:numPr>
        <w:tabs>
          <w:tab w:val="left" w:pos="599"/>
          <w:tab w:val="left" w:pos="600"/>
        </w:tabs>
        <w:spacing w:line="249" w:lineRule="auto"/>
        <w:ind w:right="823"/>
        <w:rPr>
          <w:sz w:val="28"/>
        </w:rPr>
      </w:pPr>
      <w:r>
        <w:rPr>
          <w:color w:val="231F20"/>
          <w:w w:val="85"/>
          <w:sz w:val="28"/>
          <w:szCs w:val="28"/>
          <w:lang w:val="es-ES_tradnl"/>
        </w:rPr>
        <w:t>Ropa con palabras o logotipos relacionados con alcohol, productos de tabaco, drogas, vulgaridad, violencia, intolerancia, connotaciones sexuales o que contengan alusión a cualquiera de estos elementos.</w:t>
      </w:r>
    </w:p>
    <w:p>
      <w:pPr>
        <w:pStyle w:val="ListParagraph"/>
        <w:numPr>
          <w:ilvl w:val="0"/>
          <w:numId w:val="1"/>
        </w:numPr>
        <w:tabs>
          <w:tab w:val="left" w:pos="599"/>
          <w:tab w:val="left" w:pos="600"/>
        </w:tabs>
        <w:spacing w:before="62" w:line="249" w:lineRule="auto"/>
        <w:ind w:right="313"/>
        <w:rPr>
          <w:sz w:val="28"/>
        </w:rPr>
      </w:pPr>
      <w:r>
        <w:rPr>
          <w:color w:val="231F20"/>
          <w:w w:val="85"/>
          <w:sz w:val="28"/>
          <w:szCs w:val="28"/>
          <w:lang w:val="es-ES_tradnl"/>
        </w:rPr>
        <w:t>Ropa que pueda considerarse provocativa, incluida, entre otras, faldas o pantalones cortos excesivamente cortos, ropa transparente, ajustada o escotada o ropa que muestre la ropa interior, la espalda, el abdomen o los muslos en cualquier momento (es decir, mientras la persona esté sentada, de pie o agachada).</w:t>
      </w:r>
    </w:p>
    <w:p>
      <w:pPr>
        <w:pStyle w:val="ListParagraph"/>
        <w:numPr>
          <w:ilvl w:val="0"/>
          <w:numId w:val="1"/>
        </w:numPr>
        <w:tabs>
          <w:tab w:val="left" w:pos="599"/>
          <w:tab w:val="left" w:pos="600"/>
        </w:tabs>
        <w:spacing w:before="63"/>
        <w:rPr>
          <w:sz w:val="28"/>
        </w:rPr>
      </w:pPr>
      <w:r>
        <w:rPr>
          <w:color w:val="231F20"/>
          <w:w w:val="85"/>
          <w:sz w:val="28"/>
          <w:szCs w:val="28"/>
          <w:lang w:val="es-ES_tradnl"/>
        </w:rPr>
        <w:t>Varias capas de ropa (se permite un suéter o una sudadera sobre una camiseta sin mangas o una camisa).</w:t>
      </w:r>
    </w:p>
    <w:p>
      <w:pPr>
        <w:pStyle w:val="ListParagraph"/>
        <w:numPr>
          <w:ilvl w:val="0"/>
          <w:numId w:val="1"/>
        </w:numPr>
        <w:tabs>
          <w:tab w:val="left" w:pos="599"/>
          <w:tab w:val="left" w:pos="600"/>
        </w:tabs>
        <w:rPr>
          <w:sz w:val="28"/>
        </w:rPr>
      </w:pPr>
      <w:r>
        <w:rPr>
          <w:color w:val="231F20"/>
          <w:w w:val="85"/>
          <w:sz w:val="28"/>
          <w:szCs w:val="28"/>
          <w:lang w:val="es-ES_tradnl"/>
        </w:rPr>
        <w:t>Prendas con cordones o lazos largos (por ejemplo: cordones de ajuste en sudaderas con capucha).</w:t>
      </w:r>
    </w:p>
    <w:p>
      <w:pPr>
        <w:pStyle w:val="ListParagraph"/>
        <w:numPr>
          <w:ilvl w:val="0"/>
          <w:numId w:val="1"/>
        </w:numPr>
        <w:tabs>
          <w:tab w:val="left" w:pos="599"/>
          <w:tab w:val="left" w:pos="600"/>
        </w:tabs>
        <w:rPr>
          <w:sz w:val="28"/>
        </w:rPr>
      </w:pPr>
      <w:r>
        <w:rPr>
          <w:color w:val="231F20"/>
          <w:w w:val="85"/>
          <w:sz w:val="28"/>
          <w:szCs w:val="28"/>
          <w:lang w:val="es-ES_tradnl"/>
        </w:rPr>
        <w:t>Corbatas, bufandas, collares o cualquier otro artículo que rodee el cuello.</w:t>
      </w:r>
    </w:p>
    <w:p>
      <w:pPr>
        <w:pStyle w:val="ListParagraph"/>
        <w:numPr>
          <w:ilvl w:val="0"/>
          <w:numId w:val="1"/>
        </w:numPr>
        <w:tabs>
          <w:tab w:val="left" w:pos="599"/>
          <w:tab w:val="left" w:pos="600"/>
        </w:tabs>
        <w:spacing w:before="75"/>
        <w:rPr>
          <w:sz w:val="28"/>
        </w:rPr>
      </w:pPr>
      <w:r>
        <w:rPr>
          <w:color w:val="231F20"/>
          <w:w w:val="85"/>
          <w:sz w:val="28"/>
          <w:szCs w:val="28"/>
          <w:lang w:val="es-ES_tradnl"/>
        </w:rPr>
        <w:t>Chaquetas grandes o prendas exteriores que protegen contra la lluvia u otras inclemencias climáticas.</w:t>
      </w:r>
    </w:p>
    <w:p>
      <w:pPr>
        <w:pStyle w:val="ListParagraph"/>
        <w:numPr>
          <w:ilvl w:val="0"/>
          <w:numId w:val="1"/>
        </w:numPr>
        <w:tabs>
          <w:tab w:val="left" w:pos="599"/>
          <w:tab w:val="left" w:pos="600"/>
        </w:tabs>
        <w:rPr>
          <w:sz w:val="28"/>
        </w:rPr>
      </w:pPr>
      <w:r>
        <w:rPr>
          <w:color w:val="231F20"/>
          <w:w w:val="80"/>
          <w:sz w:val="28"/>
          <w:szCs w:val="28"/>
          <w:lang w:val="es-ES_tradnl"/>
        </w:rPr>
        <w:t xml:space="preserve">Sombreros u otros elementos para cubrir la cabeza, excepto los aprobados previamente por el </w:t>
      </w:r>
      <w:proofErr w:type="spellStart"/>
      <w:r>
        <w:rPr>
          <w:color w:val="231F20"/>
          <w:w w:val="80"/>
          <w:sz w:val="28"/>
          <w:szCs w:val="28"/>
          <w:lang w:val="es-ES_tradnl"/>
        </w:rPr>
        <w:t>OSH</w:t>
      </w:r>
      <w:proofErr w:type="spellEnd"/>
      <w:r>
        <w:rPr>
          <w:color w:val="231F20"/>
          <w:w w:val="80"/>
          <w:sz w:val="28"/>
          <w:szCs w:val="28"/>
          <w:lang w:val="es-ES_tradnl"/>
        </w:rPr>
        <w:t>.</w:t>
      </w:r>
    </w:p>
    <w:p>
      <w:pPr>
        <w:pStyle w:val="ListParagraph"/>
        <w:numPr>
          <w:ilvl w:val="0"/>
          <w:numId w:val="1"/>
        </w:numPr>
        <w:tabs>
          <w:tab w:val="left" w:pos="599"/>
          <w:tab w:val="left" w:pos="600"/>
        </w:tabs>
        <w:spacing w:line="249" w:lineRule="auto"/>
        <w:ind w:right="815"/>
        <w:rPr>
          <w:sz w:val="28"/>
        </w:rPr>
      </w:pPr>
      <w:r>
        <w:rPr>
          <w:color w:val="231F20"/>
          <w:w w:val="85"/>
          <w:sz w:val="28"/>
          <w:szCs w:val="28"/>
          <w:lang w:val="es-ES_tradnl"/>
        </w:rPr>
        <w:t>Zapatos o accesorios que puedan representar un peligro para la seguridad, incluido cualquier artículo que pueda usarse como arma o dispositivo de sujeción.</w:t>
      </w:r>
    </w:p>
    <w:p>
      <w:pPr>
        <w:pStyle w:val="BodyText"/>
        <w:rPr>
          <w:sz w:val="4"/>
          <w:szCs w:val="2"/>
        </w:rPr>
      </w:pPr>
    </w:p>
    <w:p>
      <w:pPr>
        <w:pStyle w:val="BodyText"/>
        <w:spacing w:before="270" w:line="249" w:lineRule="auto"/>
        <w:ind w:left="120" w:right="1029"/>
        <w:rPr>
          <w:sz w:val="20"/>
        </w:rPr>
      </w:pPr>
      <w:r>
        <w:rPr>
          <w:color w:val="231F20"/>
          <w:w w:val="80"/>
          <w:lang w:val="es-ES_tradnl"/>
        </w:rPr>
        <w:t xml:space="preserve">Si tiene preguntas o inquietudes sobre las visitas, comuníquese con la Oficina del Defensor de </w:t>
      </w:r>
      <w:proofErr w:type="spellStart"/>
      <w:r>
        <w:rPr>
          <w:color w:val="231F20"/>
          <w:w w:val="80"/>
          <w:lang w:val="es-ES_tradnl"/>
        </w:rPr>
        <w:t>OSH</w:t>
      </w:r>
      <w:proofErr w:type="spellEnd"/>
      <w:r>
        <w:rPr>
          <w:color w:val="231F20"/>
          <w:w w:val="80"/>
          <w:lang w:val="es-ES_tradnl"/>
        </w:rPr>
        <w:t xml:space="preserve"> y Servicios a las Familias llamando al 503-947-8109 o envíe un correo electrónico a </w:t>
      </w:r>
      <w:hyperlink r:id="rId12">
        <w:r>
          <w:rPr>
            <w:color w:val="005594"/>
            <w:w w:val="80"/>
            <w:u w:val="single"/>
            <w:lang w:val="es-ES_tradnl"/>
          </w:rPr>
          <w:t>OSH.OmbudsandFamilyServices@odhsoha.oregon.gov</w:t>
        </w:r>
      </w:hyperlink>
      <w:r>
        <w:rPr>
          <w:color w:val="231F20"/>
          <w:w w:val="80"/>
          <w:lang w:val="es-ES_tradnl"/>
        </w:rPr>
        <w:t>.</w:t>
      </w:r>
    </w:p>
    <w:p>
      <w:pPr>
        <w:pStyle w:val="BodyText"/>
        <w:rPr>
          <w:sz w:val="20"/>
        </w:rPr>
      </w:pPr>
    </w:p>
    <w:p>
      <w:pPr>
        <w:pStyle w:val="BodyText"/>
        <w:spacing w:line="249" w:lineRule="auto"/>
        <w:ind w:left="120" w:right="944"/>
      </w:pPr>
      <w:r>
        <w:rPr>
          <w:color w:val="231F20"/>
          <w:w w:val="85"/>
          <w:lang w:val="es-ES_tradnl"/>
        </w:rPr>
        <w:t xml:space="preserve">Puede obtener este documento en otros idiomas, en letra grande, en braille o en el formato de su preferencia. Comuníquese con los servicios de interpretación del </w:t>
      </w:r>
      <w:proofErr w:type="spellStart"/>
      <w:r>
        <w:rPr>
          <w:color w:val="231F20"/>
          <w:w w:val="85"/>
          <w:lang w:val="es-ES_tradnl"/>
        </w:rPr>
        <w:t>Oregon</w:t>
      </w:r>
      <w:proofErr w:type="spellEnd"/>
      <w:r>
        <w:rPr>
          <w:color w:val="231F20"/>
          <w:w w:val="85"/>
          <w:lang w:val="es-ES_tradnl"/>
        </w:rPr>
        <w:t xml:space="preserve"> </w:t>
      </w:r>
      <w:proofErr w:type="spellStart"/>
      <w:r>
        <w:rPr>
          <w:color w:val="231F20"/>
          <w:w w:val="85"/>
          <w:lang w:val="es-ES_tradnl"/>
        </w:rPr>
        <w:t>State</w:t>
      </w:r>
      <w:proofErr w:type="spellEnd"/>
      <w:r>
        <w:rPr>
          <w:color w:val="231F20"/>
          <w:w w:val="85"/>
          <w:lang w:val="es-ES_tradnl"/>
        </w:rPr>
        <w:t xml:space="preserve"> Hospital al 503-756-7889 o envíe un correo electrónico a </w:t>
      </w:r>
      <w:hyperlink r:id="rId13">
        <w:r>
          <w:rPr>
            <w:color w:val="231F20"/>
            <w:w w:val="85"/>
            <w:u w:val="single"/>
            <w:lang w:val="es-ES_tradnl"/>
          </w:rPr>
          <w:t>osh.interpreterservices@odhsoha.oregon.gov</w:t>
        </w:r>
      </w:hyperlink>
      <w:r>
        <w:rPr>
          <w:color w:val="231F20"/>
          <w:w w:val="85"/>
          <w:lang w:val="es-ES_tradnl"/>
        </w:rPr>
        <w:t>. Aceptamos todas las llamadas por servicio de retransmisión o puede marcar el 711.</w:t>
      </w:r>
    </w:p>
    <w:sectPr>
      <w:headerReference w:type="default" r:id="rId14"/>
      <w:footerReference w:type="default" r:id="rId15"/>
      <w:pgSz w:w="12240" w:h="15840"/>
      <w:pgMar w:top="1140" w:right="600" w:bottom="900" w:left="600" w:header="62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rPr>
        <w:sz w:val="20"/>
      </w:rPr>
    </w:pPr>
    <w:r>
      <w:pict>
        <v:shapetype id="_x0000_t202" coordsize="21600,21600" o:spt="202" path="m,l,21600r21600,l21600,xe">
          <v:stroke joinstyle="miter"/>
          <v:path gradientshapeok="t" o:connecttype="rect"/>
        </v:shapetype>
        <v:shape id="docshape13" o:spid="_x0000_s2049" type="#_x0000_t202" style="position:absolute;margin-left:37.4pt;margin-top:745.65pt;width:102.4pt;height:16.25pt;z-index:-251658752;mso-position-horizontal-relative:page;mso-position-vertical-relative:page" filled="f" stroked="f">
          <v:textbox inset="0,0,0,0">
            <w:txbxContent>
              <w:p>
                <w:pPr>
                  <w:spacing w:before="20"/>
                  <w:ind w:left="20"/>
                  <w:rPr>
                    <w:sz w:val="20"/>
                  </w:rPr>
                </w:pPr>
                <w:r>
                  <w:rPr>
                    <w:color w:val="005695"/>
                    <w:w w:val="80"/>
                    <w:sz w:val="20"/>
                    <w:szCs w:val="20"/>
                    <w:lang w:val="es-ES_tradnl"/>
                  </w:rPr>
                  <w:t xml:space="preserve">Página </w:t>
                </w:r>
                <w:r>
                  <w:rPr>
                    <w:color w:val="005695"/>
                    <w:w w:val="80"/>
                    <w:sz w:val="20"/>
                  </w:rPr>
                  <w:fldChar w:fldCharType="begin"/>
                </w:r>
                <w:r>
                  <w:rPr>
                    <w:color w:val="005695"/>
                    <w:w w:val="80"/>
                    <w:sz w:val="20"/>
                  </w:rPr>
                  <w:instrText xml:space="preserve"> PAGE </w:instrText>
                </w:r>
                <w:r>
                  <w:rPr>
                    <w:color w:val="005695"/>
                    <w:w w:val="80"/>
                    <w:sz w:val="20"/>
                  </w:rPr>
                  <w:fldChar w:fldCharType="separate"/>
                </w:r>
                <w:r>
                  <w:rPr>
                    <w:noProof/>
                    <w:color w:val="005695"/>
                    <w:w w:val="80"/>
                    <w:sz w:val="20"/>
                  </w:rPr>
                  <w:t>2</w:t>
                </w:r>
                <w:r>
                  <w:rPr>
                    <w:color w:val="005695"/>
                    <w:w w:val="80"/>
                    <w:sz w:val="20"/>
                  </w:rPr>
                  <w:fldChar w:fldCharType="end"/>
                </w:r>
                <w:r>
                  <w:rPr>
                    <w:color w:val="005695"/>
                    <w:w w:val="80"/>
                    <w:sz w:val="20"/>
                    <w:szCs w:val="20"/>
                    <w:lang w:val="es-ES_tradnl"/>
                  </w:rPr>
                  <w:t xml:space="preserve"> de 3</w:t>
                </w:r>
              </w:p>
            </w:txbxContent>
          </v:textbox>
          <w10:wrap anchorx="page" anchory="page"/>
        </v:shape>
      </w:pict>
    </w:r>
    <w:r>
      <w:pict>
        <v:shape id="docshape14" o:spid="_x0000_s2050" type="#_x0000_t202" style="position:absolute;margin-left:505.5pt;margin-top:745.65pt;width:71.55pt;height:13.55pt;z-index:-251657728;mso-position-horizontal-relative:page;mso-position-vertical-relative:page" filled="f" stroked="f">
          <v:textbox inset="0,0,0,0">
            <w:txbxContent>
              <w:p>
                <w:pPr>
                  <w:spacing w:before="20"/>
                  <w:ind w:left="20"/>
                  <w:rPr>
                    <w:sz w:val="20"/>
                  </w:rPr>
                </w:pPr>
                <w:r>
                  <w:rPr>
                    <w:color w:val="005695"/>
                    <w:w w:val="80"/>
                    <w:sz w:val="20"/>
                    <w:szCs w:val="20"/>
                    <w:lang w:val="es-ES_tradnl"/>
                  </w:rPr>
                  <w:t>25 de julio de 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rPr>
        <w:sz w:val="20"/>
      </w:rPr>
    </w:pPr>
    <w:r>
      <w:rPr>
        <w:noProof/>
        <w:lang w:val="en-US"/>
      </w:rPr>
      <w:drawing>
        <wp:anchor distT="0" distB="0" distL="0" distR="0" simplePos="0" relativeHeight="251658240" behindDoc="1" locked="0" layoutInCell="1" allowOverlap="1">
          <wp:simplePos x="0" y="0"/>
          <wp:positionH relativeFrom="page">
            <wp:posOffset>456653</wp:posOffset>
          </wp:positionH>
          <wp:positionV relativeFrom="page">
            <wp:posOffset>397243</wp:posOffset>
          </wp:positionV>
          <wp:extent cx="6854288" cy="26958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 cstate="print"/>
                  <a:stretch>
                    <a:fillRect/>
                  </a:stretch>
                </pic:blipFill>
                <pic:spPr>
                  <a:xfrm>
                    <a:off x="0" y="0"/>
                    <a:ext cx="6854288" cy="2695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5E1A"/>
    <w:multiLevelType w:val="hybridMultilevel"/>
    <w:tmpl w:val="B5B44E7A"/>
    <w:lvl w:ilvl="0" w:tplc="7D269D30">
      <w:numFmt w:val="bullet"/>
      <w:lvlText w:val="•"/>
      <w:lvlJc w:val="left"/>
      <w:pPr>
        <w:ind w:left="600" w:hanging="360"/>
      </w:pPr>
      <w:rPr>
        <w:rFonts w:ascii="Arial" w:eastAsia="Arial" w:hAnsi="Arial" w:cs="Arial" w:hint="default"/>
        <w:b w:val="0"/>
        <w:bCs w:val="0"/>
        <w:i w:val="0"/>
        <w:iCs w:val="0"/>
        <w:color w:val="231F20"/>
        <w:w w:val="142"/>
        <w:sz w:val="28"/>
        <w:szCs w:val="28"/>
        <w:lang w:val="en-US" w:eastAsia="en-US" w:bidi="ar-SA"/>
      </w:rPr>
    </w:lvl>
    <w:lvl w:ilvl="1" w:tplc="AE2C5918">
      <w:numFmt w:val="bullet"/>
      <w:lvlText w:val="•"/>
      <w:lvlJc w:val="left"/>
      <w:pPr>
        <w:ind w:left="1644" w:hanging="360"/>
      </w:pPr>
      <w:rPr>
        <w:rFonts w:hint="default"/>
        <w:lang w:val="en-US" w:eastAsia="en-US" w:bidi="ar-SA"/>
      </w:rPr>
    </w:lvl>
    <w:lvl w:ilvl="2" w:tplc="463A7E1E">
      <w:numFmt w:val="bullet"/>
      <w:lvlText w:val="•"/>
      <w:lvlJc w:val="left"/>
      <w:pPr>
        <w:ind w:left="2688" w:hanging="360"/>
      </w:pPr>
      <w:rPr>
        <w:rFonts w:hint="default"/>
        <w:lang w:val="en-US" w:eastAsia="en-US" w:bidi="ar-SA"/>
      </w:rPr>
    </w:lvl>
    <w:lvl w:ilvl="3" w:tplc="DD720446">
      <w:numFmt w:val="bullet"/>
      <w:lvlText w:val="•"/>
      <w:lvlJc w:val="left"/>
      <w:pPr>
        <w:ind w:left="3732" w:hanging="360"/>
      </w:pPr>
      <w:rPr>
        <w:rFonts w:hint="default"/>
        <w:lang w:val="en-US" w:eastAsia="en-US" w:bidi="ar-SA"/>
      </w:rPr>
    </w:lvl>
    <w:lvl w:ilvl="4" w:tplc="4A92561C">
      <w:numFmt w:val="bullet"/>
      <w:lvlText w:val="•"/>
      <w:lvlJc w:val="left"/>
      <w:pPr>
        <w:ind w:left="4776" w:hanging="360"/>
      </w:pPr>
      <w:rPr>
        <w:rFonts w:hint="default"/>
        <w:lang w:val="en-US" w:eastAsia="en-US" w:bidi="ar-SA"/>
      </w:rPr>
    </w:lvl>
    <w:lvl w:ilvl="5" w:tplc="DAA0B336">
      <w:numFmt w:val="bullet"/>
      <w:lvlText w:val="•"/>
      <w:lvlJc w:val="left"/>
      <w:pPr>
        <w:ind w:left="5820" w:hanging="360"/>
      </w:pPr>
      <w:rPr>
        <w:rFonts w:hint="default"/>
        <w:lang w:val="en-US" w:eastAsia="en-US" w:bidi="ar-SA"/>
      </w:rPr>
    </w:lvl>
    <w:lvl w:ilvl="6" w:tplc="C96E092A">
      <w:numFmt w:val="bullet"/>
      <w:lvlText w:val="•"/>
      <w:lvlJc w:val="left"/>
      <w:pPr>
        <w:ind w:left="6864" w:hanging="360"/>
      </w:pPr>
      <w:rPr>
        <w:rFonts w:hint="default"/>
        <w:lang w:val="en-US" w:eastAsia="en-US" w:bidi="ar-SA"/>
      </w:rPr>
    </w:lvl>
    <w:lvl w:ilvl="7" w:tplc="E2E296A4">
      <w:numFmt w:val="bullet"/>
      <w:lvlText w:val="•"/>
      <w:lvlJc w:val="left"/>
      <w:pPr>
        <w:ind w:left="7908" w:hanging="360"/>
      </w:pPr>
      <w:rPr>
        <w:rFonts w:hint="default"/>
        <w:lang w:val="en-US" w:eastAsia="en-US" w:bidi="ar-SA"/>
      </w:rPr>
    </w:lvl>
    <w:lvl w:ilvl="8" w:tplc="79E4A2E8">
      <w:numFmt w:val="bullet"/>
      <w:lvlText w:val="•"/>
      <w:lvlJc w:val="left"/>
      <w:pPr>
        <w:ind w:left="8952" w:hanging="360"/>
      </w:pPr>
      <w:rPr>
        <w:rFonts w:hint="default"/>
        <w:lang w:val="en-US" w:eastAsia="en-US" w:bidi="ar-SA"/>
      </w:rPr>
    </w:lvl>
  </w:abstractNum>
  <w:abstractNum w:abstractNumId="1" w15:restartNumberingAfterBreak="0">
    <w:nsid w:val="722D731D"/>
    <w:multiLevelType w:val="hybridMultilevel"/>
    <w:tmpl w:val="E94C9C26"/>
    <w:lvl w:ilvl="0" w:tplc="5D725DEE">
      <w:numFmt w:val="bullet"/>
      <w:lvlText w:val="•"/>
      <w:lvlJc w:val="left"/>
      <w:pPr>
        <w:ind w:left="480" w:hanging="360"/>
      </w:pPr>
      <w:rPr>
        <w:rFonts w:ascii="Arial" w:eastAsia="Arial" w:hAnsi="Arial" w:cs="Arial" w:hint="default"/>
        <w:b w:val="0"/>
        <w:bCs w:val="0"/>
        <w:i w:val="0"/>
        <w:iCs w:val="0"/>
        <w:color w:val="231F20"/>
        <w:w w:val="142"/>
        <w:sz w:val="28"/>
        <w:szCs w:val="28"/>
        <w:lang w:val="en-US" w:eastAsia="en-US" w:bidi="ar-SA"/>
      </w:rPr>
    </w:lvl>
    <w:lvl w:ilvl="1" w:tplc="05FE629A">
      <w:numFmt w:val="bullet"/>
      <w:lvlText w:val="•"/>
      <w:lvlJc w:val="left"/>
      <w:pPr>
        <w:ind w:left="790" w:hanging="360"/>
      </w:pPr>
      <w:rPr>
        <w:rFonts w:hint="default"/>
        <w:lang w:val="en-US" w:eastAsia="en-US" w:bidi="ar-SA"/>
      </w:rPr>
    </w:lvl>
    <w:lvl w:ilvl="2" w:tplc="04440CFE">
      <w:numFmt w:val="bullet"/>
      <w:lvlText w:val="•"/>
      <w:lvlJc w:val="left"/>
      <w:pPr>
        <w:ind w:left="1100" w:hanging="360"/>
      </w:pPr>
      <w:rPr>
        <w:rFonts w:hint="default"/>
        <w:lang w:val="en-US" w:eastAsia="en-US" w:bidi="ar-SA"/>
      </w:rPr>
    </w:lvl>
    <w:lvl w:ilvl="3" w:tplc="A7AACA16">
      <w:numFmt w:val="bullet"/>
      <w:lvlText w:val="•"/>
      <w:lvlJc w:val="left"/>
      <w:pPr>
        <w:ind w:left="1410" w:hanging="360"/>
      </w:pPr>
      <w:rPr>
        <w:rFonts w:hint="default"/>
        <w:lang w:val="en-US" w:eastAsia="en-US" w:bidi="ar-SA"/>
      </w:rPr>
    </w:lvl>
    <w:lvl w:ilvl="4" w:tplc="36B2A906">
      <w:numFmt w:val="bullet"/>
      <w:lvlText w:val="•"/>
      <w:lvlJc w:val="left"/>
      <w:pPr>
        <w:ind w:left="1720" w:hanging="360"/>
      </w:pPr>
      <w:rPr>
        <w:rFonts w:hint="default"/>
        <w:lang w:val="en-US" w:eastAsia="en-US" w:bidi="ar-SA"/>
      </w:rPr>
    </w:lvl>
    <w:lvl w:ilvl="5" w:tplc="F504369E">
      <w:numFmt w:val="bullet"/>
      <w:lvlText w:val="•"/>
      <w:lvlJc w:val="left"/>
      <w:pPr>
        <w:ind w:left="2031" w:hanging="360"/>
      </w:pPr>
      <w:rPr>
        <w:rFonts w:hint="default"/>
        <w:lang w:val="en-US" w:eastAsia="en-US" w:bidi="ar-SA"/>
      </w:rPr>
    </w:lvl>
    <w:lvl w:ilvl="6" w:tplc="C83EAE6E">
      <w:numFmt w:val="bullet"/>
      <w:lvlText w:val="•"/>
      <w:lvlJc w:val="left"/>
      <w:pPr>
        <w:ind w:left="2341" w:hanging="360"/>
      </w:pPr>
      <w:rPr>
        <w:rFonts w:hint="default"/>
        <w:lang w:val="en-US" w:eastAsia="en-US" w:bidi="ar-SA"/>
      </w:rPr>
    </w:lvl>
    <w:lvl w:ilvl="7" w:tplc="1EEE0A36">
      <w:numFmt w:val="bullet"/>
      <w:lvlText w:val="•"/>
      <w:lvlJc w:val="left"/>
      <w:pPr>
        <w:ind w:left="2651" w:hanging="360"/>
      </w:pPr>
      <w:rPr>
        <w:rFonts w:hint="default"/>
        <w:lang w:val="en-US" w:eastAsia="en-US" w:bidi="ar-SA"/>
      </w:rPr>
    </w:lvl>
    <w:lvl w:ilvl="8" w:tplc="FD3699BE">
      <w:numFmt w:val="bullet"/>
      <w:lvlText w:val="•"/>
      <w:lvlJc w:val="left"/>
      <w:pPr>
        <w:ind w:left="2961"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EA658B8-B144-4A9F-94AC-41A97E8F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US"/>
    </w:rPr>
  </w:style>
  <w:style w:type="paragraph" w:styleId="Heading1">
    <w:name w:val="heading 1"/>
    <w:basedOn w:val="Normal"/>
    <w:uiPriority w:val="9"/>
    <w:qFormat/>
    <w:pPr>
      <w:spacing w:before="113"/>
      <w:ind w:left="120"/>
      <w:outlineLvl w:val="0"/>
    </w:pPr>
    <w:rPr>
      <w:b/>
      <w:bCs/>
      <w:sz w:val="32"/>
      <w:szCs w:val="32"/>
    </w:rPr>
  </w:style>
  <w:style w:type="paragraph" w:styleId="Heading2">
    <w:name w:val="heading 2"/>
    <w:basedOn w:val="Normal"/>
    <w:uiPriority w:val="9"/>
    <w:unhideWhenUsed/>
    <w:qFormat/>
    <w:pPr>
      <w:spacing w:before="1"/>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74"/>
      <w:ind w:left="600" w:hanging="360"/>
    </w:pPr>
  </w:style>
  <w:style w:type="paragraph" w:customStyle="1" w:styleId="TableParagraph">
    <w:name w:val="Table Paragraph"/>
    <w:basedOn w:val="Normal"/>
    <w:uiPriority w:val="1"/>
    <w:qFormat/>
    <w:pPr>
      <w:spacing w:before="7" w:line="313" w:lineRule="exact"/>
      <w:ind w:left="80"/>
    </w:pPr>
  </w:style>
  <w:style w:type="paragraph" w:styleId="Header">
    <w:name w:val="header"/>
    <w:basedOn w:val="Normal"/>
    <w:link w:val="HeaderChar"/>
    <w:uiPriority w:val="99"/>
    <w:unhideWhenUsed/>
    <w:pPr>
      <w:tabs>
        <w:tab w:val="center" w:pos="4419"/>
        <w:tab w:val="right" w:pos="8838"/>
      </w:tabs>
    </w:pPr>
  </w:style>
  <w:style w:type="character" w:customStyle="1" w:styleId="HeaderChar">
    <w:name w:val="Header Char"/>
    <w:basedOn w:val="DefaultParagraphFont"/>
    <w:link w:val="Header"/>
    <w:uiPriority w:val="99"/>
    <w:rPr>
      <w:rFonts w:ascii="Arial" w:eastAsia="Arial" w:hAnsi="Arial" w:cs="Arial"/>
      <w:lang w:val="es-US"/>
    </w:rPr>
  </w:style>
  <w:style w:type="paragraph" w:styleId="Footer">
    <w:name w:val="footer"/>
    <w:basedOn w:val="Normal"/>
    <w:link w:val="FooterChar"/>
    <w:uiPriority w:val="99"/>
    <w:unhideWhenUsed/>
    <w:pPr>
      <w:tabs>
        <w:tab w:val="center" w:pos="4419"/>
        <w:tab w:val="right" w:pos="8838"/>
      </w:tabs>
    </w:pPr>
  </w:style>
  <w:style w:type="character" w:customStyle="1" w:styleId="FooterChar">
    <w:name w:val="Footer Char"/>
    <w:basedOn w:val="DefaultParagraphFont"/>
    <w:link w:val="Footer"/>
    <w:uiPriority w:val="99"/>
    <w:rPr>
      <w:rFonts w:ascii="Arial" w:eastAsia="Arial" w:hAnsi="Arial" w:cs="Arial"/>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osh.interpreterservices@odhsoha.oregon.gov"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SH.OmbudsandFamilyServices@odhsoha.oregon.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HFriend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oshfriends.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OSHFriend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1347F9C4554B87BD89737112C6DB" ma:contentTypeVersion="24" ma:contentTypeDescription="Create a new document." ma:contentTypeScope="" ma:versionID="dd20b026e904f0a7141508733f44e2e8">
  <xsd:schema xmlns:xsd="http://www.w3.org/2001/XMLSchema" xmlns:xs="http://www.w3.org/2001/XMLSchema" xmlns:p="http://schemas.microsoft.com/office/2006/metadata/properties" xmlns:ns1="http://schemas.microsoft.com/sharepoint/v3" xmlns:ns2="cc1e8c1e-c864-4a9c-830b-47e1ec05dc11" xmlns:ns3="59da1016-2a1b-4f8a-9768-d7a4932f6f16" targetNamespace="http://schemas.microsoft.com/office/2006/metadata/properties" ma:root="true" ma:fieldsID="a6ec817d9babf25495626550a3d54521" ns1:_="" ns2:_="" ns3:_="">
    <xsd:import namespace="http://schemas.microsoft.com/sharepoint/v3"/>
    <xsd:import namespace="cc1e8c1e-c864-4a9c-830b-47e1ec05dc11"/>
    <xsd:import namespace="59da1016-2a1b-4f8a-9768-d7a4932f6f16"/>
    <xsd:element name="properties">
      <xsd:complexType>
        <xsd:sequence>
          <xsd:element name="documentManagement">
            <xsd:complexType>
              <xsd:all>
                <xsd:element ref="ns2:Category"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PublishingStartDate" minOccurs="0"/>
                <xsd:element ref="ns1:PublishingExpirationDate" minOccurs="0"/>
                <xsd:element ref="ns1: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1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1e8c1e-c864-4a9c-830b-47e1ec05dc11" elementFormDefault="qualified">
    <xsd:import namespace="http://schemas.microsoft.com/office/2006/documentManagement/types"/>
    <xsd:import namespace="http://schemas.microsoft.com/office/infopath/2007/PartnerControls"/>
    <xsd:element name="Category" ma:index="2" nillable="true" ma:displayName="Category" ma:default="-" ma:format="Dropdown" ma:internalName="Category" ma:readOnly="false">
      <xsd:simpleType>
        <xsd:restriction base="dms:Choice">
          <xsd:enumeration value="Forms"/>
          <xsd:enumeration value="News"/>
          <xsd:enumeration value="Policies &amp; Procedures"/>
          <xsd:enumeration value="-"/>
        </xsd:restriction>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Keywords xmlns="cc1e8c1e-c864-4a9c-830b-47e1ec05dc11" xsi:nil="true"/>
    <URL xmlns="http://schemas.microsoft.com/sharepoint/v3">
      <Url>https://www.oregon.gov/oha/OSH/FRIENDS/Documents/Adult-Visitor-Application 8-2024_SP.docx</Url>
      <Description>Adult-Visitor-Application 8-2024_SP.docx</Description>
    </URL>
    <Category xmlns="cc1e8c1e-c864-4a9c-830b-47e1ec05dc11">-</Category>
    <PublishingExpirationDate xmlns="http://schemas.microsoft.com/sharepoint/v3" xsi:nil="true"/>
    <Meta_x0020_Description xmlns="cc1e8c1e-c864-4a9c-830b-47e1ec05dc11" xsi:nil="true"/>
    <PublishingStartDate xmlns="http://schemas.microsoft.com/sharepoint/v3" xsi:nil="true"/>
  </documentManagement>
</p:properties>
</file>

<file path=customXml/itemProps1.xml><?xml version="1.0" encoding="utf-8"?>
<ds:datastoreItem xmlns:ds="http://schemas.openxmlformats.org/officeDocument/2006/customXml" ds:itemID="{2E30DF48-BF05-4FD5-BC82-4A30AA8809CA}"/>
</file>

<file path=customXml/itemProps2.xml><?xml version="1.0" encoding="utf-8"?>
<ds:datastoreItem xmlns:ds="http://schemas.openxmlformats.org/officeDocument/2006/customXml" ds:itemID="{8CAAF217-03E4-4034-9489-42FF131FCCF8}"/>
</file>

<file path=customXml/itemProps3.xml><?xml version="1.0" encoding="utf-8"?>
<ds:datastoreItem xmlns:ds="http://schemas.openxmlformats.org/officeDocument/2006/customXml" ds:itemID="{DDC51218-D9B1-4493-ABC1-BDAD2C92AD52}"/>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Wright</cp:lastModifiedBy>
  <cp:revision>6</cp:revision>
  <dcterms:created xsi:type="dcterms:W3CDTF">2025-05-12T17:06:00Z</dcterms:created>
  <dcterms:modified xsi:type="dcterms:W3CDTF">2025-05-16T17:37:00Z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Adobe InDesign 19.5 (Windows)</vt:lpwstr>
  </property>
  <property fmtid="{D5CDD505-2E9C-101B-9397-08002B2CF9AE}" pid="4" name="LastSaved">
    <vt:filetime>2025-05-12T00:00:00Z</vt:filetime>
  </property>
  <property fmtid="{D5CDD505-2E9C-101B-9397-08002B2CF9AE}" pid="5" name="Producer">
    <vt:lpwstr>Adobe PDF Library 17.0</vt:lpwstr>
  </property>
  <property fmtid="{D5CDD505-2E9C-101B-9397-08002B2CF9AE}" pid="6" name="ContentTypeId">
    <vt:lpwstr>0x010100FC831347F9C4554B87BD89737112C6DB</vt:lpwstr>
  </property>
  <property fmtid="{D5CDD505-2E9C-101B-9397-08002B2CF9AE}" pid="7" name="WorkflowChangePath">
    <vt:lpwstr>9df87f6c-ac31-4f63-bdc2-febb7c621749,2;</vt:lpwstr>
  </property>
</Properties>
</file>