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odyText"/>
        <w:spacing w:before="3"/>
        <w:rPr>
          <w:sz w:val="20"/>
        </w:rPr>
      </w:pPr>
    </w:p>
    <w:p>
      <w:pPr>
        <w:spacing w:before="106" w:line="285" w:lineRule="auto"/>
        <w:ind w:left="3816" w:right="3814"/>
        <w:jc w:val="center"/>
        <w:rPr>
          <w:rFonts w:eastAsiaTheme="minorEastAsia"/>
          <w:b/>
          <w:bCs/>
          <w:color w:val="231F20"/>
          <w:w w:val="85"/>
          <w:sz w:val="36"/>
          <w:szCs w:val="36"/>
          <w:lang w:eastAsia="zh-TW"/>
        </w:rPr>
      </w:pPr>
      <w:r>
        <w:rPr>
          <w:noProof/>
        </w:rPr>
        <w:drawing>
          <wp:anchor distT="0" distB="0" distL="0" distR="0" simplePos="0" relativeHeight="251658240" behindDoc="0" locked="0" layoutInCell="1" allowOverlap="1">
            <wp:simplePos x="0" y="0"/>
            <wp:positionH relativeFrom="page">
              <wp:posOffset>6202674</wp:posOffset>
            </wp:positionH>
            <wp:positionV relativeFrom="paragraph">
              <wp:posOffset>-142644</wp:posOffset>
            </wp:positionV>
            <wp:extent cx="1112520" cy="902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112520" cy="902915"/>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457196</wp:posOffset>
            </wp:positionH>
            <wp:positionV relativeFrom="paragraph">
              <wp:posOffset>118522</wp:posOffset>
            </wp:positionV>
            <wp:extent cx="1626696" cy="60959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tretch>
                      <a:fillRect/>
                    </a:stretch>
                  </pic:blipFill>
                  <pic:spPr>
                    <a:xfrm>
                      <a:off x="0" y="0"/>
                      <a:ext cx="1626696" cy="609594"/>
                    </a:xfrm>
                    <a:prstGeom prst="rect">
                      <a:avLst/>
                    </a:prstGeom>
                  </pic:spPr>
                </pic:pic>
              </a:graphicData>
            </a:graphic>
          </wp:anchor>
        </w:drawing>
      </w:r>
      <w:bookmarkStart w:id="0" w:name="Adult-Visitor-Application-OHA8900-fillab"/>
      <w:bookmarkEnd w:id="0"/>
      <w:r>
        <w:rPr>
          <w:rFonts w:eastAsia="PMingLiU"/>
          <w:b/>
          <w:bCs/>
          <w:color w:val="231F20"/>
          <w:w w:val="85"/>
          <w:sz w:val="36"/>
          <w:szCs w:val="36"/>
          <w:lang w:eastAsia="zh-HK"/>
        </w:rPr>
        <w:t>俄勒岡州立醫院</w:t>
      </w:r>
    </w:p>
    <w:p>
      <w:pPr>
        <w:spacing w:before="106" w:line="285" w:lineRule="auto"/>
        <w:ind w:left="3816" w:right="3814"/>
        <w:jc w:val="center"/>
        <w:rPr>
          <w:b/>
          <w:sz w:val="36"/>
          <w:lang w:eastAsia="zh-TW"/>
        </w:rPr>
      </w:pPr>
      <w:r>
        <w:rPr>
          <w:rFonts w:eastAsia="PMingLiU"/>
          <w:b/>
          <w:bCs/>
          <w:color w:val="231F20"/>
          <w:w w:val="85"/>
          <w:sz w:val="36"/>
          <w:szCs w:val="36"/>
          <w:lang w:eastAsia="zh-HK"/>
        </w:rPr>
        <w:t>成年人探訪病人申請表</w:t>
      </w:r>
    </w:p>
    <w:p>
      <w:pPr>
        <w:pStyle w:val="BodyText"/>
        <w:spacing w:before="1"/>
        <w:rPr>
          <w:b/>
          <w:sz w:val="20"/>
          <w:lang w:eastAsia="zh-TW"/>
        </w:rPr>
      </w:pPr>
      <w:r>
        <w:pict>
          <v:shape id="docshape1" o:spid="_x0000_s2072" style="position:absolute;margin-left:36pt;margin-top:12.8pt;width:540pt;height:.1pt;z-index:-251653120;mso-wrap-distance-left:0;mso-wrap-distance-right:0;mso-position-horizontal-relative:page" coordorigin="720,256" coordsize="10800,0" path="m720,256r10800,e" filled="f" strokecolor="#231f20" strokeweight="2pt">
            <v:path arrowok="t"/>
            <w10:wrap type="topAndBottom" anchorx="page"/>
          </v:shape>
        </w:pict>
      </w:r>
    </w:p>
    <w:p>
      <w:pPr>
        <w:pStyle w:val="BodyText"/>
        <w:spacing w:before="17" w:line="249" w:lineRule="auto"/>
        <w:ind w:left="120" w:right="80"/>
        <w:rPr>
          <w:lang w:eastAsia="zh-TW"/>
        </w:rPr>
      </w:pPr>
      <w:r>
        <w:rPr>
          <w:rFonts w:eastAsia="PMingLiU"/>
          <w:b/>
          <w:bCs/>
          <w:color w:val="231F20"/>
          <w:w w:val="85"/>
          <w:lang w:eastAsia="zh-HK"/>
        </w:rPr>
        <w:t>指示：</w:t>
      </w:r>
      <w:r>
        <w:rPr>
          <w:rFonts w:eastAsia="PMingLiU"/>
          <w:color w:val="231F20"/>
          <w:w w:val="85"/>
          <w:lang w:eastAsia="zh-HK"/>
        </w:rPr>
        <w:t>請以您的個人資料填寫本申請表。資料漏填或字跡難辨有可能導致申請流程延誤。本表包含您的個人資料。將本表透過電郵提交會存在一定風險，有可能遭到非電郵收件人的攔截。如果您不能發送有安全保障的電郵，不妨考慮使用普通郵寄或傳真。</w:t>
      </w:r>
    </w:p>
    <w:p>
      <w:pPr>
        <w:pStyle w:val="Heading2"/>
        <w:spacing w:before="62"/>
      </w:pPr>
      <w:r>
        <w:rPr>
          <w:rFonts w:eastAsia="PMingLiU"/>
          <w:color w:val="231F20"/>
          <w:w w:val="80"/>
          <w:lang w:eastAsia="zh-HK"/>
        </w:rPr>
        <w:t>提交您的申請：</w:t>
      </w:r>
    </w:p>
    <w:p>
      <w:pPr>
        <w:sectPr>
          <w:type w:val="continuous"/>
          <w:pgSz w:w="12240" w:h="15840"/>
          <w:pgMar w:top="300" w:right="600" w:bottom="0" w:left="600" w:header="720" w:footer="720" w:gutter="0"/>
          <w:cols w:space="720"/>
        </w:sectPr>
      </w:pPr>
    </w:p>
    <w:p>
      <w:pPr>
        <w:pStyle w:val="ListParagraph"/>
        <w:numPr>
          <w:ilvl w:val="0"/>
          <w:numId w:val="2"/>
        </w:numPr>
        <w:tabs>
          <w:tab w:val="left" w:pos="479"/>
          <w:tab w:val="left" w:pos="480"/>
        </w:tabs>
        <w:spacing w:before="15" w:line="249" w:lineRule="auto"/>
        <w:ind w:right="488"/>
        <w:rPr>
          <w:sz w:val="28"/>
          <w:lang w:eastAsia="zh-TW"/>
        </w:rPr>
      </w:pPr>
      <w:r>
        <w:rPr>
          <w:rFonts w:eastAsia="PMingLiU"/>
          <w:color w:val="231F20"/>
          <w:w w:val="85"/>
          <w:sz w:val="28"/>
          <w:szCs w:val="28"/>
          <w:lang w:eastAsia="zh-HK"/>
        </w:rPr>
        <w:t>親自遞交給任一校區的接待處職員</w:t>
      </w:r>
    </w:p>
    <w:p>
      <w:pPr>
        <w:pStyle w:val="ListParagraph"/>
        <w:numPr>
          <w:ilvl w:val="0"/>
          <w:numId w:val="2"/>
        </w:numPr>
        <w:tabs>
          <w:tab w:val="left" w:pos="479"/>
          <w:tab w:val="left" w:pos="480"/>
        </w:tabs>
        <w:spacing w:before="62" w:line="249" w:lineRule="auto"/>
        <w:ind w:right="-103"/>
        <w:rPr>
          <w:sz w:val="28"/>
        </w:rPr>
      </w:pPr>
      <w:r>
        <w:rPr>
          <w:rFonts w:eastAsia="PMingLiU"/>
          <w:color w:val="231F20"/>
          <w:w w:val="90"/>
          <w:sz w:val="28"/>
          <w:szCs w:val="28"/>
          <w:lang w:eastAsia="zh-HK"/>
        </w:rPr>
        <w:t>傳真</w:t>
      </w:r>
      <w:r>
        <w:rPr>
          <w:rFonts w:eastAsia="PMingLiU"/>
          <w:color w:val="231F20"/>
          <w:w w:val="90"/>
          <w:sz w:val="28"/>
          <w:szCs w:val="28"/>
          <w:lang w:eastAsia="zh-HK"/>
        </w:rPr>
        <w:t xml:space="preserve"> Salem</w:t>
      </w:r>
      <w:r>
        <w:rPr>
          <w:rFonts w:eastAsia="PMingLiU"/>
          <w:color w:val="231F20"/>
          <w:w w:val="90"/>
          <w:sz w:val="28"/>
          <w:szCs w:val="28"/>
          <w:lang w:eastAsia="zh-HK"/>
        </w:rPr>
        <w:t>：</w:t>
      </w:r>
      <w:r>
        <w:rPr>
          <w:rFonts w:eastAsia="PMingLiU"/>
          <w:color w:val="231F20"/>
          <w:w w:val="90"/>
          <w:sz w:val="28"/>
          <w:szCs w:val="28"/>
          <w:lang w:eastAsia="zh-HK"/>
        </w:rPr>
        <w:t xml:space="preserve">503-945-2807 </w:t>
      </w:r>
      <w:r>
        <w:rPr>
          <w:color w:val="231F20"/>
          <w:w w:val="85"/>
          <w:sz w:val="28"/>
        </w:rPr>
        <w:t>Junction City</w:t>
      </w:r>
      <w:r>
        <w:rPr>
          <w:rFonts w:ascii="Microsoft YaHei" w:eastAsia="Microsoft YaHei" w:hAnsi="Microsoft YaHei" w:cs="Microsoft YaHei" w:hint="eastAsia"/>
          <w:color w:val="231F20"/>
          <w:w w:val="85"/>
          <w:sz w:val="28"/>
        </w:rPr>
        <w:t>：</w:t>
      </w:r>
      <w:r>
        <w:rPr>
          <w:color w:val="231F20"/>
          <w:w w:val="85"/>
          <w:sz w:val="28"/>
        </w:rPr>
        <w:t>541-465-3007</w:t>
      </w:r>
    </w:p>
    <w:p>
      <w:pPr>
        <w:pStyle w:val="ListParagraph"/>
        <w:numPr>
          <w:ilvl w:val="0"/>
          <w:numId w:val="2"/>
        </w:numPr>
        <w:tabs>
          <w:tab w:val="left" w:pos="479"/>
          <w:tab w:val="left" w:pos="480"/>
        </w:tabs>
        <w:spacing w:before="62"/>
        <w:rPr>
          <w:sz w:val="28"/>
        </w:rPr>
      </w:pPr>
      <w:r>
        <w:rPr>
          <w:rFonts w:eastAsia="PMingLiU"/>
          <w:color w:val="231F20"/>
          <w:w w:val="80"/>
          <w:sz w:val="28"/>
          <w:szCs w:val="28"/>
          <w:lang w:eastAsia="zh-HK"/>
        </w:rPr>
        <w:t>電郵發送填好的本表</w:t>
      </w:r>
    </w:p>
    <w:p>
      <w:pPr>
        <w:pStyle w:val="ListParagraph"/>
        <w:numPr>
          <w:ilvl w:val="0"/>
          <w:numId w:val="2"/>
        </w:numPr>
        <w:tabs>
          <w:tab w:val="left" w:pos="479"/>
          <w:tab w:val="left" w:pos="480"/>
        </w:tabs>
        <w:spacing w:before="15"/>
        <w:rPr>
          <w:sz w:val="28"/>
        </w:rPr>
      </w:pPr>
      <w:r>
        <w:rPr>
          <w:rFonts w:eastAsia="PMingLiU"/>
          <w:color w:val="231F20"/>
          <w:sz w:val="28"/>
          <w:szCs w:val="28"/>
          <w:lang w:eastAsia="zh-HK"/>
        </w:rPr>
        <w:br w:type="column"/>
      </w:r>
      <w:r>
        <w:rPr>
          <w:rFonts w:eastAsia="PMingLiU"/>
          <w:color w:val="231F20"/>
          <w:sz w:val="28"/>
          <w:szCs w:val="28"/>
          <w:lang w:eastAsia="zh-HK"/>
        </w:rPr>
        <w:t>郵寄至：</w:t>
      </w:r>
    </w:p>
    <w:p>
      <w:pPr>
        <w:pStyle w:val="Heading2"/>
        <w:spacing w:before="14"/>
        <w:ind w:left="480"/>
      </w:pPr>
      <w:r>
        <w:rPr>
          <w:rFonts w:eastAsia="PMingLiU"/>
          <w:color w:val="231F20"/>
          <w:w w:val="80"/>
          <w:u w:val="single" w:color="231F20"/>
          <w:lang w:eastAsia="zh-HK"/>
        </w:rPr>
        <w:t>Salem Patients</w:t>
      </w:r>
      <w:r>
        <w:rPr>
          <w:rFonts w:eastAsia="PMingLiU"/>
          <w:color w:val="231F20"/>
          <w:w w:val="80"/>
          <w:u w:color="231F20"/>
          <w:lang w:eastAsia="zh-HK"/>
        </w:rPr>
        <w:t>：</w:t>
      </w:r>
    </w:p>
    <w:p>
      <w:pPr>
        <w:pStyle w:val="BodyText"/>
        <w:spacing w:before="14"/>
        <w:ind w:left="480"/>
      </w:pPr>
      <w:r>
        <w:rPr>
          <w:rFonts w:eastAsia="PMingLiU"/>
          <w:color w:val="005594"/>
          <w:w w:val="75"/>
          <w:lang w:eastAsia="zh-HK"/>
        </w:rPr>
        <w:t>OSH RECEPTION</w:t>
      </w:r>
    </w:p>
    <w:p>
      <w:pPr>
        <w:pStyle w:val="BodyText"/>
        <w:spacing w:before="14" w:line="249" w:lineRule="auto"/>
        <w:ind w:left="480"/>
      </w:pPr>
      <w:r>
        <w:rPr>
          <w:rFonts w:eastAsia="PMingLiU"/>
          <w:color w:val="005594"/>
          <w:w w:val="80"/>
          <w:lang w:eastAsia="zh-HK"/>
        </w:rPr>
        <w:t>2600 Center Street NE Salem, Oregon 97301</w:t>
      </w:r>
    </w:p>
    <w:p>
      <w:pPr>
        <w:spacing w:before="5"/>
        <w:rPr>
          <w:sz w:val="30"/>
        </w:rPr>
      </w:pPr>
      <w:r>
        <w:br w:type="column"/>
      </w:r>
    </w:p>
    <w:p>
      <w:pPr>
        <w:pStyle w:val="Heading2"/>
      </w:pPr>
      <w:r>
        <w:rPr>
          <w:rFonts w:eastAsia="PMingLiU"/>
          <w:color w:val="231F20"/>
          <w:w w:val="80"/>
          <w:u w:val="single" w:color="231F20"/>
          <w:lang w:eastAsia="zh-HK"/>
        </w:rPr>
        <w:t>Junction City Patients</w:t>
      </w:r>
      <w:r>
        <w:rPr>
          <w:rFonts w:eastAsia="PMingLiU"/>
          <w:color w:val="231F20"/>
          <w:w w:val="80"/>
          <w:u w:color="231F20"/>
          <w:lang w:eastAsia="zh-HK"/>
        </w:rPr>
        <w:t>：</w:t>
      </w:r>
    </w:p>
    <w:p>
      <w:pPr>
        <w:pStyle w:val="BodyText"/>
        <w:spacing w:before="14"/>
        <w:ind w:left="120"/>
      </w:pPr>
      <w:r>
        <w:rPr>
          <w:rFonts w:eastAsia="PMingLiU"/>
          <w:color w:val="005594"/>
          <w:w w:val="75"/>
          <w:lang w:eastAsia="zh-HK"/>
        </w:rPr>
        <w:t>OSH RECEPTION</w:t>
      </w:r>
    </w:p>
    <w:p>
      <w:pPr>
        <w:pStyle w:val="BodyText"/>
        <w:spacing w:before="14" w:line="249" w:lineRule="auto"/>
        <w:ind w:left="120" w:right="360"/>
      </w:pPr>
      <w:r>
        <w:rPr>
          <w:rFonts w:eastAsia="PMingLiU"/>
          <w:color w:val="005594"/>
          <w:w w:val="90"/>
          <w:lang w:eastAsia="zh-HK"/>
        </w:rPr>
        <w:t>29398 Recovery Way Junction City, Oregon 97448</w:t>
      </w:r>
    </w:p>
    <w:p>
      <w:pPr>
        <w:spacing w:line="249" w:lineRule="auto"/>
        <w:sectPr>
          <w:type w:val="continuous"/>
          <w:pgSz w:w="12240" w:h="15840"/>
          <w:pgMar w:top="300" w:right="600" w:bottom="0" w:left="600" w:header="720" w:footer="720" w:gutter="0"/>
          <w:cols w:num="3" w:space="507" w:equalWidth="0">
            <w:col w:w="3583" w:space="97"/>
            <w:col w:w="2898" w:space="782"/>
            <w:col w:w="3680" w:space="0"/>
          </w:cols>
        </w:sectPr>
      </w:pPr>
    </w:p>
    <w:p>
      <w:pPr>
        <w:pStyle w:val="BodyText"/>
        <w:spacing w:before="5"/>
        <w:rPr>
          <w:sz w:val="8"/>
        </w:rPr>
      </w:pPr>
    </w:p>
    <w:p>
      <w:pPr>
        <w:pStyle w:val="BodyText"/>
        <w:spacing w:line="20" w:lineRule="exact"/>
        <w:ind w:left="120"/>
        <w:rPr>
          <w:sz w:val="2"/>
        </w:rPr>
      </w:pPr>
      <w:r>
        <w:rPr>
          <w:sz w:val="2"/>
        </w:rPr>
      </w:r>
      <w:r>
        <w:rPr>
          <w:sz w:val="2"/>
        </w:rPr>
        <w:pict>
          <v:group id="docshapegroup2" o:spid="_x0000_s2050" style="width:540pt;height:2pt;mso-position-horizontal-relative:char;mso-position-vertical-relative:line" coordsize="10800,40">
            <v:line id="_x0000_s2051" style="position:absolute" from="0,20" to="10800,20" strokecolor="#231f20" strokeweight="2pt"/>
            <w10:anchorlock/>
          </v:group>
        </w:pict>
      </w:r>
    </w:p>
    <w:p>
      <w:pPr>
        <w:pStyle w:val="BodyText"/>
        <w:tabs>
          <w:tab w:val="left" w:pos="5159"/>
          <w:tab w:val="left" w:pos="5879"/>
          <w:tab w:val="left" w:pos="10199"/>
        </w:tabs>
        <w:spacing w:before="159"/>
        <w:ind w:left="120"/>
      </w:pPr>
      <w:r>
        <w:rPr>
          <w:rFonts w:eastAsia="PMingLiU"/>
          <w:color w:val="231F20"/>
          <w:w w:val="80"/>
          <w:lang w:eastAsia="zh-HK"/>
        </w:rPr>
        <w:t>患者姓名：</w:t>
      </w:r>
      <w:r>
        <w:rPr>
          <w:rFonts w:eastAsia="PMingLiU"/>
          <w:color w:val="231F20"/>
          <w:w w:val="80"/>
          <w:u w:val="single"/>
          <w:lang w:eastAsia="zh-HK"/>
        </w:rPr>
        <w:tab/>
      </w:r>
      <w:r>
        <w:rPr>
          <w:rFonts w:eastAsia="PMingLiU"/>
          <w:color w:val="231F20"/>
          <w:w w:val="80"/>
          <w:lang w:eastAsia="zh-HK"/>
        </w:rPr>
        <w:tab/>
      </w:r>
      <w:r>
        <w:rPr>
          <w:rFonts w:eastAsia="PMingLiU"/>
          <w:color w:val="231F20"/>
          <w:w w:val="80"/>
          <w:lang w:eastAsia="zh-HK"/>
        </w:rPr>
        <w:t>患者病房：</w:t>
      </w:r>
      <w:r>
        <w:rPr>
          <w:rFonts w:eastAsia="PMingLiU"/>
          <w:color w:val="231F20"/>
          <w:w w:val="80"/>
          <w:u w:val="single"/>
          <w:lang w:eastAsia="zh-HK"/>
        </w:rPr>
        <w:tab/>
      </w:r>
    </w:p>
    <w:p>
      <w:pPr>
        <w:pStyle w:val="BodyText"/>
        <w:rPr>
          <w:sz w:val="10"/>
        </w:rPr>
      </w:pPr>
      <w:r>
        <w:pict>
          <v:shapetype id="_x0000_t202" coordsize="21600,21600" o:spt="202" path="m,l,21600r21600,l21600,xe">
            <v:stroke joinstyle="miter"/>
            <v:path gradientshapeok="t" o:connecttype="rect"/>
          </v:shapetype>
          <v:shape id="docshape3" o:spid="_x0000_s2052" type="#_x0000_t202" style="position:absolute;margin-left:36.5pt;margin-top:7.45pt;width:540pt;height:24pt;z-index:-251652096;mso-wrap-distance-left:0;mso-wrap-distance-right:0;mso-position-horizontal-relative:page" fillcolor="#f9fbfa" strokecolor="#231f20" strokeweight="1pt">
            <v:textbox inset="0,0,0,0">
              <w:txbxContent>
                <w:p>
                  <w:pPr>
                    <w:spacing w:before="67"/>
                    <w:ind w:left="4064" w:right="4064"/>
                    <w:jc w:val="center"/>
                    <w:rPr>
                      <w:b/>
                      <w:color w:val="000000"/>
                      <w:sz w:val="28"/>
                    </w:rPr>
                  </w:pPr>
                  <w:r>
                    <w:rPr>
                      <w:rFonts w:ascii="PMingLiU" w:eastAsia="PMingLiU" w:hAnsi="PMingLiU" w:cs="PMingLiU"/>
                      <w:b/>
                      <w:bCs/>
                      <w:color w:val="231F20"/>
                      <w:w w:val="80"/>
                      <w:sz w:val="28"/>
                      <w:szCs w:val="28"/>
                      <w:lang w:eastAsia="zh-HK"/>
                    </w:rPr>
                    <w:t>成年人探訪者資料</w:t>
                  </w:r>
                </w:p>
              </w:txbxContent>
            </v:textbox>
            <w10:wrap type="topAndBottom" anchorx="page"/>
          </v:shape>
        </w:pict>
      </w:r>
    </w:p>
    <w:p>
      <w:pPr>
        <w:pStyle w:val="BodyText"/>
        <w:spacing w:before="6"/>
        <w:rPr>
          <w:sz w:val="10"/>
        </w:rPr>
      </w:pPr>
    </w:p>
    <w:p>
      <w:pPr>
        <w:pStyle w:val="BodyText"/>
        <w:tabs>
          <w:tab w:val="left" w:pos="3719"/>
          <w:tab w:val="left" w:pos="4439"/>
          <w:tab w:val="left" w:pos="4641"/>
          <w:tab w:val="left" w:pos="4977"/>
          <w:tab w:val="left" w:pos="5044"/>
          <w:tab w:val="left" w:pos="5159"/>
          <w:tab w:val="left" w:pos="6216"/>
          <w:tab w:val="left" w:pos="6599"/>
          <w:tab w:val="left" w:pos="7319"/>
          <w:tab w:val="left" w:pos="8039"/>
          <w:tab w:val="left" w:pos="8759"/>
          <w:tab w:val="left" w:pos="10199"/>
          <w:tab w:val="left" w:pos="10919"/>
        </w:tabs>
        <w:ind w:left="119" w:right="119"/>
        <w:rPr>
          <w:rFonts w:eastAsiaTheme="minorEastAsia"/>
          <w:color w:val="231F20"/>
          <w:w w:val="95"/>
          <w:lang w:eastAsia="zh-TW"/>
        </w:rPr>
      </w:pPr>
      <w:r>
        <w:rPr>
          <w:rFonts w:eastAsia="PMingLiU"/>
          <w:color w:val="231F20"/>
          <w:w w:val="95"/>
          <w:lang w:eastAsia="zh-HK"/>
        </w:rPr>
        <w:t>探訪者姓名：</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ab/>
      </w:r>
      <w:r>
        <w:rPr>
          <w:rFonts w:eastAsia="PMingLiU"/>
          <w:color w:val="231F20"/>
          <w:w w:val="95"/>
          <w:lang w:eastAsia="zh-HK"/>
        </w:rPr>
        <w:tab/>
      </w:r>
      <w:r>
        <w:rPr>
          <w:rFonts w:eastAsia="PMingLiU"/>
          <w:color w:val="231F20"/>
          <w:w w:val="95"/>
          <w:lang w:eastAsia="zh-HK"/>
        </w:rPr>
        <w:tab/>
      </w:r>
      <w:r>
        <w:rPr>
          <w:rFonts w:eastAsia="PMingLiU"/>
          <w:color w:val="231F20"/>
          <w:w w:val="95"/>
          <w:lang w:eastAsia="zh-HK"/>
        </w:rPr>
        <w:tab/>
      </w:r>
      <w:r>
        <w:rPr>
          <w:rFonts w:eastAsia="PMingLiU"/>
          <w:color w:val="231F20"/>
          <w:w w:val="95"/>
          <w:lang w:eastAsia="zh-HK"/>
        </w:rPr>
        <w:tab/>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靈修</w:t>
      </w:r>
      <w:r>
        <w:rPr>
          <w:rFonts w:eastAsia="PMingLiU"/>
          <w:color w:val="231F20"/>
          <w:w w:val="95"/>
          <w:lang w:eastAsia="zh-HK"/>
        </w:rPr>
        <w:t>/</w:t>
      </w:r>
      <w:r>
        <w:rPr>
          <w:rFonts w:eastAsia="PMingLiU"/>
          <w:color w:val="231F20"/>
          <w:w w:val="95"/>
          <w:lang w:eastAsia="zh-HK"/>
        </w:rPr>
        <w:t>牧靈</w:t>
      </w:r>
    </w:p>
    <w:p>
      <w:pPr>
        <w:pStyle w:val="BodyText"/>
        <w:tabs>
          <w:tab w:val="left" w:pos="3719"/>
          <w:tab w:val="left" w:pos="4439"/>
          <w:tab w:val="left" w:pos="4641"/>
          <w:tab w:val="left" w:pos="4977"/>
          <w:tab w:val="left" w:pos="5044"/>
          <w:tab w:val="left" w:pos="5159"/>
          <w:tab w:val="left" w:pos="6216"/>
          <w:tab w:val="left" w:pos="6599"/>
          <w:tab w:val="left" w:pos="7319"/>
          <w:tab w:val="left" w:pos="8039"/>
          <w:tab w:val="left" w:pos="8759"/>
          <w:tab w:val="left" w:pos="10199"/>
          <w:tab w:val="left" w:pos="10919"/>
        </w:tabs>
        <w:ind w:left="119" w:right="119"/>
        <w:rPr>
          <w:rFonts w:eastAsiaTheme="minorEastAsia"/>
          <w:color w:val="231F20"/>
          <w:w w:val="95"/>
          <w:lang w:eastAsia="zh-TW"/>
        </w:rPr>
      </w:pPr>
      <w:r>
        <w:rPr>
          <w:rFonts w:eastAsia="PMingLiU"/>
          <w:color w:val="231F20"/>
          <w:w w:val="95"/>
          <w:lang w:eastAsia="zh-HK"/>
        </w:rPr>
        <w:t>郵寄地址：</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ab/>
      </w:r>
      <w:r>
        <w:rPr>
          <w:rFonts w:eastAsia="PMingLiU"/>
          <w:color w:val="231F20"/>
          <w:w w:val="95"/>
          <w:lang w:eastAsia="zh-HK"/>
        </w:rPr>
        <w:t>電話號碼：</w:t>
      </w:r>
      <w:r>
        <w:rPr>
          <w:color w:val="231F20"/>
          <w:u w:val="single" w:color="231F20"/>
          <w:lang w:eastAsia="zh-TW"/>
        </w:rPr>
        <w:tab/>
      </w:r>
      <w:r>
        <w:rPr>
          <w:color w:val="231F20"/>
          <w:u w:val="single" w:color="231F20"/>
          <w:lang w:eastAsia="zh-TW"/>
        </w:rPr>
        <w:tab/>
      </w:r>
    </w:p>
    <w:p>
      <w:pPr>
        <w:pStyle w:val="BodyText"/>
        <w:tabs>
          <w:tab w:val="left" w:pos="3719"/>
          <w:tab w:val="left" w:pos="4439"/>
          <w:tab w:val="left" w:pos="4641"/>
          <w:tab w:val="left" w:pos="4977"/>
          <w:tab w:val="left" w:pos="5044"/>
          <w:tab w:val="left" w:pos="5159"/>
          <w:tab w:val="left" w:pos="6216"/>
          <w:tab w:val="left" w:pos="7136"/>
          <w:tab w:val="left" w:pos="8306"/>
          <w:tab w:val="left" w:pos="8759"/>
          <w:tab w:val="left" w:pos="10736"/>
          <w:tab w:val="left" w:pos="10919"/>
        </w:tabs>
        <w:ind w:left="119" w:right="119"/>
        <w:rPr>
          <w:rFonts w:eastAsiaTheme="minorEastAsia"/>
          <w:color w:val="231F20"/>
          <w:w w:val="95"/>
          <w:u w:val="single"/>
          <w:lang w:eastAsia="zh-TW"/>
        </w:rPr>
      </w:pPr>
      <w:r>
        <w:rPr>
          <w:rFonts w:eastAsia="PMingLiU"/>
          <w:color w:val="231F20"/>
          <w:w w:val="95"/>
          <w:lang w:eastAsia="zh-HK"/>
        </w:rPr>
        <w:t>城市：</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ab/>
      </w:r>
      <w:r>
        <w:rPr>
          <w:rFonts w:eastAsia="PMingLiU"/>
          <w:color w:val="231F20"/>
          <w:w w:val="95"/>
          <w:lang w:eastAsia="zh-HK"/>
        </w:rPr>
        <w:t>州：</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郵政編碼：</w:t>
      </w:r>
      <w:r>
        <w:rPr>
          <w:rFonts w:eastAsiaTheme="minorEastAsia" w:hint="eastAsia"/>
          <w:color w:val="231F20"/>
          <w:u w:val="single" w:color="231F20"/>
          <w:lang w:eastAsia="zh-TW"/>
        </w:rPr>
        <w:t xml:space="preserve">              </w:t>
      </w:r>
      <w:r>
        <w:rPr>
          <w:rFonts w:eastAsia="PMingLiU"/>
          <w:color w:val="231F20"/>
          <w:w w:val="95"/>
          <w:lang w:eastAsia="zh-HK"/>
        </w:rPr>
        <w:t>駕駛執照</w:t>
      </w:r>
      <w:r>
        <w:rPr>
          <w:rFonts w:eastAsia="PMingLiU"/>
          <w:color w:val="231F20"/>
          <w:w w:val="95"/>
          <w:lang w:eastAsia="zh-HK"/>
        </w:rPr>
        <w:t>/</w:t>
      </w:r>
      <w:r>
        <w:rPr>
          <w:rFonts w:eastAsia="PMingLiU"/>
          <w:color w:val="231F20"/>
          <w:w w:val="95"/>
          <w:lang w:eastAsia="zh-HK"/>
        </w:rPr>
        <w:t>州身份證號碼：</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ab/>
      </w:r>
      <w:r>
        <w:rPr>
          <w:rFonts w:eastAsia="PMingLiU"/>
          <w:color w:val="231F20"/>
          <w:w w:val="95"/>
          <w:lang w:eastAsia="zh-HK"/>
        </w:rPr>
        <w:t>簽發州：</w:t>
      </w:r>
      <w:r>
        <w:rPr>
          <w:rFonts w:eastAsiaTheme="minorEastAsia" w:hint="eastAsia"/>
          <w:color w:val="231F20"/>
          <w:w w:val="95"/>
          <w:u w:val="single"/>
          <w:lang w:eastAsia="zh-TW"/>
        </w:rPr>
        <w:t xml:space="preserve">                  </w:t>
      </w:r>
      <w:r>
        <w:rPr>
          <w:rFonts w:eastAsia="PMingLiU"/>
          <w:color w:val="231F20"/>
          <w:w w:val="95"/>
          <w:lang w:eastAsia="zh-HK"/>
        </w:rPr>
        <w:t>社會保障號碼</w:t>
      </w:r>
      <w:r>
        <w:rPr>
          <w:rFonts w:eastAsia="PMingLiU"/>
          <w:color w:val="231F20"/>
          <w:w w:val="95"/>
          <w:lang w:eastAsia="zh-HK"/>
        </w:rPr>
        <w:t>*</w:t>
      </w:r>
      <w:r>
        <w:rPr>
          <w:rFonts w:eastAsia="PMingLiU"/>
          <w:color w:val="231F20"/>
          <w:w w:val="95"/>
          <w:lang w:eastAsia="zh-HK"/>
        </w:rPr>
        <w:t>末四位數：</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曾用名：</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p>
    <w:p>
      <w:pPr>
        <w:pStyle w:val="BodyText"/>
        <w:tabs>
          <w:tab w:val="left" w:pos="3719"/>
          <w:tab w:val="left" w:pos="4439"/>
          <w:tab w:val="left" w:pos="4641"/>
          <w:tab w:val="left" w:pos="4977"/>
          <w:tab w:val="left" w:pos="5044"/>
          <w:tab w:val="left" w:pos="5159"/>
          <w:tab w:val="left" w:pos="6746"/>
          <w:tab w:val="left" w:pos="8306"/>
          <w:tab w:val="left" w:pos="8759"/>
          <w:tab w:val="left" w:pos="10736"/>
          <w:tab w:val="left" w:pos="10919"/>
        </w:tabs>
        <w:ind w:left="119" w:right="119"/>
        <w:rPr>
          <w:rFonts w:eastAsiaTheme="minorEastAsia"/>
          <w:color w:val="231F20"/>
          <w:w w:val="95"/>
          <w:lang w:eastAsia="zh-TW"/>
        </w:rPr>
      </w:pPr>
      <w:r>
        <w:rPr>
          <w:rFonts w:eastAsia="PMingLiU"/>
          <w:color w:val="231F20"/>
          <w:w w:val="95"/>
          <w:lang w:eastAsia="zh-HK"/>
        </w:rPr>
        <w:t>出生日期：</w:t>
      </w:r>
      <w:r>
        <w:rPr>
          <w:color w:val="231F20"/>
          <w:u w:val="single" w:color="231F20"/>
          <w:lang w:eastAsia="zh-TW"/>
        </w:rPr>
        <w:tab/>
      </w:r>
      <w:r>
        <w:rPr>
          <w:rFonts w:eastAsia="PMingLiU"/>
          <w:color w:val="231F20"/>
          <w:w w:val="95"/>
          <w:lang w:eastAsia="zh-HK"/>
        </w:rPr>
        <w:t>出生地：</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性別：</w:t>
      </w:r>
      <w:r>
        <w:rPr>
          <w:color w:val="231F20"/>
          <w:u w:val="single" w:color="231F20"/>
          <w:lang w:eastAsia="zh-TW"/>
        </w:rPr>
        <w:tab/>
      </w:r>
      <w:r>
        <w:rPr>
          <w:rFonts w:eastAsiaTheme="minorEastAsia" w:hint="eastAsia"/>
          <w:color w:val="231F20"/>
          <w:u w:val="single" w:color="231F20"/>
          <w:lang w:eastAsia="zh-TW"/>
        </w:rPr>
        <w:t xml:space="preserve"> </w:t>
      </w:r>
    </w:p>
    <w:p>
      <w:pPr>
        <w:pStyle w:val="BodyText"/>
        <w:tabs>
          <w:tab w:val="left" w:pos="3719"/>
          <w:tab w:val="left" w:pos="4439"/>
          <w:tab w:val="left" w:pos="4641"/>
          <w:tab w:val="left" w:pos="4977"/>
          <w:tab w:val="left" w:pos="5044"/>
          <w:tab w:val="left" w:pos="5159"/>
          <w:tab w:val="left" w:pos="6216"/>
          <w:tab w:val="left" w:pos="7136"/>
          <w:tab w:val="left" w:pos="8306"/>
          <w:tab w:val="left" w:pos="8759"/>
          <w:tab w:val="left" w:pos="10736"/>
          <w:tab w:val="left" w:pos="10919"/>
        </w:tabs>
        <w:ind w:left="119" w:right="119"/>
        <w:rPr>
          <w:rFonts w:eastAsiaTheme="minorEastAsia"/>
          <w:color w:val="231F20"/>
          <w:w w:val="95"/>
          <w:lang w:eastAsia="zh-TW"/>
        </w:rPr>
      </w:pPr>
      <w:r>
        <w:rPr>
          <w:rFonts w:eastAsia="PMingLiU"/>
          <w:color w:val="231F20"/>
          <w:w w:val="95"/>
          <w:lang w:eastAsia="zh-HK"/>
        </w:rPr>
        <w:t>電郵：</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偏好的聯絡方式：</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電話</w:t>
      </w:r>
      <w:r>
        <w:rPr>
          <w:rFonts w:eastAsia="PMingLiU"/>
          <w:color w:val="231F20"/>
          <w:w w:val="95"/>
          <w:lang w:eastAsia="zh-HK"/>
        </w:rPr>
        <w:t xml:space="preserve"> </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電郵</w:t>
      </w:r>
      <w:r>
        <w:rPr>
          <w:rFonts w:eastAsia="PMingLiU"/>
          <w:color w:val="231F20"/>
          <w:w w:val="95"/>
          <w:lang w:eastAsia="zh-HK"/>
        </w:rPr>
        <w:t xml:space="preserve"> </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郵寄</w:t>
      </w:r>
      <w:r>
        <w:rPr>
          <w:rFonts w:eastAsia="PMingLiU"/>
          <w:color w:val="231F20"/>
          <w:w w:val="95"/>
          <w:lang w:eastAsia="zh-HK"/>
        </w:rPr>
        <w:t xml:space="preserve"> </w:t>
      </w:r>
    </w:p>
    <w:p>
      <w:pPr>
        <w:pStyle w:val="BodyText"/>
        <w:tabs>
          <w:tab w:val="left" w:pos="3719"/>
          <w:tab w:val="left" w:pos="4439"/>
          <w:tab w:val="left" w:pos="4641"/>
          <w:tab w:val="left" w:pos="4977"/>
          <w:tab w:val="left" w:pos="5159"/>
          <w:tab w:val="left" w:pos="6216"/>
          <w:tab w:val="left" w:pos="8306"/>
          <w:tab w:val="left" w:pos="8759"/>
          <w:tab w:val="left" w:pos="10736"/>
          <w:tab w:val="left" w:pos="10919"/>
        </w:tabs>
        <w:ind w:left="119" w:right="119"/>
        <w:rPr>
          <w:rFonts w:eastAsiaTheme="minorEastAsia"/>
          <w:lang w:eastAsia="zh-CN"/>
        </w:rPr>
      </w:pPr>
      <w:r>
        <w:rPr>
          <w:rFonts w:eastAsia="PMingLiU"/>
          <w:color w:val="231F20"/>
          <w:w w:val="95"/>
          <w:lang w:eastAsia="zh-HK"/>
        </w:rPr>
        <w:t>您是或曾經是</w:t>
      </w:r>
      <w:r>
        <w:rPr>
          <w:rFonts w:eastAsia="PMingLiU"/>
          <w:color w:val="231F20"/>
          <w:w w:val="95"/>
          <w:lang w:eastAsia="zh-HK"/>
        </w:rPr>
        <w:t xml:space="preserve"> OSH </w:t>
      </w:r>
      <w:r>
        <w:rPr>
          <w:rFonts w:eastAsia="PMingLiU"/>
          <w:color w:val="231F20"/>
          <w:w w:val="95"/>
          <w:lang w:eastAsia="zh-HK"/>
        </w:rPr>
        <w:t>的員工嗎？</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是</w:t>
      </w:r>
      <w:r>
        <w:rPr>
          <w:rFonts w:eastAsia="PMingLiU"/>
          <w:color w:val="231F20"/>
          <w:w w:val="95"/>
          <w:lang w:eastAsia="zh-HK"/>
        </w:rPr>
        <w:t xml:space="preserve"> </w:t>
      </w:r>
      <w:r>
        <w:rPr>
          <w:rFonts w:eastAsia="Wingdings 2"/>
          <w:color w:val="231F20"/>
          <w:w w:val="95"/>
          <w:lang w:eastAsia="zh-HK"/>
        </w:rPr>
        <w:sym w:font="Wingdings 2" w:char="F0A3"/>
      </w:r>
      <w:r>
        <w:rPr>
          <w:rFonts w:eastAsia="PMingLiU"/>
          <w:color w:val="231F20"/>
          <w:w w:val="95"/>
          <w:lang w:eastAsia="zh-HK"/>
        </w:rPr>
        <w:t xml:space="preserve"> </w:t>
      </w:r>
      <w:r>
        <w:rPr>
          <w:rFonts w:eastAsia="PMingLiU"/>
          <w:color w:val="231F20"/>
          <w:w w:val="95"/>
          <w:lang w:eastAsia="zh-HK"/>
        </w:rPr>
        <w:t>否</w:t>
      </w:r>
      <w:r>
        <w:rPr>
          <w:rFonts w:eastAsia="PMingLiU"/>
          <w:color w:val="231F20"/>
          <w:w w:val="95"/>
          <w:lang w:eastAsia="zh-HK"/>
        </w:rPr>
        <w:tab/>
      </w:r>
      <w:r>
        <w:rPr>
          <w:rFonts w:eastAsiaTheme="minorEastAsia" w:hint="eastAsia"/>
          <w:color w:val="231F20"/>
          <w:w w:val="95"/>
          <w:lang w:eastAsia="zh-TW"/>
        </w:rPr>
        <w:t xml:space="preserve"> </w:t>
      </w:r>
      <w:r>
        <w:rPr>
          <w:rFonts w:eastAsia="PMingLiU"/>
          <w:color w:val="231F20"/>
          <w:w w:val="95"/>
          <w:lang w:eastAsia="zh-HK"/>
        </w:rPr>
        <w:t>若「是」，何時？</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lang w:eastAsia="zh-HK"/>
        </w:rPr>
        <w:t xml:space="preserve"> </w:t>
      </w:r>
      <w:r>
        <w:rPr>
          <w:rFonts w:eastAsia="PMingLiU"/>
          <w:color w:val="231F20"/>
          <w:w w:val="95"/>
          <w:lang w:eastAsia="zh-HK"/>
        </w:rPr>
        <w:t>與病人的關係？</w:t>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r>
        <w:rPr>
          <w:rFonts w:eastAsia="PMingLiU"/>
          <w:color w:val="231F20"/>
          <w:w w:val="95"/>
          <w:u w:val="single"/>
          <w:lang w:eastAsia="zh-HK"/>
        </w:rPr>
        <w:tab/>
      </w:r>
    </w:p>
    <w:p>
      <w:pPr>
        <w:pStyle w:val="ListParagraph"/>
        <w:numPr>
          <w:ilvl w:val="0"/>
          <w:numId w:val="2"/>
        </w:numPr>
        <w:tabs>
          <w:tab w:val="left" w:pos="479"/>
          <w:tab w:val="left" w:pos="480"/>
        </w:tabs>
        <w:spacing w:before="0" w:line="249" w:lineRule="auto"/>
        <w:ind w:right="383"/>
        <w:rPr>
          <w:sz w:val="28"/>
          <w:lang w:eastAsia="zh-TW"/>
        </w:rPr>
      </w:pPr>
      <w:r>
        <w:rPr>
          <w:rFonts w:eastAsia="PMingLiU"/>
          <w:color w:val="231F20"/>
          <w:w w:val="85"/>
          <w:sz w:val="28"/>
          <w:szCs w:val="28"/>
          <w:lang w:eastAsia="zh-HK"/>
        </w:rPr>
        <w:t>我理解，申請探訪，即表示我允許在首次申請時執行保密的執法數據系統</w:t>
      </w:r>
      <w:r>
        <w:rPr>
          <w:rFonts w:eastAsia="PMingLiU"/>
          <w:color w:val="231F20"/>
          <w:w w:val="85"/>
          <w:sz w:val="28"/>
          <w:szCs w:val="28"/>
          <w:lang w:eastAsia="zh-HK"/>
        </w:rPr>
        <w:t xml:space="preserve"> (LEDS) </w:t>
      </w:r>
      <w:r>
        <w:rPr>
          <w:rFonts w:eastAsia="PMingLiU"/>
          <w:color w:val="231F20"/>
          <w:w w:val="85"/>
          <w:sz w:val="28"/>
          <w:szCs w:val="28"/>
          <w:lang w:eastAsia="zh-HK"/>
        </w:rPr>
        <w:t>核查。我進一步同意，如果我在過去五年內有過某些犯罪記錄，則此後每年將進行一次</w:t>
      </w:r>
      <w:r>
        <w:rPr>
          <w:rFonts w:eastAsia="PMingLiU"/>
          <w:color w:val="231F20"/>
          <w:w w:val="85"/>
          <w:sz w:val="28"/>
          <w:szCs w:val="28"/>
          <w:lang w:eastAsia="zh-HK"/>
        </w:rPr>
        <w:t xml:space="preserve"> LEDS </w:t>
      </w:r>
      <w:r>
        <w:rPr>
          <w:rFonts w:eastAsia="PMingLiU"/>
          <w:color w:val="231F20"/>
          <w:w w:val="85"/>
          <w:sz w:val="28"/>
          <w:szCs w:val="28"/>
          <w:lang w:eastAsia="zh-HK"/>
        </w:rPr>
        <w:t>核查。</w:t>
      </w:r>
    </w:p>
    <w:p>
      <w:pPr>
        <w:pStyle w:val="ListParagraph"/>
        <w:numPr>
          <w:ilvl w:val="0"/>
          <w:numId w:val="2"/>
        </w:numPr>
        <w:tabs>
          <w:tab w:val="left" w:pos="479"/>
          <w:tab w:val="left" w:pos="480"/>
        </w:tabs>
        <w:spacing w:before="63" w:line="249" w:lineRule="auto"/>
        <w:ind w:right="725"/>
        <w:rPr>
          <w:sz w:val="28"/>
          <w:lang w:eastAsia="zh-TW"/>
        </w:rPr>
      </w:pPr>
      <w:r>
        <w:rPr>
          <w:rFonts w:eastAsia="PMingLiU"/>
          <w:color w:val="231F20"/>
          <w:w w:val="80"/>
          <w:sz w:val="28"/>
          <w:szCs w:val="28"/>
          <w:lang w:eastAsia="zh-HK"/>
        </w:rPr>
        <w:t>我理解，申請探訪，即表示我同意遵循</w:t>
      </w:r>
      <w:r>
        <w:rPr>
          <w:rFonts w:eastAsia="PMingLiU"/>
          <w:color w:val="231F20"/>
          <w:w w:val="80"/>
          <w:sz w:val="28"/>
          <w:szCs w:val="28"/>
          <w:lang w:eastAsia="zh-HK"/>
        </w:rPr>
        <w:t xml:space="preserve"> OSH </w:t>
      </w:r>
      <w:r>
        <w:rPr>
          <w:rFonts w:eastAsia="PMingLiU"/>
          <w:color w:val="231F20"/>
          <w:w w:val="80"/>
          <w:sz w:val="28"/>
          <w:szCs w:val="28"/>
          <w:lang w:eastAsia="zh-HK"/>
        </w:rPr>
        <w:t>的所有探訪準則。有違這些準則可能導致提前終止我的探訪，且未來的探訪也將受限。</w:t>
      </w:r>
    </w:p>
    <w:p>
      <w:pPr>
        <w:pStyle w:val="BodyText"/>
        <w:spacing w:before="7"/>
        <w:rPr>
          <w:lang w:eastAsia="zh-TW"/>
        </w:rPr>
      </w:pPr>
      <w:r>
        <w:pict>
          <v:shape id="docshape4" o:spid="_x0000_s2053" style="position:absolute;margin-left:36pt;margin-top:17.65pt;width:2in;height:.1pt;z-index:-251651072;mso-wrap-distance-left:0;mso-wrap-distance-right:0;mso-position-horizontal-relative:page" coordorigin="720,353" coordsize="2880,0" path="m720,353r2880,e" filled="f" strokecolor="#231f20" strokeweight=".7pt">
            <v:path arrowok="t"/>
            <w10:wrap type="topAndBottom" anchorx="page"/>
          </v:shape>
        </w:pict>
      </w:r>
      <w:r>
        <w:pict>
          <v:shape id="docshape5" o:spid="_x0000_s2054" style="position:absolute;margin-left:252pt;margin-top:17.65pt;width:2in;height:.1pt;z-index:-251650048;mso-wrap-distance-left:0;mso-wrap-distance-right:0;mso-position-horizontal-relative:page" coordorigin="5040,353" coordsize="2880,0" path="m5040,353r2880,e" filled="f" strokecolor="#231f20" strokeweight=".7pt">
            <v:path arrowok="t"/>
            <w10:wrap type="topAndBottom" anchorx="page"/>
          </v:shape>
        </w:pict>
      </w:r>
      <w:r>
        <w:pict>
          <v:shape id="docshape6" o:spid="_x0000_s2055" style="position:absolute;margin-left:468pt;margin-top:17.65pt;width:1in;height:.1pt;z-index:-251649024;mso-wrap-distance-left:0;mso-wrap-distance-right:0;mso-position-horizontal-relative:page" coordorigin="9360,353" coordsize="1440,0" path="m9360,353r1440,e" filled="f" strokecolor="#231f20" strokeweight=".7pt">
            <v:path arrowok="t"/>
            <w10:wrap type="topAndBottom" anchorx="page"/>
          </v:shape>
        </w:pict>
      </w:r>
    </w:p>
    <w:p>
      <w:pPr>
        <w:pStyle w:val="BodyText"/>
        <w:tabs>
          <w:tab w:val="left" w:pos="4440"/>
          <w:tab w:val="left" w:pos="8760"/>
        </w:tabs>
        <w:spacing w:before="22"/>
        <w:ind w:left="120"/>
        <w:rPr>
          <w:lang w:eastAsia="zh-TW"/>
        </w:rPr>
      </w:pPr>
      <w:r>
        <w:rPr>
          <w:rFonts w:eastAsia="PMingLiU"/>
          <w:color w:val="231F20"/>
          <w:w w:val="80"/>
          <w:lang w:eastAsia="zh-HK"/>
        </w:rPr>
        <w:t>申請人的正楷姓名</w:t>
      </w:r>
      <w:r>
        <w:rPr>
          <w:rFonts w:eastAsia="PMingLiU"/>
          <w:color w:val="231F20"/>
          <w:w w:val="80"/>
          <w:lang w:eastAsia="zh-HK"/>
        </w:rPr>
        <w:tab/>
      </w:r>
      <w:r>
        <w:rPr>
          <w:rFonts w:eastAsia="PMingLiU"/>
          <w:color w:val="231F20"/>
          <w:w w:val="80"/>
          <w:lang w:eastAsia="zh-HK"/>
        </w:rPr>
        <w:t>申請人簽名</w:t>
      </w:r>
      <w:r>
        <w:rPr>
          <w:rFonts w:eastAsia="PMingLiU"/>
          <w:color w:val="231F20"/>
          <w:w w:val="80"/>
          <w:lang w:eastAsia="zh-HK"/>
        </w:rPr>
        <w:tab/>
      </w:r>
      <w:r>
        <w:rPr>
          <w:rFonts w:eastAsia="PMingLiU"/>
          <w:color w:val="231F20"/>
          <w:w w:val="80"/>
          <w:lang w:eastAsia="zh-HK"/>
        </w:rPr>
        <w:t>日期</w:t>
      </w:r>
    </w:p>
    <w:p>
      <w:pPr>
        <w:pStyle w:val="BodyText"/>
        <w:spacing w:before="1"/>
        <w:rPr>
          <w:sz w:val="17"/>
          <w:lang w:eastAsia="zh-TW"/>
        </w:rPr>
      </w:pPr>
      <w:r>
        <w:pict>
          <v:shape id="docshape7" o:spid="_x0000_s2056" type="#_x0000_t202" style="position:absolute;margin-left:36.5pt;margin-top:11.55pt;width:539pt;height:24pt;z-index:-251648000;mso-wrap-distance-left:0;mso-wrap-distance-right:0;mso-position-horizontal-relative:page" fillcolor="#f9fbfa" strokecolor="#231f20" strokeweight="1pt">
            <v:textbox inset="0,0,0,0">
              <w:txbxContent>
                <w:p>
                  <w:pPr>
                    <w:spacing w:before="90"/>
                    <w:ind w:left="70"/>
                    <w:rPr>
                      <w:color w:val="000000"/>
                      <w:sz w:val="24"/>
                      <w:lang w:eastAsia="zh-TW"/>
                    </w:rPr>
                  </w:pPr>
                  <w:r>
                    <w:rPr>
                      <w:rFonts w:ascii="PMingLiU" w:eastAsia="PMingLiU" w:hAnsi="PMingLiU" w:cs="PMingLiU"/>
                      <w:color w:val="231F20"/>
                      <w:w w:val="75"/>
                      <w:sz w:val="24"/>
                      <w:szCs w:val="24"/>
                      <w:lang w:eastAsia="zh-HK"/>
                    </w:rPr>
                    <w:t>*</w:t>
                  </w:r>
                  <w:r>
                    <w:rPr>
                      <w:rFonts w:ascii="PMingLiU" w:eastAsia="PMingLiU" w:hAnsi="PMingLiU" w:cs="PMingLiU"/>
                      <w:color w:val="231F20"/>
                      <w:w w:val="75"/>
                      <w:sz w:val="24"/>
                      <w:szCs w:val="24"/>
                      <w:lang w:eastAsia="zh-HK"/>
                    </w:rPr>
                    <w:t>您無需提供您的社會保障號碼，但若此欄留空，有可能延遲處理您的申請。</w:t>
                  </w:r>
                </w:p>
              </w:txbxContent>
            </v:textbox>
            <w10:wrap type="topAndBottom" anchorx="page"/>
          </v:shape>
        </w:pict>
      </w:r>
    </w:p>
    <w:p>
      <w:pPr>
        <w:pStyle w:val="BodyText"/>
        <w:spacing w:before="4"/>
        <w:rPr>
          <w:sz w:val="24"/>
          <w:lang w:eastAsia="zh-TW"/>
        </w:rPr>
      </w:pPr>
    </w:p>
    <w:tbl>
      <w:tblPr>
        <w:tblW w:w="0" w:type="auto"/>
        <w:tblInd w:w="140" w:type="dxa"/>
        <w:tblBorders>
          <w:top w:val="single" w:sz="8" w:space="0" w:color="005594"/>
          <w:left w:val="single" w:sz="8" w:space="0" w:color="005594"/>
          <w:bottom w:val="single" w:sz="8" w:space="0" w:color="005594"/>
          <w:right w:val="single" w:sz="8" w:space="0" w:color="005594"/>
          <w:insideH w:val="single" w:sz="8" w:space="0" w:color="005594"/>
          <w:insideV w:val="single" w:sz="8" w:space="0" w:color="005594"/>
        </w:tblBorders>
        <w:tblLayout w:type="fixed"/>
        <w:tblCellMar>
          <w:left w:w="0" w:type="dxa"/>
          <w:right w:w="0" w:type="dxa"/>
        </w:tblCellMar>
        <w:tblLook w:val="01E0" w:firstRow="1" w:lastRow="1" w:firstColumn="1" w:lastColumn="1" w:noHBand="0" w:noVBand="0"/>
      </w:tblPr>
      <w:tblGrid>
        <w:gridCol w:w="5390"/>
        <w:gridCol w:w="2542"/>
        <w:gridCol w:w="2848"/>
      </w:tblGrid>
      <w:tr>
        <w:trPr>
          <w:trHeight w:val="490"/>
        </w:trPr>
        <w:tc>
          <w:tcPr>
            <w:tcW w:w="10780" w:type="dxa"/>
            <w:gridSpan w:val="3"/>
            <w:tcBorders>
              <w:top w:val="nil"/>
              <w:left w:val="nil"/>
              <w:bottom w:val="nil"/>
              <w:right w:val="nil"/>
            </w:tcBorders>
            <w:shd w:val="clear" w:color="auto" w:fill="005594"/>
          </w:tcPr>
          <w:p>
            <w:pPr>
              <w:pStyle w:val="TableParagraph"/>
              <w:spacing w:before="27" w:line="240" w:lineRule="auto"/>
              <w:ind w:left="4064" w:right="4044"/>
              <w:jc w:val="center"/>
              <w:rPr>
                <w:b/>
                <w:sz w:val="28"/>
              </w:rPr>
            </w:pPr>
            <w:r>
              <w:rPr>
                <w:rFonts w:eastAsia="PMingLiU"/>
                <w:b/>
                <w:bCs/>
                <w:color w:val="FFFFFF"/>
                <w:w w:val="80"/>
                <w:sz w:val="28"/>
                <w:szCs w:val="28"/>
                <w:lang w:eastAsia="zh-HK"/>
              </w:rPr>
              <w:t>僅由官方填寫</w:t>
            </w:r>
          </w:p>
        </w:tc>
      </w:tr>
      <w:tr>
        <w:trPr>
          <w:trHeight w:val="329"/>
        </w:trPr>
        <w:tc>
          <w:tcPr>
            <w:tcW w:w="5390" w:type="dxa"/>
          </w:tcPr>
          <w:p>
            <w:pPr>
              <w:pStyle w:val="TableParagraph"/>
              <w:spacing w:before="0" w:line="310" w:lineRule="exact"/>
              <w:rPr>
                <w:sz w:val="28"/>
              </w:rPr>
            </w:pPr>
            <w:r>
              <w:rPr>
                <w:rFonts w:eastAsia="PMingLiU"/>
                <w:color w:val="005594"/>
                <w:w w:val="80"/>
                <w:sz w:val="28"/>
                <w:szCs w:val="28"/>
                <w:lang w:eastAsia="zh-HK"/>
              </w:rPr>
              <w:t>收件人：</w:t>
            </w:r>
          </w:p>
        </w:tc>
        <w:tc>
          <w:tcPr>
            <w:tcW w:w="5390" w:type="dxa"/>
            <w:gridSpan w:val="2"/>
          </w:tcPr>
          <w:p>
            <w:pPr>
              <w:pStyle w:val="TableParagraph"/>
              <w:spacing w:before="0" w:line="310" w:lineRule="exact"/>
              <w:rPr>
                <w:sz w:val="28"/>
              </w:rPr>
            </w:pPr>
            <w:r>
              <w:rPr>
                <w:rFonts w:eastAsia="PMingLiU"/>
                <w:color w:val="005594"/>
                <w:w w:val="90"/>
                <w:sz w:val="28"/>
                <w:szCs w:val="28"/>
                <w:lang w:eastAsia="zh-HK"/>
              </w:rPr>
              <w:t>日期：</w:t>
            </w:r>
          </w:p>
        </w:tc>
      </w:tr>
      <w:tr>
        <w:trPr>
          <w:trHeight w:val="339"/>
        </w:trPr>
        <w:tc>
          <w:tcPr>
            <w:tcW w:w="5390" w:type="dxa"/>
          </w:tcPr>
          <w:p>
            <w:pPr>
              <w:pStyle w:val="TableParagraph"/>
              <w:rPr>
                <w:sz w:val="28"/>
              </w:rPr>
            </w:pPr>
            <w:r>
              <w:rPr>
                <w:rFonts w:eastAsia="PMingLiU"/>
                <w:color w:val="005594"/>
                <w:w w:val="75"/>
                <w:sz w:val="28"/>
                <w:szCs w:val="28"/>
                <w:lang w:eastAsia="zh-HK"/>
              </w:rPr>
              <w:t xml:space="preserve">LEDS </w:t>
            </w:r>
            <w:r>
              <w:rPr>
                <w:rFonts w:eastAsia="PMingLiU"/>
                <w:color w:val="005594"/>
                <w:w w:val="75"/>
                <w:sz w:val="28"/>
                <w:szCs w:val="28"/>
                <w:lang w:eastAsia="zh-HK"/>
              </w:rPr>
              <w:t>操作員：</w:t>
            </w:r>
          </w:p>
        </w:tc>
        <w:tc>
          <w:tcPr>
            <w:tcW w:w="2542" w:type="dxa"/>
          </w:tcPr>
          <w:p>
            <w:pPr>
              <w:pStyle w:val="TableParagraph"/>
              <w:rPr>
                <w:sz w:val="28"/>
              </w:rPr>
            </w:pPr>
            <w:r>
              <w:rPr>
                <w:rFonts w:eastAsia="PMingLiU"/>
                <w:color w:val="005594"/>
                <w:w w:val="90"/>
                <w:sz w:val="28"/>
                <w:szCs w:val="28"/>
                <w:lang w:eastAsia="zh-HK"/>
              </w:rPr>
              <w:t>日期：</w:t>
            </w:r>
          </w:p>
        </w:tc>
        <w:tc>
          <w:tcPr>
            <w:tcW w:w="2848" w:type="dxa"/>
          </w:tcPr>
          <w:p>
            <w:pPr>
              <w:pStyle w:val="TableParagraph"/>
              <w:rPr>
                <w:sz w:val="28"/>
              </w:rPr>
            </w:pPr>
            <w:r>
              <w:rPr>
                <w:rFonts w:eastAsia="PMingLiU"/>
                <w:color w:val="005594"/>
                <w:w w:val="90"/>
                <w:sz w:val="28"/>
                <w:szCs w:val="28"/>
                <w:lang w:eastAsia="zh-HK"/>
              </w:rPr>
              <w:t>結果</w:t>
            </w:r>
            <w:r>
              <w:rPr>
                <w:rFonts w:eastAsia="PMingLiU"/>
                <w:color w:val="005594"/>
                <w:w w:val="90"/>
                <w:sz w:val="28"/>
                <w:szCs w:val="28"/>
                <w:lang w:eastAsia="zh-HK"/>
              </w:rPr>
              <w:t>:</w:t>
            </w:r>
          </w:p>
        </w:tc>
      </w:tr>
    </w:tbl>
    <w:p>
      <w:pPr>
        <w:spacing w:before="40"/>
        <w:ind w:right="117"/>
        <w:jc w:val="right"/>
        <w:rPr>
          <w:sz w:val="24"/>
        </w:rPr>
      </w:pPr>
      <w:r>
        <w:pict>
          <v:group id="docshapegroup8" o:spid="_x0000_s2057" style="position:absolute;left:0;text-align:left;margin-left:36.35pt;margin-top:5.65pt;width:276.9pt;height:23.45pt;z-index:251660288;mso-position-horizontal-relative:page;mso-position-vertical-relative:text" coordorigin="727,113" coordsize="5538,469">
            <v:rect id="docshape9" o:spid="_x0000_s2058" style="position:absolute;left:737;top:131;width:2733;height:441" filled="f" strokeweight="1pt"/>
            <v:rect id="docshape10" o:spid="_x0000_s2059" style="position:absolute;left:3522;top:123;width:2733;height:441" filled="f" strokeweight="1pt"/>
            <v:shape id="docshape11" o:spid="_x0000_s2060" type="#_x0000_t202" style="position:absolute;left:3506;top:137;width:2739;height:421" fillcolor="#fbf485" stroked="f">
              <v:textbox inset="0,0,0,0">
                <w:txbxContent>
                  <w:p>
                    <w:pPr>
                      <w:spacing w:before="64"/>
                      <w:ind w:left="270"/>
                      <w:rPr>
                        <w:b/>
                        <w:color w:val="000000"/>
                        <w:sz w:val="24"/>
                      </w:rPr>
                    </w:pPr>
                    <w:r>
                      <w:rPr>
                        <w:rFonts w:eastAsia="PMingLiU"/>
                        <w:b/>
                        <w:bCs/>
                        <w:color w:val="000000"/>
                        <w:sz w:val="24"/>
                        <w:szCs w:val="24"/>
                        <w:lang w:eastAsia="zh-HK"/>
                      </w:rPr>
                      <w:t>電郵</w:t>
                    </w:r>
                    <w:r>
                      <w:rPr>
                        <w:rFonts w:eastAsia="PMingLiU"/>
                        <w:b/>
                        <w:bCs/>
                        <w:color w:val="000000"/>
                        <w:sz w:val="24"/>
                        <w:szCs w:val="24"/>
                        <w:lang w:eastAsia="zh-HK"/>
                      </w:rPr>
                      <w:t xml:space="preserve"> Junction City</w:t>
                    </w:r>
                  </w:p>
                </w:txbxContent>
              </v:textbox>
            </v:shape>
            <v:shape id="docshape12" o:spid="_x0000_s2061" type="#_x0000_t202" style="position:absolute;left:747;top:137;width:2739;height:421" fillcolor="#69d927" stroked="f">
              <v:textbox inset="0,0,0,0">
                <w:txbxContent>
                  <w:p>
                    <w:pPr>
                      <w:spacing w:before="72"/>
                      <w:ind w:left="650"/>
                      <w:rPr>
                        <w:b/>
                        <w:color w:val="000000"/>
                        <w:sz w:val="24"/>
                      </w:rPr>
                    </w:pPr>
                    <w:r>
                      <w:rPr>
                        <w:rFonts w:eastAsia="PMingLiU"/>
                        <w:b/>
                        <w:bCs/>
                        <w:color w:val="000000"/>
                        <w:sz w:val="24"/>
                        <w:szCs w:val="24"/>
                        <w:lang w:eastAsia="zh-HK"/>
                      </w:rPr>
                      <w:t>電郵</w:t>
                    </w:r>
                    <w:r>
                      <w:rPr>
                        <w:rFonts w:eastAsia="PMingLiU"/>
                        <w:b/>
                        <w:bCs/>
                        <w:color w:val="000000"/>
                        <w:sz w:val="24"/>
                        <w:szCs w:val="24"/>
                        <w:lang w:eastAsia="zh-HK"/>
                      </w:rPr>
                      <w:t xml:space="preserve"> Salem</w:t>
                    </w:r>
                  </w:p>
                </w:txbxContent>
              </v:textbox>
            </v:shape>
            <w10:wrap anchorx="page"/>
          </v:group>
        </w:pict>
      </w:r>
      <w:r>
        <w:rPr>
          <w:rFonts w:eastAsia="PMingLiU"/>
          <w:color w:val="005594"/>
          <w:w w:val="75"/>
          <w:sz w:val="24"/>
          <w:szCs w:val="24"/>
          <w:lang w:eastAsia="zh-HK"/>
        </w:rPr>
        <w:t>OHA 8900 (7/2024)</w:t>
      </w:r>
    </w:p>
    <w:p>
      <w:pPr>
        <w:jc w:val="right"/>
        <w:rPr>
          <w:sz w:val="24"/>
        </w:rPr>
        <w:sectPr>
          <w:type w:val="continuous"/>
          <w:pgSz w:w="12240" w:h="15840"/>
          <w:pgMar w:top="300" w:right="600" w:bottom="0" w:left="600" w:header="720" w:footer="720" w:gutter="0"/>
          <w:cols w:space="720"/>
        </w:sectPr>
      </w:pPr>
    </w:p>
    <w:p>
      <w:pPr>
        <w:spacing w:before="171"/>
        <w:ind w:left="120"/>
        <w:rPr>
          <w:b/>
          <w:sz w:val="44"/>
          <w:lang w:eastAsia="zh-TW"/>
        </w:rPr>
      </w:pPr>
      <w:bookmarkStart w:id="1" w:name="OSH-Visitation-Guidelines-2024.07.25"/>
      <w:bookmarkEnd w:id="1"/>
      <w:r>
        <w:rPr>
          <w:rFonts w:eastAsia="PMingLiU"/>
          <w:b/>
          <w:bCs/>
          <w:color w:val="005594"/>
          <w:w w:val="80"/>
          <w:sz w:val="44"/>
          <w:szCs w:val="44"/>
          <w:lang w:eastAsia="zh-HK"/>
        </w:rPr>
        <w:lastRenderedPageBreak/>
        <w:t>俄勒岡州立醫院探訪病人準則</w:t>
      </w:r>
    </w:p>
    <w:p>
      <w:pPr>
        <w:pStyle w:val="BodyText"/>
        <w:spacing w:before="40" w:line="249" w:lineRule="auto"/>
        <w:ind w:left="120" w:right="80"/>
        <w:rPr>
          <w:lang w:eastAsia="zh-TW"/>
        </w:rPr>
      </w:pPr>
      <w:r>
        <w:pict>
          <v:group id="docshapegroup15" o:spid="_x0000_s2062" style="position:absolute;left:0;text-align:left;margin-left:443pt;margin-top:80.6pt;width:133.05pt;height:151.9pt;z-index:251661312;mso-position-horizontal-relative:page" coordorigin="8860,1612" coordsize="2661,3038">
            <v:shape id="docshape16" o:spid="_x0000_s2063" style="position:absolute;left:8869;top:1622;width:2641;height:3018" coordorigin="8870,1622" coordsize="2641,3018" path="m11270,1622r-2160,l9034,1635r-66,34l8916,1721r-34,66l8870,1862r,2538l8882,4476r34,66l8968,4594r66,34l9110,4640r2160,l11346,4628r66,-34l11464,4542r34,-66l11510,4400r,-2538l11498,1787r-34,-66l11412,1669r-66,-34l11270,1622xe" fillcolor="#005594" stroked="f">
              <v:path arrowok="t"/>
            </v:shape>
            <v:shape id="docshape17" o:spid="_x0000_s2064" style="position:absolute;left:8869;top:1622;width:2641;height:3018" coordorigin="8870,1622" coordsize="2641,3018" path="m9110,1622r-76,13l8968,1669r-52,52l8882,1787r-12,75l8870,4400r12,76l8916,4542r52,52l9034,4628r76,12l11270,4640r76,-12l11412,4594r52,-52l11498,4476r12,-76l11510,1862r-12,-75l11464,1721r-52,-52l11346,1635r-76,-13l9110,1622xe" filled="f" strokecolor="#005594" strokeweight="1pt">
              <v:path arrowok="t"/>
            </v:shape>
            <v:shape id="docshape18" o:spid="_x0000_s2065" style="position:absolute;left:9401;top:2301;width:640;height:1599" coordorigin="9402,2302" coordsize="640,1599" o:spt="100" adj="0,,0" path="m9466,3453r-64,l9402,3581r,l9402,3773r,128l9466,3901r,-128l9466,3581r,l9466,3453xm9466,3005r-64,l9402,3069r64,l9466,3005xm9466,2813r-64,l9402,2877r64,l9466,2813xm9466,2302r-64,l9402,2685r,l9402,2749r64,l9466,2685r,l9466,2302xm9529,3197r-63,l9466,3261r63,l9529,3197xm9593,3837r-64,l9466,3837r,64l9529,3901r64,l9593,3837xm9593,3581r-64,l9529,3773r64,l9593,3581xm9593,3453r-64,l9466,3453r,64l9529,3517r64,l9593,3453xm9593,3069r-64,l9529,3133r64,l9593,3069xm9593,2877r-64,l9466,2877r,64l9529,2941r,64l9593,3005r,-128xm9593,2685r-64,l9466,2685r,64l9529,2749r64,l9593,2685xm9593,2430r-64,l9529,2621r64,l9593,2430xm9593,2302r-64,l9466,2302r,64l9529,2366r64,l9593,2302xm9657,3325r-64,l9593,3389r64,l9657,3325xm9721,3581r-64,l9593,3581r,192l9657,3773r64,l9721,3581xm9721,2430r-64,l9593,2430r,191l9657,2621r64,l9721,2430xm9785,3837r-64,l9657,3837r-64,l9593,3901r64,l9721,3901r64,l9785,3837xm9785,3453r-64,l9657,3453r-64,l9593,3517r64,l9721,3517r64,l9785,3453xm9785,3325r-64,l9721,3389r64,l9785,3325xm9785,2813r-64,l9657,2813r-64,l9593,2877r64,l9657,3005r-64,l9593,3261r64,l9657,3325r64,l9721,3197r-64,l9657,3133r64,l9721,3005r,-64l9785,2941r,-128xm9785,2685r-64,l9657,2685r-64,l9593,2749r64,l9721,2749r64,l9785,2685xm9785,2302r-64,l9657,2302r-64,l9593,2366r64,l9721,2366r64,l9785,2302xm9849,3453r-64,l9785,3581r,l9785,3773r,128l9849,3901r,-128l9849,3581r,l9849,3453xm9849,3197r-64,l9785,3261r64,l9849,3197xm9849,2941r-64,l9785,3005r64,l9849,2941xm9849,2302r-64,l9785,2685r,l9785,2749r64,l9849,2685r,l9849,2302xm9913,3005r-64,l9849,3069r-64,l9785,3133r64,l9913,3133r,-128xm9977,3837r-64,l9913,3901r64,l9977,3837xm9977,3389r-64,l9913,3581r,l9913,3709r64,l9977,3581r,l9977,3389xm9977,3261r-64,l9849,3261r,64l9785,3325r,64l9849,3389r64,l9913,3325r64,l9977,3261xm9977,2813r-64,l9849,2813r-64,l9785,2877r64,l9913,2877r64,l9977,2813xm9977,2685r-64,l9913,2749r64,l9977,2685xm9977,2557r-64,l9913,2621r64,l9977,2557xm9977,2302r-64,l9913,2493r64,l9977,2302xm10041,3581r-64,l9977,3645r64,l10041,3581xm10041,3069r-64,l9977,3325r64,l10041,3069xm10041,2749r-64,l9977,2877r64,l10041,2749xm10041,2557r-64,l9977,2685r64,l10041,2557xm10041,2366r-64,l9977,2430r64,l10041,2366xe" stroked="f">
              <v:stroke joinstyle="round"/>
              <v:formulas/>
              <v:path arrowok="t" o:connecttype="segments"/>
            </v:shape>
            <v:shape id="docshape19" o:spid="_x0000_s2066" style="position:absolute;left:9977;top:2301;width:704;height:1599" coordorigin="9977,2302" coordsize="704,1599" o:spt="100" adj="0,,0" path="m10041,3709r-64,l9977,3773r64,l10041,3709xm10105,3773r-64,l10041,3901r64,l10105,3773xm10105,2941r-64,l10041,3005r64,l10105,2941xm10105,2813r-64,l10041,2877r64,l10105,2813xm10169,3581r-64,l10041,3581r-64,l9977,3645r64,l10105,3645r,128l10169,3773r,-192xm10169,3389r-64,l10041,3389r,128l10105,3517r64,l10169,3389xm10169,3197r-64,l10105,3133r-64,l10041,3261r64,l10105,3325r64,l10169,3197xm10169,3005r-64,l10105,3069r64,l10169,3005xm10169,2877r-64,l10105,2941r64,l10169,2877xm10169,2621r-64,l10105,2557r-64,l10041,2685r,64l10105,2749r,-64l10169,2685r,-64xm10169,2302r-64,l10041,2302r,64l10105,2366r64,l10169,2302xm10233,3837r-64,l10169,3901r64,l10233,3837xm10233,3197r-64,l10169,3261r64,l10233,3197xm10233,3069r-64,l10169,3133r64,l10233,3069xm10233,2877r-64,l10169,3005r64,l10233,2877xm10297,3133r-64,l10233,3197r64,l10297,3133xm10361,3325r-64,l10233,3325r-64,l10169,3389r,64l10233,3453r64,l10297,3389r64,l10361,3325xm10553,2813r-64,l10489,2941r64,l10553,2813xm10617,3453r-64,l10553,3517r64,l10617,3453xm10617,3069r-64,l10489,3069r-64,l10425,3005r,-256l10361,2749r,-64l10361,2557r64,l10425,2685r,l10425,2749r64,l10489,2685r,l10489,2366r-64,l10425,2430r-64,l10361,2430r,63l10361,2557r-64,l10297,2493r64,l10361,2430r-64,l10297,2366r64,l10361,2302r-64,l10233,2302r-64,l10169,2366r64,l10233,2557r-64,l10169,2621r64,l10233,2685r-64,l10169,2749r64,l10233,2685r64,l10297,2749r-64,l10233,2813r64,l10297,2941r64,l10361,3005r,128l10425,3133r,64l10361,3197r,64l10425,3261r,128l10425,3453r-64,l10361,3517r-64,l10233,3517r,64l10169,3581r,64l10233,3645r,-64l10297,3581r,128l10233,3709r,64l10297,3773r,64l10361,3837r,l10425,3837r,64l10489,3901r,-128l10425,3773r,-128l10489,3645r,128l10553,3773r64,l10617,3581r-64,l10489,3581r,-192l10553,3389r64,l10617,3325r-64,l10489,3325r,-64l10553,3261r,-64l10489,3197r,-64l10553,3133r64,l10617,3069xm10681,2877r-64,l10617,2941r-64,l10553,3005r64,l10681,3005r,-128xm10681,2302r-64,l10553,2302r,383l10553,2685r,64l10617,2749r64,l10681,2685r-64,l10617,2366r64,l10681,2302xe" stroked="f">
              <v:stroke joinstyle="round"/>
              <v:formulas/>
              <v:path arrowok="t" o:connecttype="segments"/>
            </v:shape>
            <v:shape id="docshape20" o:spid="_x0000_s2067" style="position:absolute;left:10616;top:2301;width:384;height:1599" coordorigin="10617,2302" coordsize="384,1599" o:spt="100" adj="0,,0" path="m10809,3837r-64,l10745,3901r64,l10809,3837xm10873,2430r-64,l10745,2430r-64,l10681,2621r64,l10809,2621r64,l10873,2430xm11001,3645r-64,l10873,3645r,64l10809,3709r,64l10809,3837r64,l10937,3837r,64l11001,3901r,-128l11001,3645xm11001,3453r-64,l10937,3517r-64,l10873,3581r64,l11001,3581r,-128xm11001,3197r-64,l10937,3133r-64,l10873,3197r-64,l10745,3197r,-64l10681,3133r,128l10617,3261r,128l10681,3389r,192l10617,3581r,192l10617,3837r64,l10745,3837r,-64l10745,3709r-64,l10681,3645r64,l10745,3709r64,l10809,3581r-64,l10745,3517r64,l10809,3453r-64,l10745,3389r,-128l10809,3261r,128l10873,3389r,64l10937,3453r,-64l10937,3325r-64,l10873,3261r64,l10937,3325r64,l11001,3197xm11001,2813r-64,l10873,2813r-64,l10809,2877r-64,l10745,2813r-64,l10681,2877r-64,l10617,3005r,64l10681,3069r,-64l10681,2941r64,l10745,3005r,64l10809,3069r64,l10937,3069r,64l11001,3133r,-128l11001,2941r-64,l10937,3005r-64,l10809,3005r,-64l10873,2941r64,l10937,2877r64,l11001,2813xm11001,2302r-64,l10873,2302r-64,l10745,2302r-64,l10681,2366r64,l10809,2366r64,l10937,2366r,319l10873,2685r-64,l10745,2685r-64,l10681,2749r64,l10809,2749r64,l10937,2749r64,l11001,2685r,l11001,2302xe" stroked="f">
              <v:stroke joinstyle="round"/>
              <v:formulas/>
              <v:path arrowok="t" o:connecttype="segments"/>
            </v:shape>
            <v:shape id="docshape21" o:spid="_x0000_s2068" type="#_x0000_t202" style="position:absolute;left:9863;top:1799;width:585;height:387" filled="f" stroked="f">
              <v:textbox inset="0,0,0,0">
                <w:txbxContent>
                  <w:p>
                    <w:pPr>
                      <w:spacing w:before="5"/>
                      <w:rPr>
                        <w:b/>
                        <w:sz w:val="32"/>
                      </w:rPr>
                    </w:pPr>
                    <w:r>
                      <w:rPr>
                        <w:rFonts w:ascii="PMingLiU" w:eastAsia="PMingLiU" w:hAnsi="PMingLiU" w:cs="PMingLiU"/>
                        <w:b/>
                        <w:bCs/>
                        <w:color w:val="FFFFFF"/>
                        <w:w w:val="85"/>
                        <w:sz w:val="32"/>
                        <w:szCs w:val="32"/>
                        <w:lang w:eastAsia="zh-HK"/>
                      </w:rPr>
                      <w:t>瀏覽</w:t>
                    </w:r>
                  </w:p>
                </w:txbxContent>
              </v:textbox>
            </v:shape>
            <v:shape id="docshape22" o:spid="_x0000_s2069" type="#_x0000_t202" style="position:absolute;left:9186;top:4084;width:2030;height:387" filled="f" stroked="f">
              <v:textbox inset="0,0,0,0">
                <w:txbxContent>
                  <w:p>
                    <w:pPr>
                      <w:spacing w:before="5"/>
                      <w:rPr>
                        <w:b/>
                        <w:sz w:val="32"/>
                      </w:rPr>
                    </w:pPr>
                    <w:hyperlink r:id="rId9">
                      <w:r>
                        <w:rPr>
                          <w:rFonts w:ascii="PMingLiU" w:eastAsia="PMingLiU" w:hAnsi="PMingLiU" w:cs="PMingLiU"/>
                          <w:b/>
                          <w:bCs/>
                          <w:color w:val="FFFFFF"/>
                          <w:sz w:val="32"/>
                          <w:szCs w:val="32"/>
                          <w:u w:val="single"/>
                          <w:lang w:eastAsia="zh-HK"/>
                        </w:rPr>
                        <w:t>oshfriends.com</w:t>
                      </w:r>
                    </w:hyperlink>
                  </w:p>
                </w:txbxContent>
              </v:textbox>
            </v:shape>
            <w10:wrap anchorx="page"/>
          </v:group>
        </w:pict>
      </w:r>
      <w:r>
        <w:rPr>
          <w:rFonts w:eastAsia="PMingLiU"/>
          <w:color w:val="231F20"/>
          <w:w w:val="85"/>
          <w:lang w:eastAsia="zh-HK"/>
        </w:rPr>
        <w:t>為了增進安全並確保良好的探訪體驗，所有探訪者都必須遵守以下探訪準則。有違這些準則（包括預防感染的規定）可能會導致終止您的探訪，並限制您未來的探訪權。這些準則適用於親身前來醫院的探訪者和網上探訪者。請瀏覽</w:t>
      </w:r>
      <w:r>
        <w:rPr>
          <w:rFonts w:eastAsia="PMingLiU"/>
          <w:color w:val="231F20"/>
          <w:w w:val="85"/>
          <w:lang w:eastAsia="zh-HK"/>
        </w:rPr>
        <w:t xml:space="preserve"> </w:t>
      </w:r>
      <w:hyperlink r:id="rId10">
        <w:r>
          <w:rPr>
            <w:rFonts w:eastAsia="PMingLiU"/>
            <w:color w:val="005594"/>
            <w:w w:val="85"/>
            <w:u w:val="single"/>
            <w:lang w:eastAsia="zh-HK"/>
          </w:rPr>
          <w:t>www.OSHFriends.com</w:t>
        </w:r>
      </w:hyperlink>
      <w:r>
        <w:rPr>
          <w:rFonts w:eastAsia="PMingLiU"/>
          <w:color w:val="005594"/>
          <w:w w:val="85"/>
          <w:lang w:eastAsia="zh-HK"/>
        </w:rPr>
        <w:t xml:space="preserve"> </w:t>
      </w:r>
      <w:r>
        <w:rPr>
          <w:rFonts w:eastAsia="PMingLiU"/>
          <w:color w:val="231F20"/>
          <w:w w:val="85"/>
          <w:lang w:eastAsia="zh-HK"/>
        </w:rPr>
        <w:t>了解有關病人探訪的更多資料。</w:t>
      </w:r>
    </w:p>
    <w:p>
      <w:pPr>
        <w:pStyle w:val="BodyText"/>
        <w:spacing w:before="9"/>
        <w:rPr>
          <w:sz w:val="20"/>
          <w:lang w:eastAsia="zh-TW"/>
        </w:rPr>
      </w:pPr>
      <w:r>
        <w:pict>
          <v:shape id="docshape23" o:spid="_x0000_s2070" style="position:absolute;margin-left:36pt;margin-top:13.2pt;width:5in;height:.1pt;z-index:-251646976;mso-wrap-distance-left:0;mso-wrap-distance-right:0;mso-position-horizontal-relative:page" coordorigin="720,264" coordsize="7200,0" path="m720,264r7200,e" filled="f" strokecolor="#005594" strokeweight="3pt">
            <v:path arrowok="t"/>
            <w10:wrap type="topAndBottom" anchorx="page"/>
          </v:shape>
        </w:pict>
      </w:r>
    </w:p>
    <w:p>
      <w:pPr>
        <w:pStyle w:val="Heading1"/>
        <w:spacing w:before="206"/>
        <w:rPr>
          <w:lang w:eastAsia="zh-TW"/>
        </w:rPr>
      </w:pPr>
      <w:r>
        <w:rPr>
          <w:rFonts w:eastAsia="PMingLiU"/>
          <w:color w:val="005594"/>
          <w:w w:val="90"/>
          <w:lang w:eastAsia="zh-HK"/>
        </w:rPr>
        <w:t>探訪</w:t>
      </w:r>
    </w:p>
    <w:p>
      <w:pPr>
        <w:pStyle w:val="BodyText"/>
        <w:spacing w:before="65" w:line="249" w:lineRule="auto"/>
        <w:ind w:left="120" w:right="3769"/>
        <w:rPr>
          <w:lang w:eastAsia="zh-TW"/>
        </w:rPr>
      </w:pPr>
      <w:r>
        <w:pict>
          <v:rect id="docshape24" o:spid="_x0000_s2071" style="position:absolute;left:0;text-align:left;margin-left:470.1pt;margin-top:44.3pt;width:3.2pt;height:12.8pt;z-index:-251654144;mso-position-horizontal-relative:page" stroked="f">
            <w10:wrap anchorx="page"/>
          </v:rect>
        </w:pict>
      </w:r>
      <w:r>
        <w:rPr>
          <w:rFonts w:eastAsia="PMingLiU"/>
          <w:color w:val="231F20"/>
          <w:w w:val="85"/>
          <w:lang w:eastAsia="zh-HK"/>
        </w:rPr>
        <w:t xml:space="preserve">OSH </w:t>
      </w:r>
      <w:r>
        <w:rPr>
          <w:rFonts w:eastAsia="PMingLiU"/>
          <w:color w:val="231F20"/>
          <w:w w:val="85"/>
          <w:lang w:eastAsia="zh-HK"/>
        </w:rPr>
        <w:t>在本醫院內劃定了探訪區。所有探訪者在進入探訪區前必須完成安檢。出於安全原因，探訪者人數可能受限。</w:t>
      </w:r>
    </w:p>
    <w:p>
      <w:pPr>
        <w:pStyle w:val="Heading1"/>
        <w:spacing w:before="114"/>
        <w:rPr>
          <w:lang w:eastAsia="zh-TW"/>
        </w:rPr>
      </w:pPr>
      <w:r>
        <w:rPr>
          <w:rFonts w:eastAsia="PMingLiU"/>
          <w:color w:val="005594"/>
          <w:w w:val="80"/>
          <w:lang w:eastAsia="zh-HK"/>
        </w:rPr>
        <w:t>兒童前來探訪</w:t>
      </w:r>
    </w:p>
    <w:p>
      <w:pPr>
        <w:pStyle w:val="BodyText"/>
        <w:spacing w:before="66" w:line="249" w:lineRule="auto"/>
        <w:ind w:left="120" w:right="3769"/>
        <w:rPr>
          <w:lang w:eastAsia="zh-TW"/>
        </w:rPr>
      </w:pPr>
      <w:r>
        <w:rPr>
          <w:rFonts w:eastAsia="PMingLiU"/>
          <w:color w:val="231F20"/>
          <w:w w:val="85"/>
          <w:lang w:eastAsia="zh-HK"/>
        </w:rPr>
        <w:t xml:space="preserve">18 </w:t>
      </w:r>
      <w:r>
        <w:rPr>
          <w:rFonts w:eastAsia="PMingLiU"/>
          <w:color w:val="231F20"/>
          <w:w w:val="85"/>
          <w:lang w:eastAsia="zh-HK"/>
        </w:rPr>
        <w:t>歲以下兒童若事先獲得批准，可以在也獲准探訪的成年人陪護下前來探訪病人。有未成年人同來的探訪將按照探訪時間表上註明的不同時刻進行。</w:t>
      </w:r>
    </w:p>
    <w:p>
      <w:pPr>
        <w:pStyle w:val="Heading1"/>
        <w:spacing w:before="114"/>
        <w:rPr>
          <w:lang w:eastAsia="zh-TW"/>
        </w:rPr>
      </w:pPr>
      <w:r>
        <w:rPr>
          <w:rFonts w:eastAsia="PMingLiU"/>
          <w:color w:val="005594"/>
          <w:w w:val="80"/>
          <w:lang w:eastAsia="zh-HK"/>
        </w:rPr>
        <w:t>視像探訪</w:t>
      </w:r>
    </w:p>
    <w:p>
      <w:pPr>
        <w:pStyle w:val="BodyText"/>
        <w:spacing w:before="65" w:line="249" w:lineRule="auto"/>
        <w:ind w:left="120" w:right="944"/>
        <w:rPr>
          <w:lang w:eastAsia="zh-TW"/>
        </w:rPr>
      </w:pPr>
      <w:r>
        <w:rPr>
          <w:rFonts w:eastAsia="PMingLiU"/>
          <w:color w:val="231F20"/>
          <w:w w:val="80"/>
          <w:lang w:eastAsia="zh-HK"/>
        </w:rPr>
        <w:t>只有獲得</w:t>
      </w:r>
      <w:r>
        <w:rPr>
          <w:rFonts w:eastAsia="PMingLiU"/>
          <w:color w:val="231F20"/>
          <w:w w:val="80"/>
          <w:lang w:eastAsia="zh-HK"/>
        </w:rPr>
        <w:t xml:space="preserve"> OSH </w:t>
      </w:r>
      <w:r>
        <w:rPr>
          <w:rFonts w:eastAsia="PMingLiU"/>
          <w:color w:val="231F20"/>
          <w:w w:val="80"/>
          <w:lang w:eastAsia="zh-HK"/>
        </w:rPr>
        <w:t>批准的探訪者才可參與視像探訪。若工作人員發現其中有未經批准者，可能會要求您結束視像探訪。病人和探訪者都必須遵守本文件所述準則，包括有關探訪者著裝、同訪客人的行為、錄音或錄影，以及使用違禁物品的準則。</w:t>
      </w:r>
    </w:p>
    <w:p>
      <w:pPr>
        <w:pStyle w:val="Heading1"/>
        <w:spacing w:before="115"/>
        <w:rPr>
          <w:lang w:eastAsia="zh-TW"/>
        </w:rPr>
      </w:pPr>
      <w:r>
        <w:rPr>
          <w:rFonts w:eastAsia="PMingLiU"/>
          <w:color w:val="005594"/>
          <w:w w:val="80"/>
          <w:lang w:eastAsia="zh-HK"/>
        </w:rPr>
        <w:t>同訪客人的行為</w:t>
      </w:r>
    </w:p>
    <w:p>
      <w:pPr>
        <w:pStyle w:val="BodyText"/>
        <w:spacing w:before="66" w:line="249" w:lineRule="auto"/>
        <w:ind w:left="120" w:right="80"/>
        <w:rPr>
          <w:lang w:eastAsia="zh-TW"/>
        </w:rPr>
      </w:pPr>
      <w:r>
        <w:rPr>
          <w:rFonts w:eastAsia="PMingLiU"/>
          <w:color w:val="231F20"/>
          <w:w w:val="85"/>
          <w:lang w:eastAsia="zh-HK"/>
        </w:rPr>
        <w:t>有破壞性的行為，包括但不限於爭吵、大喊大叫、說粗口髒話、醉酒，或使用違禁物質，均可能導致終止您的探訪。</w:t>
      </w:r>
    </w:p>
    <w:p>
      <w:pPr>
        <w:pStyle w:val="Heading1"/>
        <w:rPr>
          <w:lang w:eastAsia="zh-TW"/>
        </w:rPr>
      </w:pPr>
      <w:r>
        <w:rPr>
          <w:rFonts w:eastAsia="PMingLiU"/>
          <w:color w:val="005594"/>
          <w:w w:val="80"/>
          <w:lang w:eastAsia="zh-HK"/>
        </w:rPr>
        <w:t>吸煙及使用煙草產品</w:t>
      </w:r>
    </w:p>
    <w:p>
      <w:pPr>
        <w:pStyle w:val="BodyText"/>
        <w:spacing w:before="65" w:line="249" w:lineRule="auto"/>
        <w:ind w:left="120" w:right="944"/>
        <w:rPr>
          <w:lang w:eastAsia="zh-TW"/>
        </w:rPr>
      </w:pPr>
      <w:r>
        <w:rPr>
          <w:rFonts w:eastAsia="PMingLiU"/>
          <w:color w:val="231F20"/>
          <w:w w:val="85"/>
          <w:lang w:eastAsia="zh-HK"/>
        </w:rPr>
        <w:t>醫院場所內禁止吸煙及使用煙草產品，包括大麻、香煙、電子煙、水煙產品或隨身用具、火柴或打火機。這當中包括</w:t>
      </w:r>
      <w:r>
        <w:rPr>
          <w:rFonts w:eastAsia="PMingLiU"/>
          <w:color w:val="231F20"/>
          <w:w w:val="80"/>
          <w:lang w:eastAsia="zh-HK"/>
        </w:rPr>
        <w:t>本醫院、停車場，以及所有相關的</w:t>
      </w:r>
      <w:r>
        <w:rPr>
          <w:rFonts w:eastAsia="PMingLiU"/>
          <w:color w:val="231F20"/>
          <w:w w:val="80"/>
          <w:lang w:eastAsia="zh-HK"/>
        </w:rPr>
        <w:t xml:space="preserve"> OSH </w:t>
      </w:r>
      <w:r>
        <w:rPr>
          <w:rFonts w:eastAsia="PMingLiU"/>
          <w:color w:val="231F20"/>
          <w:w w:val="80"/>
          <w:lang w:eastAsia="zh-HK"/>
        </w:rPr>
        <w:t>物業。</w:t>
      </w:r>
    </w:p>
    <w:p>
      <w:pPr>
        <w:pStyle w:val="Heading1"/>
        <w:spacing w:before="125"/>
        <w:rPr>
          <w:lang w:eastAsia="zh-TW"/>
        </w:rPr>
      </w:pPr>
      <w:r>
        <w:rPr>
          <w:rFonts w:eastAsia="PMingLiU"/>
          <w:color w:val="005594"/>
          <w:w w:val="80"/>
          <w:lang w:eastAsia="zh-HK"/>
        </w:rPr>
        <w:t>肢體問候</w:t>
      </w:r>
    </w:p>
    <w:p>
      <w:pPr>
        <w:pStyle w:val="BodyText"/>
        <w:spacing w:before="66" w:line="249" w:lineRule="auto"/>
        <w:ind w:left="120" w:right="1095"/>
        <w:rPr>
          <w:lang w:eastAsia="zh-TW"/>
        </w:rPr>
      </w:pPr>
      <w:r>
        <w:rPr>
          <w:rFonts w:eastAsia="PMingLiU"/>
          <w:color w:val="231F20"/>
          <w:w w:val="85"/>
          <w:lang w:eastAsia="zh-HK"/>
        </w:rPr>
        <w:t>允許短暫的招呼和告別擁抱。在探訪的餘下時間，不允許身體接觸。</w:t>
      </w:r>
    </w:p>
    <w:p>
      <w:pPr>
        <w:pStyle w:val="Heading1"/>
        <w:spacing w:before="112"/>
        <w:rPr>
          <w:lang w:eastAsia="zh-TW"/>
        </w:rPr>
      </w:pPr>
      <w:r>
        <w:rPr>
          <w:rFonts w:eastAsia="PMingLiU"/>
          <w:color w:val="005594"/>
          <w:w w:val="80"/>
          <w:lang w:eastAsia="zh-HK"/>
        </w:rPr>
        <w:t>健康與福祉</w:t>
      </w:r>
    </w:p>
    <w:p>
      <w:pPr>
        <w:pStyle w:val="BodyText"/>
        <w:spacing w:before="66" w:line="249" w:lineRule="auto"/>
        <w:ind w:left="120" w:right="944"/>
        <w:rPr>
          <w:lang w:eastAsia="zh-TW"/>
        </w:rPr>
      </w:pPr>
      <w:r>
        <w:rPr>
          <w:rFonts w:eastAsia="PMingLiU"/>
          <w:color w:val="231F20"/>
          <w:w w:val="85"/>
          <w:lang w:eastAsia="zh-HK"/>
        </w:rPr>
        <w:t>為了支援所有的</w:t>
      </w:r>
      <w:r>
        <w:rPr>
          <w:rFonts w:eastAsia="PMingLiU"/>
          <w:color w:val="231F20"/>
          <w:w w:val="85"/>
          <w:lang w:eastAsia="zh-HK"/>
        </w:rPr>
        <w:t xml:space="preserve"> OSH </w:t>
      </w:r>
      <w:r>
        <w:rPr>
          <w:rFonts w:eastAsia="PMingLiU"/>
          <w:color w:val="231F20"/>
          <w:w w:val="85"/>
          <w:lang w:eastAsia="zh-HK"/>
        </w:rPr>
        <w:t>病人、員工和探訪者的健康，如果您感到身體不舒服，請勿來訪。我們建議所有探訪者每年都接種疫苗、使用接待大廳內的</w:t>
      </w:r>
      <w:r>
        <w:rPr>
          <w:rFonts w:eastAsia="PMingLiU"/>
          <w:color w:val="231F20"/>
          <w:w w:val="85"/>
          <w:lang w:eastAsia="zh-HK"/>
        </w:rPr>
        <w:t xml:space="preserve"> OSH </w:t>
      </w:r>
      <w:r>
        <w:rPr>
          <w:rFonts w:eastAsia="PMingLiU"/>
          <w:color w:val="231F20"/>
          <w:w w:val="85"/>
          <w:lang w:eastAsia="zh-HK"/>
        </w:rPr>
        <w:t>手部衛生站，及在咳嗽和打噴嚏時遮掩口鼻。如果</w:t>
      </w:r>
      <w:r>
        <w:rPr>
          <w:rFonts w:eastAsia="PMingLiU"/>
          <w:color w:val="231F20"/>
          <w:w w:val="85"/>
          <w:lang w:eastAsia="zh-HK"/>
        </w:rPr>
        <w:t xml:space="preserve"> OSH </w:t>
      </w:r>
      <w:r>
        <w:rPr>
          <w:rFonts w:eastAsia="PMingLiU"/>
          <w:color w:val="231F20"/>
          <w:w w:val="85"/>
          <w:lang w:eastAsia="zh-HK"/>
        </w:rPr>
        <w:t>要求探訪者戴上口罩，本醫院會提供。</w:t>
      </w:r>
    </w:p>
    <w:p>
      <w:pPr>
        <w:rPr>
          <w:lang w:eastAsia="zh-TW"/>
        </w:rPr>
        <w:sectPr>
          <w:headerReference w:type="default" r:id="rId11"/>
          <w:footerReference w:type="default" r:id="rId12"/>
          <w:pgSz w:w="12240" w:h="15840"/>
          <w:pgMar w:top="1040" w:right="600" w:bottom="900" w:left="600" w:header="626" w:footer="707" w:gutter="0"/>
          <w:pgNumType w:start="1"/>
          <w:cols w:space="720"/>
        </w:sectPr>
      </w:pPr>
    </w:p>
    <w:p>
      <w:pPr>
        <w:pStyle w:val="BodyText"/>
        <w:spacing w:before="3"/>
        <w:rPr>
          <w:sz w:val="10"/>
          <w:lang w:eastAsia="zh-TW"/>
        </w:rPr>
      </w:pPr>
    </w:p>
    <w:p>
      <w:pPr>
        <w:pStyle w:val="Heading1"/>
        <w:spacing w:before="105"/>
        <w:rPr>
          <w:lang w:eastAsia="zh-TW"/>
        </w:rPr>
      </w:pPr>
      <w:r>
        <w:rPr>
          <w:rFonts w:eastAsia="PMingLiU"/>
          <w:color w:val="005594"/>
          <w:w w:val="80"/>
          <w:lang w:eastAsia="zh-HK"/>
        </w:rPr>
        <w:t>現金和資金</w:t>
      </w:r>
    </w:p>
    <w:p>
      <w:pPr>
        <w:pStyle w:val="BodyText"/>
        <w:spacing w:before="66" w:line="249" w:lineRule="auto"/>
        <w:ind w:left="120" w:right="80"/>
        <w:rPr>
          <w:lang w:eastAsia="zh-TW"/>
        </w:rPr>
      </w:pPr>
      <w:r>
        <w:rPr>
          <w:rFonts w:eastAsia="PMingLiU"/>
          <w:color w:val="231F20"/>
          <w:w w:val="85"/>
          <w:lang w:eastAsia="zh-HK"/>
        </w:rPr>
        <w:t>病人不得直接收取探訪者給的現金。您可以在本醫院大廳，通過接待處職員將現金存入您朋友或家人的信託賬戶。您會收到一張收據。</w:t>
      </w:r>
    </w:p>
    <w:p>
      <w:pPr>
        <w:pStyle w:val="Heading1"/>
        <w:spacing w:before="114"/>
        <w:rPr>
          <w:lang w:eastAsia="zh-TW"/>
        </w:rPr>
      </w:pPr>
      <w:r>
        <w:rPr>
          <w:rFonts w:eastAsia="PMingLiU"/>
          <w:color w:val="005594"/>
          <w:w w:val="80"/>
          <w:lang w:eastAsia="zh-HK"/>
        </w:rPr>
        <w:t>禮品和財物</w:t>
      </w:r>
    </w:p>
    <w:p>
      <w:pPr>
        <w:pStyle w:val="BodyText"/>
        <w:spacing w:before="66" w:line="249" w:lineRule="auto"/>
        <w:ind w:left="120" w:right="1095"/>
        <w:rPr>
          <w:lang w:eastAsia="zh-TW"/>
        </w:rPr>
      </w:pPr>
      <w:r>
        <w:rPr>
          <w:rFonts w:eastAsia="PMingLiU"/>
          <w:color w:val="231F20"/>
          <w:w w:val="85"/>
          <w:lang w:eastAsia="zh-HK"/>
        </w:rPr>
        <w:t xml:space="preserve">OSH </w:t>
      </w:r>
      <w:r>
        <w:rPr>
          <w:rFonts w:eastAsia="PMingLiU"/>
          <w:color w:val="231F20"/>
          <w:w w:val="85"/>
          <w:lang w:eastAsia="zh-HK"/>
        </w:rPr>
        <w:t>必須確保病人安全。我們確保安全的方法之一，是確保所有病人的財物都經過批准才可在我們安全的精神疾病護理環境下使用。因此，探訪者在探訪期間不得攜帶物品以贈予朋友或家人。</w:t>
      </w:r>
    </w:p>
    <w:p>
      <w:pPr>
        <w:pStyle w:val="Heading1"/>
        <w:rPr>
          <w:lang w:eastAsia="zh-TW"/>
        </w:rPr>
      </w:pPr>
      <w:r>
        <w:rPr>
          <w:rFonts w:eastAsia="PMingLiU"/>
          <w:color w:val="005594"/>
          <w:w w:val="80"/>
          <w:lang w:eastAsia="zh-HK"/>
        </w:rPr>
        <w:t>車內的兒童和動物</w:t>
      </w:r>
    </w:p>
    <w:p>
      <w:pPr>
        <w:pStyle w:val="BodyText"/>
        <w:spacing w:before="66" w:line="249" w:lineRule="auto"/>
        <w:ind w:left="120" w:right="695"/>
        <w:rPr>
          <w:lang w:eastAsia="zh-TW"/>
        </w:rPr>
      </w:pPr>
      <w:r>
        <w:rPr>
          <w:rFonts w:eastAsia="PMingLiU"/>
          <w:color w:val="231F20"/>
          <w:w w:val="80"/>
          <w:lang w:eastAsia="zh-HK"/>
        </w:rPr>
        <w:t>不得將兒童獨自留在停放於</w:t>
      </w:r>
      <w:r>
        <w:rPr>
          <w:rFonts w:eastAsia="PMingLiU"/>
          <w:color w:val="231F20"/>
          <w:w w:val="80"/>
          <w:lang w:eastAsia="zh-HK"/>
        </w:rPr>
        <w:t xml:space="preserve"> OSH </w:t>
      </w:r>
      <w:r>
        <w:rPr>
          <w:rFonts w:eastAsia="PMingLiU"/>
          <w:color w:val="231F20"/>
          <w:w w:val="80"/>
          <w:lang w:eastAsia="zh-HK"/>
        </w:rPr>
        <w:t>物業的車輛內。根據俄勒岡州修訂法令</w:t>
      </w:r>
      <w:r>
        <w:rPr>
          <w:rFonts w:eastAsia="PMingLiU"/>
          <w:color w:val="231F20"/>
          <w:w w:val="80"/>
          <w:lang w:eastAsia="zh-HK"/>
        </w:rPr>
        <w:t xml:space="preserve">(ORS) 167.310 </w:t>
      </w:r>
      <w:r>
        <w:rPr>
          <w:rFonts w:eastAsia="PMingLiU"/>
          <w:color w:val="231F20"/>
          <w:w w:val="80"/>
          <w:lang w:eastAsia="zh-HK"/>
        </w:rPr>
        <w:t>至</w:t>
      </w:r>
      <w:r>
        <w:rPr>
          <w:rFonts w:eastAsia="PMingLiU"/>
          <w:color w:val="231F20"/>
          <w:w w:val="80"/>
          <w:lang w:eastAsia="zh-HK"/>
        </w:rPr>
        <w:t xml:space="preserve"> ORS 167.350</w:t>
      </w:r>
      <w:r>
        <w:rPr>
          <w:rFonts w:eastAsia="PMingLiU"/>
          <w:color w:val="231F20"/>
          <w:w w:val="80"/>
          <w:lang w:eastAsia="zh-HK"/>
        </w:rPr>
        <w:t>，不得將動物留在停放於</w:t>
      </w:r>
      <w:r>
        <w:rPr>
          <w:rFonts w:eastAsia="PMingLiU"/>
          <w:color w:val="231F20"/>
          <w:w w:val="80"/>
          <w:lang w:eastAsia="zh-HK"/>
        </w:rPr>
        <w:t xml:space="preserve"> OSH </w:t>
      </w:r>
      <w:r>
        <w:rPr>
          <w:rFonts w:eastAsia="PMingLiU"/>
          <w:color w:val="231F20"/>
          <w:w w:val="80"/>
          <w:lang w:eastAsia="zh-HK"/>
        </w:rPr>
        <w:t>物業的車輛內。</w:t>
      </w:r>
    </w:p>
    <w:p>
      <w:pPr>
        <w:pStyle w:val="Heading1"/>
        <w:rPr>
          <w:lang w:eastAsia="zh-TW"/>
        </w:rPr>
      </w:pPr>
      <w:r>
        <w:rPr>
          <w:rFonts w:eastAsia="PMingLiU"/>
          <w:color w:val="005594"/>
          <w:w w:val="80"/>
          <w:lang w:eastAsia="zh-HK"/>
        </w:rPr>
        <w:t>違禁品和受禁品</w:t>
      </w:r>
    </w:p>
    <w:p>
      <w:pPr>
        <w:pStyle w:val="BodyText"/>
        <w:spacing w:before="65" w:line="249" w:lineRule="auto"/>
        <w:ind w:left="120" w:right="944"/>
        <w:rPr>
          <w:lang w:eastAsia="zh-TW"/>
        </w:rPr>
      </w:pPr>
      <w:r>
        <w:rPr>
          <w:rFonts w:eastAsia="PMingLiU"/>
          <w:color w:val="231F20"/>
          <w:w w:val="85"/>
          <w:lang w:eastAsia="zh-HK"/>
        </w:rPr>
        <w:t>為了給病人、探訪者和工作人員提供一個安全的環境，某些物品不許帶入本醫院。探訪期間，病人和探訪者不得互換任何物品。</w:t>
      </w:r>
    </w:p>
    <w:p>
      <w:pPr>
        <w:pStyle w:val="BodyText"/>
        <w:spacing w:before="63" w:line="249" w:lineRule="auto"/>
        <w:ind w:left="120" w:right="80"/>
        <w:rPr>
          <w:lang w:eastAsia="zh-TW"/>
        </w:rPr>
      </w:pPr>
      <w:r>
        <w:rPr>
          <w:rFonts w:eastAsia="PMingLiU"/>
          <w:color w:val="231F20"/>
          <w:w w:val="85"/>
          <w:lang w:eastAsia="zh-HK"/>
        </w:rPr>
        <w:t>違禁品包括，但不限於；管制物質、毒品用具、逃生裝置、煙草產品、武器，以及《</w:t>
      </w:r>
      <w:r>
        <w:rPr>
          <w:rFonts w:eastAsia="PMingLiU"/>
          <w:color w:val="231F20"/>
          <w:w w:val="85"/>
          <w:lang w:eastAsia="zh-HK"/>
        </w:rPr>
        <w:t xml:space="preserve">OSH </w:t>
      </w:r>
      <w:r>
        <w:rPr>
          <w:rFonts w:eastAsia="PMingLiU"/>
          <w:color w:val="231F20"/>
          <w:w w:val="85"/>
          <w:lang w:eastAsia="zh-HK"/>
        </w:rPr>
        <w:t>患者財產</w:t>
      </w:r>
      <w:r>
        <w:rPr>
          <w:rFonts w:eastAsia="PMingLiU"/>
          <w:color w:val="231F20"/>
          <w:w w:val="85"/>
          <w:lang w:eastAsia="zh-HK"/>
        </w:rPr>
        <w:t>/</w:t>
      </w:r>
      <w:r>
        <w:rPr>
          <w:rFonts w:eastAsia="PMingLiU"/>
          <w:color w:val="231F20"/>
          <w:w w:val="85"/>
          <w:lang w:eastAsia="zh-HK"/>
        </w:rPr>
        <w:t>物品存取清單》上列出的所有受禁品。根據</w:t>
      </w:r>
      <w:r>
        <w:rPr>
          <w:rFonts w:eastAsia="PMingLiU"/>
          <w:color w:val="231F20"/>
          <w:w w:val="85"/>
          <w:lang w:eastAsia="zh-HK"/>
        </w:rPr>
        <w:t xml:space="preserve"> ORS 162.135– 162.1851</w:t>
      </w:r>
      <w:r>
        <w:rPr>
          <w:rFonts w:eastAsia="PMingLiU"/>
          <w:color w:val="231F20"/>
          <w:w w:val="85"/>
          <w:lang w:eastAsia="zh-HK"/>
        </w:rPr>
        <w:t>，傳遞違禁品屬於</w:t>
      </w:r>
      <w:r>
        <w:rPr>
          <w:rFonts w:eastAsia="PMingLiU"/>
          <w:color w:val="231F20"/>
          <w:w w:val="85"/>
          <w:lang w:eastAsia="zh-HK"/>
        </w:rPr>
        <w:t xml:space="preserve"> C </w:t>
      </w:r>
      <w:r>
        <w:rPr>
          <w:rFonts w:eastAsia="PMingLiU"/>
          <w:color w:val="231F20"/>
          <w:w w:val="85"/>
          <w:lang w:eastAsia="zh-HK"/>
        </w:rPr>
        <w:t>級重罪。</w:t>
      </w:r>
    </w:p>
    <w:p>
      <w:pPr>
        <w:pStyle w:val="BodyText"/>
        <w:spacing w:before="63" w:line="249" w:lineRule="auto"/>
        <w:ind w:left="120" w:right="80"/>
        <w:rPr>
          <w:lang w:eastAsia="zh-TW"/>
        </w:rPr>
      </w:pPr>
      <w:r>
        <w:rPr>
          <w:rFonts w:eastAsia="PMingLiU"/>
          <w:color w:val="231F20"/>
          <w:w w:val="85"/>
          <w:lang w:eastAsia="zh-HK"/>
        </w:rPr>
        <w:t>所有進入</w:t>
      </w:r>
      <w:r>
        <w:rPr>
          <w:rFonts w:eastAsia="PMingLiU"/>
          <w:color w:val="231F20"/>
          <w:w w:val="85"/>
          <w:lang w:eastAsia="zh-HK"/>
        </w:rPr>
        <w:t xml:space="preserve"> OSH </w:t>
      </w:r>
      <w:r>
        <w:rPr>
          <w:rFonts w:eastAsia="PMingLiU"/>
          <w:color w:val="231F20"/>
          <w:w w:val="85"/>
          <w:lang w:eastAsia="zh-HK"/>
        </w:rPr>
        <w:t>物業的人員、手提包、背包、包袋和車輛都必須接受檢查。有關患者財產、違禁品和受禁品的更多資料，請瀏覽</w:t>
      </w:r>
      <w:r>
        <w:rPr>
          <w:rFonts w:eastAsia="PMingLiU"/>
          <w:color w:val="231F20"/>
          <w:w w:val="85"/>
          <w:lang w:eastAsia="zh-HK"/>
        </w:rPr>
        <w:t xml:space="preserve"> </w:t>
      </w:r>
      <w:hyperlink r:id="rId13">
        <w:r>
          <w:rPr>
            <w:rFonts w:eastAsia="PMingLiU"/>
            <w:color w:val="005594"/>
            <w:w w:val="85"/>
            <w:lang w:eastAsia="zh-HK"/>
          </w:rPr>
          <w:t>www.OSHFriends.com</w:t>
        </w:r>
      </w:hyperlink>
      <w:r>
        <w:rPr>
          <w:rFonts w:eastAsia="PMingLiU"/>
          <w:color w:val="231F20"/>
          <w:w w:val="85"/>
          <w:lang w:eastAsia="zh-HK"/>
        </w:rPr>
        <w:t>。</w:t>
      </w:r>
    </w:p>
    <w:p>
      <w:pPr>
        <w:pStyle w:val="Heading1"/>
        <w:rPr>
          <w:lang w:eastAsia="zh-TW"/>
        </w:rPr>
      </w:pPr>
      <w:r>
        <w:rPr>
          <w:rFonts w:eastAsia="PMingLiU"/>
          <w:color w:val="005594"/>
          <w:w w:val="90"/>
          <w:lang w:eastAsia="zh-HK"/>
        </w:rPr>
        <w:t>食物</w:t>
      </w:r>
    </w:p>
    <w:p>
      <w:pPr>
        <w:pStyle w:val="BodyText"/>
        <w:spacing w:before="65" w:line="249" w:lineRule="auto"/>
        <w:ind w:left="120" w:right="695"/>
        <w:rPr>
          <w:lang w:eastAsia="zh-TW"/>
        </w:rPr>
      </w:pPr>
      <w:r>
        <w:rPr>
          <w:rFonts w:eastAsia="PMingLiU"/>
          <w:color w:val="231F20"/>
          <w:w w:val="85"/>
          <w:lang w:eastAsia="zh-HK"/>
        </w:rPr>
        <w:t>探訪期間病人及其探訪者不得吃東西或喝飲料。這包括買自本醫院咖啡館、咖啡店或市場的物品。</w:t>
      </w:r>
    </w:p>
    <w:p>
      <w:pPr>
        <w:pStyle w:val="Heading1"/>
        <w:rPr>
          <w:lang w:eastAsia="zh-TW"/>
        </w:rPr>
      </w:pPr>
      <w:r>
        <w:rPr>
          <w:rFonts w:eastAsia="PMingLiU"/>
          <w:color w:val="005594"/>
          <w:w w:val="80"/>
          <w:lang w:eastAsia="zh-HK"/>
        </w:rPr>
        <w:t>拍照及錄影</w:t>
      </w:r>
    </w:p>
    <w:p>
      <w:pPr>
        <w:pStyle w:val="BodyText"/>
        <w:spacing w:before="66" w:line="249" w:lineRule="auto"/>
        <w:ind w:left="120" w:right="695"/>
        <w:rPr>
          <w:lang w:eastAsia="zh-TW"/>
        </w:rPr>
      </w:pPr>
      <w:r>
        <w:rPr>
          <w:rFonts w:eastAsia="PMingLiU"/>
          <w:color w:val="231F20"/>
          <w:w w:val="85"/>
          <w:lang w:eastAsia="zh-HK"/>
        </w:rPr>
        <w:t>探訪期間不允許錄音或錄影。經事先授權，可允許與患者合影。本醫院配備相機與職員，可協助給您和您的朋友或家人拍照。請在預約您的探訪時提出此項請求。</w:t>
      </w:r>
    </w:p>
    <w:p>
      <w:pPr>
        <w:spacing w:line="249" w:lineRule="auto"/>
        <w:rPr>
          <w:lang w:eastAsia="zh-TW"/>
        </w:rPr>
        <w:sectPr>
          <w:pgSz w:w="12240" w:h="15840"/>
          <w:pgMar w:top="1140" w:right="600" w:bottom="900" w:left="600" w:header="626" w:footer="707" w:gutter="0"/>
          <w:cols w:space="720"/>
        </w:sectPr>
      </w:pPr>
    </w:p>
    <w:p>
      <w:pPr>
        <w:pStyle w:val="BodyText"/>
        <w:spacing w:before="3"/>
        <w:rPr>
          <w:sz w:val="10"/>
          <w:lang w:eastAsia="zh-TW"/>
        </w:rPr>
      </w:pPr>
    </w:p>
    <w:p>
      <w:pPr>
        <w:pStyle w:val="Heading1"/>
        <w:spacing w:before="105"/>
        <w:jc w:val="both"/>
        <w:rPr>
          <w:lang w:eastAsia="zh-TW"/>
        </w:rPr>
      </w:pPr>
      <w:r>
        <w:rPr>
          <w:rFonts w:eastAsia="PMingLiU"/>
          <w:color w:val="005594"/>
          <w:w w:val="80"/>
          <w:lang w:eastAsia="zh-HK"/>
        </w:rPr>
        <w:t>探訪者著裝</w:t>
      </w:r>
    </w:p>
    <w:p>
      <w:pPr>
        <w:pStyle w:val="BodyText"/>
        <w:spacing w:before="66" w:line="249" w:lineRule="auto"/>
        <w:ind w:left="120" w:right="583"/>
        <w:jc w:val="both"/>
        <w:rPr>
          <w:lang w:eastAsia="zh-TW"/>
        </w:rPr>
      </w:pPr>
      <w:r>
        <w:rPr>
          <w:rFonts w:eastAsia="PMingLiU"/>
          <w:color w:val="231F20"/>
          <w:w w:val="85"/>
          <w:lang w:eastAsia="zh-HK"/>
        </w:rPr>
        <w:t>請注意，某些病人可能會對暴露的衣物或宣揚毒品、酒精或暴力的圖像產生反應。為了病人的身心健康和安全，也為了職員和其他探訪者的安全，我們要求您穿著適合醫院環境的得體服裝。所著衣物必須包括女裝或襯衫，搭配裙子、長褲或短褲以及鞋子或涼鞋。</w:t>
      </w:r>
    </w:p>
    <w:p>
      <w:pPr>
        <w:pStyle w:val="Heading2"/>
        <w:spacing w:before="65"/>
        <w:jc w:val="both"/>
        <w:rPr>
          <w:lang w:eastAsia="zh-TW"/>
        </w:rPr>
      </w:pPr>
      <w:r>
        <w:rPr>
          <w:rFonts w:eastAsia="PMingLiU"/>
          <w:color w:val="231F20"/>
          <w:w w:val="80"/>
          <w:lang w:eastAsia="zh-HK"/>
        </w:rPr>
        <w:t>探訪時不允許穿著以下衣物：</w:t>
      </w:r>
    </w:p>
    <w:p>
      <w:pPr>
        <w:pStyle w:val="ListParagraph"/>
        <w:numPr>
          <w:ilvl w:val="0"/>
          <w:numId w:val="1"/>
        </w:numPr>
        <w:tabs>
          <w:tab w:val="left" w:pos="599"/>
          <w:tab w:val="left" w:pos="600"/>
        </w:tabs>
        <w:rPr>
          <w:sz w:val="28"/>
          <w:lang w:eastAsia="zh-TW"/>
        </w:rPr>
      </w:pPr>
      <w:r>
        <w:rPr>
          <w:rFonts w:eastAsia="PMingLiU"/>
          <w:color w:val="231F20"/>
          <w:w w:val="80"/>
          <w:sz w:val="28"/>
          <w:szCs w:val="28"/>
          <w:lang w:eastAsia="zh-HK"/>
        </w:rPr>
        <w:t>迷彩服或軍款裝，除非事先獲得</w:t>
      </w:r>
      <w:r>
        <w:rPr>
          <w:rFonts w:eastAsia="PMingLiU"/>
          <w:color w:val="231F20"/>
          <w:w w:val="80"/>
          <w:sz w:val="28"/>
          <w:szCs w:val="28"/>
          <w:lang w:eastAsia="zh-HK"/>
        </w:rPr>
        <w:t xml:space="preserve"> OSH </w:t>
      </w:r>
      <w:r>
        <w:rPr>
          <w:rFonts w:eastAsia="PMingLiU"/>
          <w:color w:val="231F20"/>
          <w:w w:val="80"/>
          <w:sz w:val="28"/>
          <w:szCs w:val="28"/>
          <w:lang w:eastAsia="zh-HK"/>
        </w:rPr>
        <w:t>批准。</w:t>
      </w:r>
    </w:p>
    <w:p>
      <w:pPr>
        <w:pStyle w:val="ListParagraph"/>
        <w:numPr>
          <w:ilvl w:val="0"/>
          <w:numId w:val="1"/>
        </w:numPr>
        <w:tabs>
          <w:tab w:val="left" w:pos="599"/>
          <w:tab w:val="left" w:pos="600"/>
        </w:tabs>
        <w:spacing w:line="249" w:lineRule="auto"/>
        <w:ind w:right="823"/>
        <w:rPr>
          <w:sz w:val="28"/>
          <w:lang w:eastAsia="zh-TW"/>
        </w:rPr>
      </w:pPr>
      <w:r>
        <w:rPr>
          <w:rFonts w:eastAsia="PMingLiU"/>
          <w:color w:val="231F20"/>
          <w:w w:val="85"/>
          <w:sz w:val="28"/>
          <w:szCs w:val="28"/>
          <w:lang w:eastAsia="zh-HK"/>
        </w:rPr>
        <w:t>帶有與酒精、煙草產品、毒品、粗俗、暴力、偏執、性意味，或暗示上述任一項之文字或標誌的衣物。</w:t>
      </w:r>
    </w:p>
    <w:p>
      <w:pPr>
        <w:pStyle w:val="ListParagraph"/>
        <w:numPr>
          <w:ilvl w:val="0"/>
          <w:numId w:val="1"/>
        </w:numPr>
        <w:tabs>
          <w:tab w:val="left" w:pos="599"/>
          <w:tab w:val="left" w:pos="600"/>
        </w:tabs>
        <w:spacing w:before="62" w:line="249" w:lineRule="auto"/>
        <w:ind w:right="313"/>
        <w:rPr>
          <w:sz w:val="28"/>
          <w:lang w:eastAsia="zh-TW"/>
        </w:rPr>
      </w:pPr>
      <w:r>
        <w:rPr>
          <w:rFonts w:eastAsia="PMingLiU"/>
          <w:color w:val="231F20"/>
          <w:w w:val="85"/>
          <w:sz w:val="28"/>
          <w:szCs w:val="28"/>
          <w:lang w:eastAsia="zh-HK"/>
        </w:rPr>
        <w:t>可能讓人視為挑逗的衣物，包括但不限超短的裙子或短褲、可看透的、緊身的或低胸的衣物，和</w:t>
      </w:r>
      <w:r>
        <w:rPr>
          <w:rFonts w:eastAsia="PMingLiU"/>
          <w:color w:val="231F20"/>
          <w:w w:val="85"/>
          <w:sz w:val="28"/>
          <w:szCs w:val="28"/>
          <w:lang w:eastAsia="zh-HK"/>
        </w:rPr>
        <w:t>/</w:t>
      </w:r>
      <w:r>
        <w:rPr>
          <w:rFonts w:eastAsia="PMingLiU"/>
          <w:color w:val="231F20"/>
          <w:w w:val="85"/>
          <w:sz w:val="28"/>
          <w:szCs w:val="28"/>
          <w:lang w:eastAsia="zh-HK"/>
        </w:rPr>
        <w:t>或隨時（即坐著、站著或彎腰時）會露出內衣、後背、上腹部或大腿的衣物。</w:t>
      </w:r>
    </w:p>
    <w:p>
      <w:pPr>
        <w:pStyle w:val="ListParagraph"/>
        <w:numPr>
          <w:ilvl w:val="0"/>
          <w:numId w:val="1"/>
        </w:numPr>
        <w:tabs>
          <w:tab w:val="left" w:pos="599"/>
          <w:tab w:val="left" w:pos="600"/>
        </w:tabs>
        <w:spacing w:before="63"/>
        <w:rPr>
          <w:sz w:val="28"/>
          <w:lang w:eastAsia="zh-TW"/>
        </w:rPr>
      </w:pPr>
      <w:r>
        <w:rPr>
          <w:rFonts w:eastAsia="PMingLiU"/>
          <w:color w:val="231F20"/>
          <w:w w:val="85"/>
          <w:sz w:val="28"/>
          <w:szCs w:val="28"/>
          <w:lang w:eastAsia="zh-HK"/>
        </w:rPr>
        <w:t>穿多層衣物（但允許在背心或襯衫外面罩件毛衣或運動衫）。</w:t>
      </w:r>
    </w:p>
    <w:p>
      <w:pPr>
        <w:pStyle w:val="ListParagraph"/>
        <w:numPr>
          <w:ilvl w:val="0"/>
          <w:numId w:val="1"/>
        </w:numPr>
        <w:tabs>
          <w:tab w:val="left" w:pos="599"/>
          <w:tab w:val="left" w:pos="600"/>
        </w:tabs>
        <w:rPr>
          <w:sz w:val="28"/>
          <w:lang w:eastAsia="zh-TW"/>
        </w:rPr>
      </w:pPr>
      <w:r>
        <w:rPr>
          <w:rFonts w:eastAsia="PMingLiU"/>
          <w:color w:val="231F20"/>
          <w:w w:val="85"/>
          <w:sz w:val="28"/>
          <w:szCs w:val="28"/>
          <w:lang w:eastAsia="zh-HK"/>
        </w:rPr>
        <w:t>有長繩或長繫帶的服裝（例如：連帽衫上的調節繩）。</w:t>
      </w:r>
    </w:p>
    <w:p>
      <w:pPr>
        <w:pStyle w:val="ListParagraph"/>
        <w:numPr>
          <w:ilvl w:val="0"/>
          <w:numId w:val="1"/>
        </w:numPr>
        <w:tabs>
          <w:tab w:val="left" w:pos="599"/>
          <w:tab w:val="left" w:pos="600"/>
        </w:tabs>
        <w:rPr>
          <w:sz w:val="28"/>
          <w:lang w:eastAsia="zh-TW"/>
        </w:rPr>
      </w:pPr>
      <w:r>
        <w:rPr>
          <w:rFonts w:eastAsia="PMingLiU"/>
          <w:color w:val="231F20"/>
          <w:w w:val="85"/>
          <w:sz w:val="28"/>
          <w:szCs w:val="28"/>
          <w:lang w:eastAsia="zh-HK"/>
        </w:rPr>
        <w:t>領帶、圍巾、項鍊，或任何可繞頸的其他物品。</w:t>
      </w:r>
    </w:p>
    <w:p>
      <w:pPr>
        <w:pStyle w:val="ListParagraph"/>
        <w:numPr>
          <w:ilvl w:val="0"/>
          <w:numId w:val="1"/>
        </w:numPr>
        <w:tabs>
          <w:tab w:val="left" w:pos="599"/>
          <w:tab w:val="left" w:pos="600"/>
        </w:tabs>
        <w:spacing w:before="75"/>
        <w:rPr>
          <w:sz w:val="28"/>
          <w:lang w:eastAsia="zh-TW"/>
        </w:rPr>
      </w:pPr>
      <w:r>
        <w:rPr>
          <w:rFonts w:eastAsia="PMingLiU"/>
          <w:color w:val="231F20"/>
          <w:w w:val="85"/>
          <w:sz w:val="28"/>
          <w:szCs w:val="28"/>
          <w:lang w:eastAsia="zh-HK"/>
        </w:rPr>
        <w:t>防雨或其他惡劣天氣用的大夾克和</w:t>
      </w:r>
      <w:r>
        <w:rPr>
          <w:rFonts w:eastAsia="PMingLiU"/>
          <w:color w:val="231F20"/>
          <w:w w:val="85"/>
          <w:sz w:val="28"/>
          <w:szCs w:val="28"/>
          <w:lang w:eastAsia="zh-HK"/>
        </w:rPr>
        <w:t>/</w:t>
      </w:r>
      <w:r>
        <w:rPr>
          <w:rFonts w:eastAsia="PMingLiU"/>
          <w:color w:val="231F20"/>
          <w:w w:val="85"/>
          <w:sz w:val="28"/>
          <w:szCs w:val="28"/>
          <w:lang w:eastAsia="zh-HK"/>
        </w:rPr>
        <w:t>或外套。</w:t>
      </w:r>
    </w:p>
    <w:p>
      <w:pPr>
        <w:pStyle w:val="ListParagraph"/>
        <w:numPr>
          <w:ilvl w:val="0"/>
          <w:numId w:val="1"/>
        </w:numPr>
        <w:tabs>
          <w:tab w:val="left" w:pos="599"/>
          <w:tab w:val="left" w:pos="600"/>
        </w:tabs>
        <w:rPr>
          <w:sz w:val="28"/>
          <w:lang w:eastAsia="zh-TW"/>
        </w:rPr>
      </w:pPr>
      <w:r>
        <w:rPr>
          <w:rFonts w:eastAsia="PMingLiU"/>
          <w:color w:val="231F20"/>
          <w:w w:val="80"/>
          <w:sz w:val="28"/>
          <w:szCs w:val="28"/>
          <w:lang w:eastAsia="zh-HK"/>
        </w:rPr>
        <w:t>帽子或其他頭飾，除非事先獲得</w:t>
      </w:r>
      <w:r>
        <w:rPr>
          <w:rFonts w:eastAsia="PMingLiU"/>
          <w:color w:val="231F20"/>
          <w:w w:val="80"/>
          <w:sz w:val="28"/>
          <w:szCs w:val="28"/>
          <w:lang w:eastAsia="zh-HK"/>
        </w:rPr>
        <w:t xml:space="preserve"> OSH </w:t>
      </w:r>
      <w:r>
        <w:rPr>
          <w:rFonts w:eastAsia="PMingLiU"/>
          <w:color w:val="231F20"/>
          <w:w w:val="80"/>
          <w:sz w:val="28"/>
          <w:szCs w:val="28"/>
          <w:lang w:eastAsia="zh-HK"/>
        </w:rPr>
        <w:t>批准。</w:t>
      </w:r>
    </w:p>
    <w:p>
      <w:pPr>
        <w:pStyle w:val="ListParagraph"/>
        <w:numPr>
          <w:ilvl w:val="0"/>
          <w:numId w:val="1"/>
        </w:numPr>
        <w:tabs>
          <w:tab w:val="left" w:pos="599"/>
          <w:tab w:val="left" w:pos="600"/>
        </w:tabs>
        <w:spacing w:line="249" w:lineRule="auto"/>
        <w:ind w:right="815"/>
        <w:rPr>
          <w:sz w:val="28"/>
          <w:lang w:eastAsia="zh-TW"/>
        </w:rPr>
      </w:pPr>
      <w:r>
        <w:rPr>
          <w:rFonts w:eastAsia="PMingLiU"/>
          <w:color w:val="231F20"/>
          <w:w w:val="85"/>
          <w:sz w:val="28"/>
          <w:szCs w:val="28"/>
          <w:lang w:eastAsia="zh-HK"/>
        </w:rPr>
        <w:t>可能帶來安全隱患的鞋子或配件，包括任何可能用作武器或捆綁裝置的物品。</w:t>
      </w:r>
    </w:p>
    <w:p>
      <w:pPr>
        <w:pStyle w:val="BodyText"/>
        <w:rPr>
          <w:sz w:val="32"/>
          <w:lang w:eastAsia="zh-TW"/>
        </w:rPr>
      </w:pPr>
    </w:p>
    <w:p>
      <w:pPr>
        <w:pStyle w:val="BodyText"/>
        <w:spacing w:before="270" w:line="249" w:lineRule="auto"/>
        <w:ind w:left="120" w:right="1029"/>
        <w:rPr>
          <w:lang w:eastAsia="zh-TW"/>
        </w:rPr>
      </w:pPr>
      <w:r>
        <w:rPr>
          <w:rFonts w:eastAsia="PMingLiU"/>
          <w:color w:val="231F20"/>
          <w:w w:val="80"/>
          <w:lang w:eastAsia="zh-HK"/>
        </w:rPr>
        <w:t>如對探訪有任何疑問或顧慮，請聯絡</w:t>
      </w:r>
      <w:r>
        <w:rPr>
          <w:rFonts w:eastAsia="PMingLiU"/>
          <w:color w:val="231F20"/>
          <w:w w:val="80"/>
          <w:lang w:eastAsia="zh-HK"/>
        </w:rPr>
        <w:t xml:space="preserve"> OSH </w:t>
      </w:r>
      <w:r>
        <w:rPr>
          <w:rFonts w:eastAsia="PMingLiU"/>
          <w:color w:val="231F20"/>
          <w:w w:val="80"/>
          <w:lang w:eastAsia="zh-HK"/>
        </w:rPr>
        <w:t>的監察員和家庭服務部，電話：</w:t>
      </w:r>
      <w:r>
        <w:rPr>
          <w:rFonts w:eastAsia="PMingLiU"/>
          <w:color w:val="231F20"/>
          <w:w w:val="80"/>
          <w:lang w:eastAsia="zh-HK"/>
        </w:rPr>
        <w:t>503-947-8109</w:t>
      </w:r>
      <w:r>
        <w:rPr>
          <w:rFonts w:eastAsia="PMingLiU"/>
          <w:color w:val="231F20"/>
          <w:w w:val="80"/>
          <w:lang w:eastAsia="zh-HK"/>
        </w:rPr>
        <w:t>，或</w:t>
      </w:r>
      <w:hyperlink r:id="rId14">
        <w:r>
          <w:rPr>
            <w:rFonts w:eastAsia="PMingLiU"/>
            <w:color w:val="005594"/>
            <w:w w:val="80"/>
            <w:u w:val="single"/>
            <w:lang w:eastAsia="zh-HK"/>
          </w:rPr>
          <w:t>OSH.OmbudsandFamilyServices@odhsoha.oregon.gov</w:t>
        </w:r>
      </w:hyperlink>
      <w:r>
        <w:rPr>
          <w:rFonts w:eastAsia="PMingLiU"/>
          <w:color w:val="231F20"/>
          <w:w w:val="80"/>
          <w:lang w:eastAsia="zh-HK"/>
        </w:rPr>
        <w:t>。</w:t>
      </w: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rPr>
          <w:sz w:val="20"/>
          <w:lang w:eastAsia="zh-TW"/>
        </w:rPr>
      </w:pPr>
    </w:p>
    <w:p>
      <w:pPr>
        <w:pStyle w:val="BodyText"/>
        <w:spacing w:before="242" w:line="249" w:lineRule="auto"/>
        <w:ind w:left="120" w:right="944"/>
        <w:rPr>
          <w:lang w:eastAsia="zh-TW"/>
        </w:rPr>
      </w:pPr>
      <w:r>
        <w:rPr>
          <w:rFonts w:eastAsia="PMingLiU"/>
          <w:color w:val="231F20"/>
          <w:w w:val="85"/>
          <w:lang w:eastAsia="zh-HK"/>
        </w:rPr>
        <w:t>您可以獲取本文件其他語言、大字體、點字或首選格式的版本。致電</w:t>
      </w:r>
      <w:r>
        <w:rPr>
          <w:rFonts w:eastAsia="PMingLiU"/>
          <w:color w:val="231F20"/>
          <w:w w:val="85"/>
          <w:lang w:eastAsia="zh-HK"/>
        </w:rPr>
        <w:t xml:space="preserve"> 503-756-7889 </w:t>
      </w:r>
      <w:r>
        <w:rPr>
          <w:rFonts w:eastAsia="PMingLiU"/>
          <w:color w:val="231F20"/>
          <w:w w:val="85"/>
          <w:lang w:eastAsia="zh-HK"/>
        </w:rPr>
        <w:t>或發送電郵至</w:t>
      </w:r>
      <w:r>
        <w:rPr>
          <w:rFonts w:eastAsia="PMingLiU"/>
          <w:color w:val="231F20"/>
          <w:w w:val="85"/>
          <w:lang w:eastAsia="zh-HK"/>
        </w:rPr>
        <w:t xml:space="preserve"> </w:t>
      </w:r>
      <w:hyperlink r:id="rId15">
        <w:r>
          <w:rPr>
            <w:rFonts w:eastAsia="PMingLiU"/>
            <w:color w:val="231F20"/>
            <w:w w:val="85"/>
            <w:u w:val="single"/>
            <w:lang w:eastAsia="zh-HK"/>
          </w:rPr>
          <w:t>osh.interpreterservices@odhsoha.oregon.gov</w:t>
        </w:r>
      </w:hyperlink>
      <w:r>
        <w:rPr>
          <w:rFonts w:eastAsia="PMingLiU"/>
          <w:color w:val="231F20"/>
          <w:w w:val="85"/>
          <w:lang w:eastAsia="zh-HK"/>
        </w:rPr>
        <w:t xml:space="preserve"> </w:t>
      </w:r>
      <w:r>
        <w:rPr>
          <w:rFonts w:eastAsia="PMingLiU"/>
          <w:color w:val="231F20"/>
          <w:w w:val="85"/>
          <w:lang w:eastAsia="zh-HK"/>
        </w:rPr>
        <w:t>聯絡俄勒岡州立醫院口譯服務部</w:t>
      </w:r>
      <w:r>
        <w:rPr>
          <w:rFonts w:eastAsia="PMingLiU"/>
          <w:color w:val="231F20"/>
          <w:w w:val="85"/>
          <w:lang w:eastAsia="zh-HK"/>
        </w:rPr>
        <w:t xml:space="preserve"> </w:t>
      </w:r>
      <w:r>
        <w:rPr>
          <w:rFonts w:eastAsia="PMingLiU"/>
          <w:color w:val="231F20"/>
          <w:w w:val="85"/>
          <w:lang w:eastAsia="zh-HK"/>
        </w:rPr>
        <w:t>我們接聽所有轉駁電話，或者您可以致電</w:t>
      </w:r>
      <w:r>
        <w:rPr>
          <w:rFonts w:eastAsia="PMingLiU"/>
          <w:color w:val="231F20"/>
          <w:w w:val="85"/>
          <w:lang w:eastAsia="zh-HK"/>
        </w:rPr>
        <w:t xml:space="preserve"> 711</w:t>
      </w:r>
      <w:r>
        <w:rPr>
          <w:rFonts w:eastAsia="PMingLiU"/>
          <w:color w:val="231F20"/>
          <w:w w:val="85"/>
          <w:lang w:eastAsia="zh-HK"/>
        </w:rPr>
        <w:t>。</w:t>
      </w:r>
    </w:p>
    <w:sectPr>
      <w:pgSz w:w="12240" w:h="15840"/>
      <w:pgMar w:top="1140" w:right="600" w:bottom="900" w:left="600" w:header="62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rPr>
        <w:sz w:val="20"/>
      </w:rPr>
    </w:pPr>
    <w:r>
      <w:pict>
        <v:shapetype id="_x0000_t202" coordsize="21600,21600" o:spt="202" path="m,l,21600r21600,l21600,xe">
          <v:stroke joinstyle="miter"/>
          <v:path gradientshapeok="t" o:connecttype="rect"/>
        </v:shapetype>
        <v:shape id="docshape13" o:spid="_x0000_s1025" type="#_x0000_t202" style="position:absolute;margin-left:37.4pt;margin-top:745.65pt;width:79.85pt;height:12.45pt;z-index:-251658752;mso-position-horizontal-relative:page;mso-position-vertical-relative:page" filled="f" stroked="f">
          <v:textbox style="mso-next-textbox:#docshape13" inset="0,0,0,0">
            <w:txbxContent>
              <w:p>
                <w:pPr>
                  <w:spacing w:before="20"/>
                  <w:ind w:left="20"/>
                  <w:rPr>
                    <w:sz w:val="20"/>
                  </w:rPr>
                </w:pPr>
                <w:r>
                  <w:rPr>
                    <w:rFonts w:ascii="PMingLiU" w:eastAsia="PMingLiU" w:hAnsi="PMingLiU" w:cs="PMingLiU"/>
                    <w:color w:val="005695"/>
                    <w:w w:val="80"/>
                    <w:sz w:val="20"/>
                    <w:szCs w:val="20"/>
                    <w:lang w:eastAsia="zh-HK"/>
                  </w:rPr>
                  <w:t xml:space="preserve">第 </w:t>
                </w:r>
                <w:r>
                  <w:rPr>
                    <w:color w:val="005695"/>
                    <w:w w:val="80"/>
                    <w:sz w:val="20"/>
                  </w:rPr>
                  <w:fldChar w:fldCharType="begin"/>
                </w:r>
                <w:r>
                  <w:rPr>
                    <w:color w:val="005695"/>
                    <w:w w:val="80"/>
                    <w:sz w:val="20"/>
                  </w:rPr>
                  <w:instrText xml:space="preserve"> PAGE </w:instrText>
                </w:r>
                <w:r>
                  <w:rPr>
                    <w:color w:val="005695"/>
                    <w:w w:val="80"/>
                    <w:sz w:val="20"/>
                  </w:rPr>
                  <w:fldChar w:fldCharType="separate"/>
                </w:r>
                <w:r>
                  <w:rPr>
                    <w:color w:val="005695"/>
                    <w:w w:val="80"/>
                    <w:sz w:val="20"/>
                  </w:rPr>
                  <w:t>1</w:t>
                </w:r>
                <w:r>
                  <w:rPr>
                    <w:color w:val="005695"/>
                    <w:w w:val="80"/>
                    <w:sz w:val="20"/>
                  </w:rPr>
                  <w:fldChar w:fldCharType="end"/>
                </w:r>
                <w:r>
                  <w:rPr>
                    <w:rFonts w:ascii="PMingLiU" w:eastAsia="PMingLiU" w:hAnsi="PMingLiU" w:cs="PMingLiU"/>
                    <w:color w:val="005695"/>
                    <w:w w:val="80"/>
                    <w:sz w:val="20"/>
                    <w:szCs w:val="20"/>
                    <w:lang w:eastAsia="zh-HK"/>
                  </w:rPr>
                  <w:t xml:space="preserve"> 頁，共 3 頁</w:t>
                </w:r>
              </w:p>
            </w:txbxContent>
          </v:textbox>
          <w10:wrap anchorx="page" anchory="page"/>
        </v:shape>
      </w:pict>
    </w:r>
    <w:r>
      <w:pict>
        <v:shape id="docshape14" o:spid="_x0000_s1026" type="#_x0000_t202" style="position:absolute;margin-left:525.3pt;margin-top:745.65pt;width:51.75pt;height:13.55pt;z-index:-251657728;mso-position-horizontal-relative:page;mso-position-vertical-relative:page" filled="f" stroked="f">
          <v:textbox inset="0,0,0,0">
            <w:txbxContent>
              <w:p>
                <w:pPr>
                  <w:spacing w:before="20"/>
                  <w:ind w:left="20"/>
                  <w:rPr>
                    <w:sz w:val="20"/>
                  </w:rPr>
                </w:pPr>
                <w:r>
                  <w:rPr>
                    <w:rFonts w:ascii="PMingLiU" w:eastAsia="PMingLiU" w:hAnsi="PMingLiU" w:cs="PMingLiU"/>
                    <w:color w:val="005695"/>
                    <w:w w:val="80"/>
                    <w:sz w:val="20"/>
                    <w:szCs w:val="20"/>
                    <w:lang w:eastAsia="zh-HK"/>
                  </w:rPr>
                  <w:t xml:space="preserve">2024 </w:t>
                </w:r>
                <w:r>
                  <w:rPr>
                    <w:rFonts w:ascii="PMingLiU" w:eastAsia="PMingLiU" w:hAnsi="PMingLiU" w:cs="PMingLiU"/>
                    <w:color w:val="005695"/>
                    <w:w w:val="80"/>
                    <w:sz w:val="20"/>
                    <w:szCs w:val="20"/>
                    <w:lang w:eastAsia="zh-HK"/>
                  </w:rPr>
                  <w:t>年 7 月 25 日</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rPr>
        <w:sz w:val="20"/>
      </w:rPr>
    </w:pPr>
    <w:r>
      <w:rPr>
        <w:noProof/>
      </w:rPr>
      <w:drawing>
        <wp:anchor distT="0" distB="0" distL="0" distR="0" simplePos="0" relativeHeight="251656704" behindDoc="1" locked="0" layoutInCell="1" allowOverlap="1">
          <wp:simplePos x="0" y="0"/>
          <wp:positionH relativeFrom="page">
            <wp:posOffset>456653</wp:posOffset>
          </wp:positionH>
          <wp:positionV relativeFrom="page">
            <wp:posOffset>397243</wp:posOffset>
          </wp:positionV>
          <wp:extent cx="6854288" cy="26958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cstate="print"/>
                  <a:stretch>
                    <a:fillRect/>
                  </a:stretch>
                </pic:blipFill>
                <pic:spPr>
                  <a:xfrm>
                    <a:off x="0" y="0"/>
                    <a:ext cx="6854288" cy="269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E1A"/>
    <w:multiLevelType w:val="hybridMultilevel"/>
    <w:tmpl w:val="B5B44E7A"/>
    <w:lvl w:ilvl="0" w:tplc="E3C0BEC4">
      <w:numFmt w:val="bullet"/>
      <w:lvlText w:val="•"/>
      <w:lvlJc w:val="left"/>
      <w:pPr>
        <w:ind w:left="600" w:hanging="360"/>
      </w:pPr>
      <w:rPr>
        <w:rFonts w:ascii="Arial" w:eastAsia="Arial" w:hAnsi="Arial" w:cs="Arial" w:hint="default"/>
        <w:b w:val="0"/>
        <w:bCs w:val="0"/>
        <w:i w:val="0"/>
        <w:iCs w:val="0"/>
        <w:color w:val="231F20"/>
        <w:w w:val="142"/>
        <w:sz w:val="28"/>
        <w:szCs w:val="28"/>
        <w:lang w:val="en-US" w:eastAsia="en-US" w:bidi="ar-SA"/>
      </w:rPr>
    </w:lvl>
    <w:lvl w:ilvl="1" w:tplc="D8E670EA">
      <w:numFmt w:val="bullet"/>
      <w:lvlText w:val="•"/>
      <w:lvlJc w:val="left"/>
      <w:pPr>
        <w:ind w:left="1644" w:hanging="360"/>
      </w:pPr>
      <w:rPr>
        <w:rFonts w:hint="default"/>
        <w:lang w:val="en-US" w:eastAsia="en-US" w:bidi="ar-SA"/>
      </w:rPr>
    </w:lvl>
    <w:lvl w:ilvl="2" w:tplc="3DE61A5C">
      <w:numFmt w:val="bullet"/>
      <w:lvlText w:val="•"/>
      <w:lvlJc w:val="left"/>
      <w:pPr>
        <w:ind w:left="2688" w:hanging="360"/>
      </w:pPr>
      <w:rPr>
        <w:rFonts w:hint="default"/>
        <w:lang w:val="en-US" w:eastAsia="en-US" w:bidi="ar-SA"/>
      </w:rPr>
    </w:lvl>
    <w:lvl w:ilvl="3" w:tplc="8C169118">
      <w:numFmt w:val="bullet"/>
      <w:lvlText w:val="•"/>
      <w:lvlJc w:val="left"/>
      <w:pPr>
        <w:ind w:left="3732" w:hanging="360"/>
      </w:pPr>
      <w:rPr>
        <w:rFonts w:hint="default"/>
        <w:lang w:val="en-US" w:eastAsia="en-US" w:bidi="ar-SA"/>
      </w:rPr>
    </w:lvl>
    <w:lvl w:ilvl="4" w:tplc="E1F614F4">
      <w:numFmt w:val="bullet"/>
      <w:lvlText w:val="•"/>
      <w:lvlJc w:val="left"/>
      <w:pPr>
        <w:ind w:left="4776" w:hanging="360"/>
      </w:pPr>
      <w:rPr>
        <w:rFonts w:hint="default"/>
        <w:lang w:val="en-US" w:eastAsia="en-US" w:bidi="ar-SA"/>
      </w:rPr>
    </w:lvl>
    <w:lvl w:ilvl="5" w:tplc="2A2899AC">
      <w:numFmt w:val="bullet"/>
      <w:lvlText w:val="•"/>
      <w:lvlJc w:val="left"/>
      <w:pPr>
        <w:ind w:left="5820" w:hanging="360"/>
      </w:pPr>
      <w:rPr>
        <w:rFonts w:hint="default"/>
        <w:lang w:val="en-US" w:eastAsia="en-US" w:bidi="ar-SA"/>
      </w:rPr>
    </w:lvl>
    <w:lvl w:ilvl="6" w:tplc="E5C44CF2">
      <w:numFmt w:val="bullet"/>
      <w:lvlText w:val="•"/>
      <w:lvlJc w:val="left"/>
      <w:pPr>
        <w:ind w:left="6864" w:hanging="360"/>
      </w:pPr>
      <w:rPr>
        <w:rFonts w:hint="default"/>
        <w:lang w:val="en-US" w:eastAsia="en-US" w:bidi="ar-SA"/>
      </w:rPr>
    </w:lvl>
    <w:lvl w:ilvl="7" w:tplc="74B81776">
      <w:numFmt w:val="bullet"/>
      <w:lvlText w:val="•"/>
      <w:lvlJc w:val="left"/>
      <w:pPr>
        <w:ind w:left="7908" w:hanging="360"/>
      </w:pPr>
      <w:rPr>
        <w:rFonts w:hint="default"/>
        <w:lang w:val="en-US" w:eastAsia="en-US" w:bidi="ar-SA"/>
      </w:rPr>
    </w:lvl>
    <w:lvl w:ilvl="8" w:tplc="4ACC00BA">
      <w:numFmt w:val="bullet"/>
      <w:lvlText w:val="•"/>
      <w:lvlJc w:val="left"/>
      <w:pPr>
        <w:ind w:left="8952" w:hanging="360"/>
      </w:pPr>
      <w:rPr>
        <w:rFonts w:hint="default"/>
        <w:lang w:val="en-US" w:eastAsia="en-US" w:bidi="ar-SA"/>
      </w:rPr>
    </w:lvl>
  </w:abstractNum>
  <w:abstractNum w:abstractNumId="1" w15:restartNumberingAfterBreak="0">
    <w:nsid w:val="722D731D"/>
    <w:multiLevelType w:val="hybridMultilevel"/>
    <w:tmpl w:val="E94C9C26"/>
    <w:lvl w:ilvl="0" w:tplc="48346314">
      <w:numFmt w:val="bullet"/>
      <w:lvlText w:val="•"/>
      <w:lvlJc w:val="left"/>
      <w:pPr>
        <w:ind w:left="480" w:hanging="360"/>
      </w:pPr>
      <w:rPr>
        <w:rFonts w:ascii="Arial" w:eastAsia="Arial" w:hAnsi="Arial" w:cs="Arial" w:hint="default"/>
        <w:b w:val="0"/>
        <w:bCs w:val="0"/>
        <w:i w:val="0"/>
        <w:iCs w:val="0"/>
        <w:color w:val="231F20"/>
        <w:w w:val="142"/>
        <w:sz w:val="28"/>
        <w:szCs w:val="28"/>
        <w:lang w:val="en-US" w:eastAsia="en-US" w:bidi="ar-SA"/>
      </w:rPr>
    </w:lvl>
    <w:lvl w:ilvl="1" w:tplc="7CA64B32">
      <w:numFmt w:val="bullet"/>
      <w:lvlText w:val="•"/>
      <w:lvlJc w:val="left"/>
      <w:pPr>
        <w:ind w:left="790" w:hanging="360"/>
      </w:pPr>
      <w:rPr>
        <w:rFonts w:hint="default"/>
        <w:lang w:val="en-US" w:eastAsia="en-US" w:bidi="ar-SA"/>
      </w:rPr>
    </w:lvl>
    <w:lvl w:ilvl="2" w:tplc="190AF81C">
      <w:numFmt w:val="bullet"/>
      <w:lvlText w:val="•"/>
      <w:lvlJc w:val="left"/>
      <w:pPr>
        <w:ind w:left="1100" w:hanging="360"/>
      </w:pPr>
      <w:rPr>
        <w:rFonts w:hint="default"/>
        <w:lang w:val="en-US" w:eastAsia="en-US" w:bidi="ar-SA"/>
      </w:rPr>
    </w:lvl>
    <w:lvl w:ilvl="3" w:tplc="E270A4B2">
      <w:numFmt w:val="bullet"/>
      <w:lvlText w:val="•"/>
      <w:lvlJc w:val="left"/>
      <w:pPr>
        <w:ind w:left="1410" w:hanging="360"/>
      </w:pPr>
      <w:rPr>
        <w:rFonts w:hint="default"/>
        <w:lang w:val="en-US" w:eastAsia="en-US" w:bidi="ar-SA"/>
      </w:rPr>
    </w:lvl>
    <w:lvl w:ilvl="4" w:tplc="C068F218">
      <w:numFmt w:val="bullet"/>
      <w:lvlText w:val="•"/>
      <w:lvlJc w:val="left"/>
      <w:pPr>
        <w:ind w:left="1720" w:hanging="360"/>
      </w:pPr>
      <w:rPr>
        <w:rFonts w:hint="default"/>
        <w:lang w:val="en-US" w:eastAsia="en-US" w:bidi="ar-SA"/>
      </w:rPr>
    </w:lvl>
    <w:lvl w:ilvl="5" w:tplc="0BCE2150">
      <w:numFmt w:val="bullet"/>
      <w:lvlText w:val="•"/>
      <w:lvlJc w:val="left"/>
      <w:pPr>
        <w:ind w:left="2031" w:hanging="360"/>
      </w:pPr>
      <w:rPr>
        <w:rFonts w:hint="default"/>
        <w:lang w:val="en-US" w:eastAsia="en-US" w:bidi="ar-SA"/>
      </w:rPr>
    </w:lvl>
    <w:lvl w:ilvl="6" w:tplc="59965462">
      <w:numFmt w:val="bullet"/>
      <w:lvlText w:val="•"/>
      <w:lvlJc w:val="left"/>
      <w:pPr>
        <w:ind w:left="2341" w:hanging="360"/>
      </w:pPr>
      <w:rPr>
        <w:rFonts w:hint="default"/>
        <w:lang w:val="en-US" w:eastAsia="en-US" w:bidi="ar-SA"/>
      </w:rPr>
    </w:lvl>
    <w:lvl w:ilvl="7" w:tplc="8F287C98">
      <w:numFmt w:val="bullet"/>
      <w:lvlText w:val="•"/>
      <w:lvlJc w:val="left"/>
      <w:pPr>
        <w:ind w:left="2651" w:hanging="360"/>
      </w:pPr>
      <w:rPr>
        <w:rFonts w:hint="default"/>
        <w:lang w:val="en-US" w:eastAsia="en-US" w:bidi="ar-SA"/>
      </w:rPr>
    </w:lvl>
    <w:lvl w:ilvl="8" w:tplc="4EC08006">
      <w:numFmt w:val="bullet"/>
      <w:lvlText w:val="•"/>
      <w:lvlJc w:val="left"/>
      <w:pPr>
        <w:ind w:left="296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5:docId w15:val="{6EA658B8-B144-4A9F-94AC-41A97E8F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3"/>
      <w:ind w:left="120"/>
      <w:outlineLvl w:val="0"/>
    </w:pPr>
    <w:rPr>
      <w:b/>
      <w:bCs/>
      <w:sz w:val="32"/>
      <w:szCs w:val="32"/>
    </w:rPr>
  </w:style>
  <w:style w:type="paragraph" w:styleId="Heading2">
    <w:name w:val="heading 2"/>
    <w:basedOn w:val="Normal"/>
    <w:uiPriority w:val="9"/>
    <w:unhideWhenUsed/>
    <w:qFormat/>
    <w:pPr>
      <w:spacing w:before="1"/>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74"/>
      <w:ind w:left="600" w:hanging="360"/>
    </w:pPr>
  </w:style>
  <w:style w:type="paragraph" w:customStyle="1" w:styleId="TableParagraph">
    <w:name w:val="Table Paragraph"/>
    <w:basedOn w:val="Normal"/>
    <w:uiPriority w:val="1"/>
    <w:qFormat/>
    <w:pPr>
      <w:spacing w:before="7" w:line="313" w:lineRule="exact"/>
      <w:ind w:left="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SHFriends.co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osh.interpreterservices@odhsoha.oregon.gov" TargetMode="External"/><Relationship Id="rId10" Type="http://schemas.openxmlformats.org/officeDocument/2006/relationships/hyperlink" Target="http://www.OSHFriends.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oshfriends.com/" TargetMode="External"/><Relationship Id="rId14" Type="http://schemas.openxmlformats.org/officeDocument/2006/relationships/hyperlink" Target="mailto:OSH.OmbudsandFamilyServices@odhsoha.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1347F9C4554B87BD89737112C6DB" ma:contentTypeVersion="24" ma:contentTypeDescription="Create a new document." ma:contentTypeScope="" ma:versionID="dd20b026e904f0a7141508733f44e2e8">
  <xsd:schema xmlns:xsd="http://www.w3.org/2001/XMLSchema" xmlns:xs="http://www.w3.org/2001/XMLSchema" xmlns:p="http://schemas.microsoft.com/office/2006/metadata/properties" xmlns:ns1="http://schemas.microsoft.com/sharepoint/v3" xmlns:ns2="cc1e8c1e-c864-4a9c-830b-47e1ec05dc11" xmlns:ns3="59da1016-2a1b-4f8a-9768-d7a4932f6f16" targetNamespace="http://schemas.microsoft.com/office/2006/metadata/properties" ma:root="true" ma:fieldsID="a6ec817d9babf25495626550a3d54521" ns1:_="" ns2:_="" ns3:_="">
    <xsd:import namespace="http://schemas.microsoft.com/sharepoint/v3"/>
    <xsd:import namespace="cc1e8c1e-c864-4a9c-830b-47e1ec05dc11"/>
    <xsd:import namespace="59da1016-2a1b-4f8a-9768-d7a4932f6f16"/>
    <xsd:element name="properties">
      <xsd:complexType>
        <xsd:sequence>
          <xsd:element name="documentManagement">
            <xsd:complexType>
              <xsd:all>
                <xsd:element ref="ns2:Category"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PublishingStartDate" minOccurs="0"/>
                <xsd:element ref="ns1:PublishingExpirationDate"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e8c1e-c864-4a9c-830b-47e1ec05dc11" elementFormDefault="qualified">
    <xsd:import namespace="http://schemas.microsoft.com/office/2006/documentManagement/types"/>
    <xsd:import namespace="http://schemas.microsoft.com/office/infopath/2007/PartnerControls"/>
    <xsd:element name="Category" ma:index="2" nillable="true" ma:displayName="Category" ma:default="-" ma:format="Dropdown" ma:internalName="Category" ma:readOnly="false">
      <xsd:simpleType>
        <xsd:restriction base="dms:Choice">
          <xsd:enumeration value="Forms"/>
          <xsd:enumeration value="News"/>
          <xsd:enumeration value="Policies &amp; Procedures"/>
          <xsd:enumeration value="-"/>
        </xsd:restriction>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cc1e8c1e-c864-4a9c-830b-47e1ec05dc11" xsi:nil="true"/>
    <URL xmlns="http://schemas.microsoft.com/sharepoint/v3">
      <Url>https://www.oregon.gov/oha/OSH/FRIENDS/Documents/Adult-Visitor-Application 8-2024_TCH.docx</Url>
      <Description>Adult-Visitor-Application 8-2024_TCH.docx</Description>
    </URL>
    <Category xmlns="cc1e8c1e-c864-4a9c-830b-47e1ec05dc11">-</Category>
    <PublishingExpirationDate xmlns="http://schemas.microsoft.com/sharepoint/v3" xsi:nil="true"/>
    <Meta_x0020_Description xmlns="cc1e8c1e-c864-4a9c-830b-47e1ec05dc11" xsi:nil="true"/>
    <PublishingStartDate xmlns="http://schemas.microsoft.com/sharepoint/v3" xsi:nil="true"/>
  </documentManagement>
</p:properties>
</file>

<file path=customXml/itemProps1.xml><?xml version="1.0" encoding="utf-8"?>
<ds:datastoreItem xmlns:ds="http://schemas.openxmlformats.org/officeDocument/2006/customXml" ds:itemID="{5BBD2F18-C3F7-4592-A1FB-967B2A68CA9F}"/>
</file>

<file path=customXml/itemProps2.xml><?xml version="1.0" encoding="utf-8"?>
<ds:datastoreItem xmlns:ds="http://schemas.openxmlformats.org/officeDocument/2006/customXml" ds:itemID="{87927658-3EF6-404D-A362-68FD6AD1BDF9}"/>
</file>

<file path=customXml/itemProps3.xml><?xml version="1.0" encoding="utf-8"?>
<ds:datastoreItem xmlns:ds="http://schemas.openxmlformats.org/officeDocument/2006/customXml" ds:itemID="{6008F790-39D2-430F-8184-60B8D0FBAC17}"/>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Wright</cp:lastModifiedBy>
  <cp:revision>5</cp:revision>
  <dcterms:created xsi:type="dcterms:W3CDTF">2025-05-12T17:06:00Z</dcterms:created>
  <dcterms:modified xsi:type="dcterms:W3CDTF">2025-05-16T17:27:00Z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Adobe InDesign 19.5 (Windows)</vt:lpwstr>
  </property>
  <property fmtid="{D5CDD505-2E9C-101B-9397-08002B2CF9AE}" pid="4" name="LastSaved">
    <vt:filetime>2025-05-12T00:00:00Z</vt:filetime>
  </property>
  <property fmtid="{D5CDD505-2E9C-101B-9397-08002B2CF9AE}" pid="5" name="Producer">
    <vt:lpwstr>Adobe PDF Library 17.0</vt:lpwstr>
  </property>
  <property fmtid="{D5CDD505-2E9C-101B-9397-08002B2CF9AE}" pid="6" name="ContentTypeId">
    <vt:lpwstr>0x010100FC831347F9C4554B87BD89737112C6DB</vt:lpwstr>
  </property>
  <property fmtid="{D5CDD505-2E9C-101B-9397-08002B2CF9AE}" pid="7" name="WorkflowChangePath">
    <vt:lpwstr>9df87f6c-ac31-4f63-bdc2-febb7c621749,2;</vt:lpwstr>
  </property>
</Properties>
</file>