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83" w:rsidRDefault="00821260">
      <w:bookmarkStart w:id="0" w:name="_GoBack"/>
      <w:bookmarkEnd w:id="0"/>
      <w:r>
        <w:rPr>
          <w:b/>
          <w:u w:val="single"/>
        </w:rPr>
        <w:t>Background</w:t>
      </w:r>
      <w:r w:rsidR="00C877FE" w:rsidRPr="00C877FE">
        <w:rPr>
          <w:b/>
          <w:u w:val="single"/>
        </w:rPr>
        <w:t>:</w:t>
      </w:r>
      <w:r w:rsidR="00C877FE">
        <w:t xml:space="preserve"> </w:t>
      </w:r>
      <w:r w:rsidR="00FC2202">
        <w:t>The E: Establishments section of the 2014-2015 Local Health Department TPEP RFA</w:t>
      </w:r>
      <w:r w:rsidR="002A04F9">
        <w:t xml:space="preserve"> requires that TPEP Coordinators develop a detailed proposal illustrating how their identified retail strategy is going to be pursued. </w:t>
      </w:r>
      <w:r w:rsidR="008C073A">
        <w:t xml:space="preserve">Having a solid understanding of the various jurisdictions </w:t>
      </w:r>
      <w:r w:rsidR="00BB42C8" w:rsidRPr="00BB42C8">
        <w:rPr>
          <w:i/>
        </w:rPr>
        <w:t>(the geographic area over which authority extends; the authority to hear and determine causes of action)</w:t>
      </w:r>
      <w:r w:rsidR="00BB42C8">
        <w:t xml:space="preserve"> </w:t>
      </w:r>
      <w:r w:rsidR="008C073A">
        <w:t>present in the county will help TPEP coordinators determine which jurisdiction makes the most sense to start working with to pursue the</w:t>
      </w:r>
      <w:r w:rsidR="009A0386">
        <w:t>ir</w:t>
      </w:r>
      <w:r w:rsidR="008C073A">
        <w:t xml:space="preserve"> chosen retail strategy.</w:t>
      </w:r>
    </w:p>
    <w:p w:rsidR="00E52BE7" w:rsidRDefault="00821260">
      <w:r>
        <w:rPr>
          <w:b/>
          <w:u w:val="single"/>
        </w:rPr>
        <w:t>Instructions:</w:t>
      </w:r>
      <w:r>
        <w:t xml:space="preserve"> </w:t>
      </w:r>
      <w:r w:rsidR="00483C95">
        <w:t>Fill out the template below for each jurisdiction in your county</w:t>
      </w:r>
      <w:r w:rsidR="00F7735C">
        <w:t>, adding additional lines in the table if needed</w:t>
      </w:r>
      <w:r w:rsidR="00483C95">
        <w:t>. For example</w:t>
      </w:r>
      <w:r w:rsidR="00E52BE7">
        <w:t>, C</w:t>
      </w:r>
      <w:r w:rsidR="00483C95">
        <w:t xml:space="preserve">ounty </w:t>
      </w:r>
      <w:r w:rsidR="00E52BE7">
        <w:t xml:space="preserve">X </w:t>
      </w:r>
      <w:r w:rsidR="00483C95">
        <w:t xml:space="preserve">may have six cities and the unincorporated part of the county. In this example, there would be </w:t>
      </w:r>
      <w:r w:rsidR="0063728D">
        <w:t>seven jurisdictions listed in the left column, and the names and contact information for each jurisdiction listed in the two columns to the right.</w:t>
      </w:r>
      <w:r w:rsidR="00483C95">
        <w:t xml:space="preserve"> In order to complete this task, coordinators may have to work with other </w:t>
      </w:r>
      <w:proofErr w:type="gramStart"/>
      <w:r w:rsidR="00483C95">
        <w:t xml:space="preserve">staff in their county that </w:t>
      </w:r>
      <w:r w:rsidR="00E52BE7">
        <w:t>are</w:t>
      </w:r>
      <w:proofErr w:type="gramEnd"/>
      <w:r w:rsidR="00E52BE7">
        <w:t xml:space="preserve"> familiar with this information</w:t>
      </w:r>
      <w:r w:rsidR="00483C95">
        <w:t xml:space="preserve">. </w:t>
      </w:r>
      <w:r w:rsidR="009A0386">
        <w:t>Pl</w:t>
      </w:r>
      <w:r w:rsidR="00EF72B0">
        <w:t xml:space="preserve">ease complete this template, </w:t>
      </w:r>
      <w:r w:rsidR="009A0386">
        <w:t xml:space="preserve">submit to your liaison by </w:t>
      </w:r>
      <w:r w:rsidR="00496CB2" w:rsidRPr="00496CB2">
        <w:rPr>
          <w:b/>
        </w:rPr>
        <w:t>June 1, 2015</w:t>
      </w:r>
      <w:r w:rsidR="00EF72B0" w:rsidRPr="00EF72B0">
        <w:t>, and use it to inform the strategy you are pursuing in the retail environment</w:t>
      </w:r>
      <w:r w:rsidR="00496CB2" w:rsidRPr="00EF72B0">
        <w:t>.</w:t>
      </w:r>
      <w:r w:rsidR="00496CB2">
        <w:t xml:space="preserve"> </w:t>
      </w:r>
      <w:r w:rsidR="00403433">
        <w:t>The FY 2015-2016 TPEP RFA will build off of the assumption that all grantees are knowledgeable about their jurisdictions.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555"/>
        <w:gridCol w:w="2233"/>
        <w:gridCol w:w="4162"/>
        <w:gridCol w:w="4226"/>
      </w:tblGrid>
      <w:tr w:rsidR="00B91697" w:rsidTr="00B91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</w:tcPr>
          <w:p w:rsidR="00B91697" w:rsidRPr="00852596" w:rsidRDefault="00B91697" w:rsidP="00852596">
            <w:pPr>
              <w:jc w:val="center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Jurisdiction</w:t>
            </w:r>
          </w:p>
        </w:tc>
        <w:tc>
          <w:tcPr>
            <w:tcW w:w="2233" w:type="dxa"/>
          </w:tcPr>
          <w:p w:rsidR="00B91697" w:rsidRPr="00B91697" w:rsidRDefault="00B91697" w:rsidP="00852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 w:rsidRPr="00B91697">
              <w:rPr>
                <w:b w:val="0"/>
                <w:u w:val="single"/>
              </w:rPr>
              <w:t>Type of Jurisdiction</w:t>
            </w:r>
          </w:p>
        </w:tc>
        <w:tc>
          <w:tcPr>
            <w:tcW w:w="4162" w:type="dxa"/>
          </w:tcPr>
          <w:p w:rsidR="00B91697" w:rsidRPr="00852596" w:rsidRDefault="00B91697" w:rsidP="00852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u w:val="single"/>
              </w:rPr>
            </w:pPr>
            <w:r>
              <w:rPr>
                <w:b w:val="0"/>
                <w:u w:val="single"/>
              </w:rPr>
              <w:t>Names of Decision Makers</w:t>
            </w:r>
          </w:p>
        </w:tc>
        <w:tc>
          <w:tcPr>
            <w:tcW w:w="4226" w:type="dxa"/>
          </w:tcPr>
          <w:p w:rsidR="00B91697" w:rsidRDefault="00B91697" w:rsidP="00852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u w:val="single"/>
              </w:rPr>
              <w:t>Contact Information of Decision Makers</w:t>
            </w:r>
            <w:r>
              <w:t xml:space="preserve"> </w:t>
            </w:r>
          </w:p>
          <w:p w:rsidR="00B91697" w:rsidRPr="00852596" w:rsidRDefault="00B91697" w:rsidP="008525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(email and phone number)</w:t>
            </w:r>
          </w:p>
        </w:tc>
      </w:tr>
      <w:tr w:rsidR="00B91697" w:rsidTr="00B91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 w:val="restart"/>
          </w:tcPr>
          <w:p w:rsidR="00B91697" w:rsidRPr="007E6F2E" w:rsidRDefault="00B91697">
            <w:pPr>
              <w:rPr>
                <w:i/>
              </w:rPr>
            </w:pPr>
            <w:r>
              <w:rPr>
                <w:i/>
              </w:rPr>
              <w:t>[</w:t>
            </w:r>
            <w:r w:rsidRPr="007E6F2E">
              <w:rPr>
                <w:i/>
              </w:rPr>
              <w:t>Fil</w:t>
            </w:r>
            <w:r>
              <w:rPr>
                <w:i/>
              </w:rPr>
              <w:t>l in name of Jurisdiction]</w:t>
            </w:r>
          </w:p>
        </w:tc>
        <w:tc>
          <w:tcPr>
            <w:tcW w:w="2233" w:type="dxa"/>
          </w:tcPr>
          <w:p w:rsidR="00B91697" w:rsidRDefault="00B91697" w:rsidP="008525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 w:rsidP="008525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 w:rsidP="0085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97" w:rsidTr="00B916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 w:rsidP="0085259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 w:rsidP="0085259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 w:rsidP="00852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697" w:rsidTr="00B91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 w:rsidP="008525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 w:rsidP="008525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 w:rsidP="0085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97" w:rsidTr="00B916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 w:rsidP="0085259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 w:rsidP="0085259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 w:rsidP="008525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697" w:rsidTr="00B91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 w:rsidP="008525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 w:rsidP="0085259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 w:rsidP="00852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97" w:rsidTr="00B916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 w:val="restart"/>
          </w:tcPr>
          <w:p w:rsidR="00B91697" w:rsidRPr="007E6F2E" w:rsidRDefault="00B91697">
            <w:pPr>
              <w:rPr>
                <w:i/>
              </w:rPr>
            </w:pPr>
            <w:r>
              <w:rPr>
                <w:i/>
              </w:rPr>
              <w:t>[</w:t>
            </w:r>
            <w:r w:rsidRPr="007E6F2E">
              <w:rPr>
                <w:i/>
              </w:rPr>
              <w:t xml:space="preserve">Fill in </w:t>
            </w:r>
            <w:r>
              <w:rPr>
                <w:i/>
              </w:rPr>
              <w:t>name of Jurisdiction</w:t>
            </w:r>
            <w:r w:rsidRPr="007E6F2E">
              <w:rPr>
                <w:i/>
              </w:rPr>
              <w:t>]</w:t>
            </w:r>
          </w:p>
        </w:tc>
        <w:tc>
          <w:tcPr>
            <w:tcW w:w="2233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697" w:rsidTr="00B91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97" w:rsidTr="00B916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697" w:rsidTr="00B91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97" w:rsidTr="00B916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697" w:rsidTr="00B91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 w:val="restart"/>
          </w:tcPr>
          <w:p w:rsidR="00B91697" w:rsidRPr="007E6F2E" w:rsidRDefault="00B91697">
            <w:pPr>
              <w:rPr>
                <w:i/>
              </w:rPr>
            </w:pPr>
            <w:r>
              <w:rPr>
                <w:i/>
              </w:rPr>
              <w:t>[</w:t>
            </w:r>
            <w:r w:rsidRPr="007E6F2E">
              <w:rPr>
                <w:i/>
              </w:rPr>
              <w:t>Fi</w:t>
            </w:r>
            <w:r>
              <w:rPr>
                <w:i/>
              </w:rPr>
              <w:t>ll in name of Jurisdiction</w:t>
            </w:r>
            <w:r w:rsidRPr="007E6F2E">
              <w:rPr>
                <w:i/>
              </w:rPr>
              <w:t>]</w:t>
            </w:r>
          </w:p>
        </w:tc>
        <w:tc>
          <w:tcPr>
            <w:tcW w:w="2233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97" w:rsidTr="00B916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697" w:rsidTr="00B91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97" w:rsidTr="00B916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697" w:rsidTr="00B91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97" w:rsidTr="00B916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 w:val="restart"/>
          </w:tcPr>
          <w:p w:rsidR="00B91697" w:rsidRPr="007E6F2E" w:rsidRDefault="00B91697">
            <w:pPr>
              <w:rPr>
                <w:i/>
              </w:rPr>
            </w:pPr>
            <w:r>
              <w:rPr>
                <w:i/>
              </w:rPr>
              <w:t>[</w:t>
            </w:r>
            <w:r w:rsidRPr="007E6F2E">
              <w:rPr>
                <w:i/>
              </w:rPr>
              <w:t>Fill in</w:t>
            </w:r>
            <w:r>
              <w:rPr>
                <w:i/>
              </w:rPr>
              <w:t xml:space="preserve"> name of Jurisdiction</w:t>
            </w:r>
            <w:r w:rsidRPr="007E6F2E">
              <w:rPr>
                <w:i/>
              </w:rPr>
              <w:t>]</w:t>
            </w:r>
          </w:p>
        </w:tc>
        <w:tc>
          <w:tcPr>
            <w:tcW w:w="2233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697" w:rsidTr="00B91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97" w:rsidTr="00B916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91697" w:rsidTr="00B91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1697" w:rsidTr="00B916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5" w:type="dxa"/>
            <w:vMerge/>
          </w:tcPr>
          <w:p w:rsidR="00B91697" w:rsidRDefault="00B91697"/>
        </w:tc>
        <w:tc>
          <w:tcPr>
            <w:tcW w:w="2233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62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26" w:type="dxa"/>
          </w:tcPr>
          <w:p w:rsidR="00B91697" w:rsidRDefault="00B916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E613F" w:rsidRPr="00821260" w:rsidRDefault="001E613F"/>
    <w:sectPr w:rsidR="001E613F" w:rsidRPr="00821260" w:rsidSect="002112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86" w:rsidRDefault="009A0386" w:rsidP="00C877FE">
      <w:pPr>
        <w:spacing w:after="0" w:line="240" w:lineRule="auto"/>
      </w:pPr>
      <w:r>
        <w:separator/>
      </w:r>
    </w:p>
  </w:endnote>
  <w:endnote w:type="continuationSeparator" w:id="0">
    <w:p w:rsidR="009A0386" w:rsidRDefault="009A0386" w:rsidP="00C8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E0" w:rsidRDefault="00141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86" w:rsidRDefault="00823CF4">
    <w:pPr>
      <w:pStyle w:val="Footer"/>
    </w:pPr>
    <w:r>
      <w:t xml:space="preserve">Contact information is for use by </w:t>
    </w:r>
    <w:r w:rsidR="00C52C74">
      <w:t xml:space="preserve">local </w:t>
    </w:r>
    <w:r>
      <w:t>TPEP Coordinator and will not be used by HPCDP staff.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E0" w:rsidRDefault="00141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86" w:rsidRDefault="009A0386" w:rsidP="00C877FE">
      <w:pPr>
        <w:spacing w:after="0" w:line="240" w:lineRule="auto"/>
      </w:pPr>
      <w:r>
        <w:separator/>
      </w:r>
    </w:p>
  </w:footnote>
  <w:footnote w:type="continuationSeparator" w:id="0">
    <w:p w:rsidR="009A0386" w:rsidRDefault="009A0386" w:rsidP="00C8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E0" w:rsidRDefault="00141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86" w:rsidRDefault="009A0386">
    <w:pPr>
      <w:pStyle w:val="Header"/>
    </w:pPr>
    <w:r>
      <w:t>Jurisdictions Template</w:t>
    </w:r>
  </w:p>
  <w:p w:rsidR="009A0386" w:rsidRDefault="009A0386">
    <w:pPr>
      <w:pStyle w:val="Header"/>
    </w:pPr>
    <w:r>
      <w:t>TPEP Grantees FY 14-15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E0" w:rsidRDefault="001414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31A"/>
    <w:multiLevelType w:val="hybridMultilevel"/>
    <w:tmpl w:val="F544B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72534"/>
    <w:multiLevelType w:val="hybridMultilevel"/>
    <w:tmpl w:val="EBEA1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95528"/>
    <w:multiLevelType w:val="hybridMultilevel"/>
    <w:tmpl w:val="6304F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83"/>
    <w:rsid w:val="001414E0"/>
    <w:rsid w:val="001E613F"/>
    <w:rsid w:val="002112C0"/>
    <w:rsid w:val="00282F2C"/>
    <w:rsid w:val="002A04F9"/>
    <w:rsid w:val="00357DD7"/>
    <w:rsid w:val="003F2FF4"/>
    <w:rsid w:val="00403433"/>
    <w:rsid w:val="00464F22"/>
    <w:rsid w:val="00465950"/>
    <w:rsid w:val="00475492"/>
    <w:rsid w:val="00483C95"/>
    <w:rsid w:val="00496CB2"/>
    <w:rsid w:val="00527BBE"/>
    <w:rsid w:val="0063728D"/>
    <w:rsid w:val="00691937"/>
    <w:rsid w:val="007812CB"/>
    <w:rsid w:val="007E6F2E"/>
    <w:rsid w:val="00821260"/>
    <w:rsid w:val="00823CF4"/>
    <w:rsid w:val="00852596"/>
    <w:rsid w:val="008C073A"/>
    <w:rsid w:val="008C0F83"/>
    <w:rsid w:val="00995D59"/>
    <w:rsid w:val="009A0386"/>
    <w:rsid w:val="00B22CA4"/>
    <w:rsid w:val="00B91697"/>
    <w:rsid w:val="00BB42C8"/>
    <w:rsid w:val="00C07F4D"/>
    <w:rsid w:val="00C52C74"/>
    <w:rsid w:val="00C877FE"/>
    <w:rsid w:val="00D87D86"/>
    <w:rsid w:val="00DB2229"/>
    <w:rsid w:val="00E52BE7"/>
    <w:rsid w:val="00EF72B0"/>
    <w:rsid w:val="00F7735C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7FE"/>
  </w:style>
  <w:style w:type="paragraph" w:styleId="Footer">
    <w:name w:val="footer"/>
    <w:basedOn w:val="Normal"/>
    <w:link w:val="FooterChar"/>
    <w:uiPriority w:val="99"/>
    <w:unhideWhenUsed/>
    <w:rsid w:val="00C8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7FE"/>
  </w:style>
  <w:style w:type="character" w:styleId="Hyperlink">
    <w:name w:val="Hyperlink"/>
    <w:basedOn w:val="DefaultParagraphFont"/>
    <w:uiPriority w:val="99"/>
    <w:unhideWhenUsed/>
    <w:rsid w:val="006919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596"/>
    <w:pPr>
      <w:ind w:left="720"/>
      <w:contextualSpacing/>
    </w:pPr>
  </w:style>
  <w:style w:type="table" w:styleId="LightGrid">
    <w:name w:val="Light Grid"/>
    <w:basedOn w:val="TableNormal"/>
    <w:uiPriority w:val="62"/>
    <w:rsid w:val="00211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2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7FE"/>
  </w:style>
  <w:style w:type="paragraph" w:styleId="Footer">
    <w:name w:val="footer"/>
    <w:basedOn w:val="Normal"/>
    <w:link w:val="FooterChar"/>
    <w:uiPriority w:val="99"/>
    <w:unhideWhenUsed/>
    <w:rsid w:val="00C87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7FE"/>
  </w:style>
  <w:style w:type="character" w:styleId="Hyperlink">
    <w:name w:val="Hyperlink"/>
    <w:basedOn w:val="DefaultParagraphFont"/>
    <w:uiPriority w:val="99"/>
    <w:unhideWhenUsed/>
    <w:rsid w:val="006919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596"/>
    <w:pPr>
      <w:ind w:left="720"/>
      <w:contextualSpacing/>
    </w:pPr>
  </w:style>
  <w:style w:type="table" w:styleId="LightGrid">
    <w:name w:val="Light Grid"/>
    <w:basedOn w:val="TableNormal"/>
    <w:uiPriority w:val="62"/>
    <w:rsid w:val="002112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2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https://www.oregon.gov/oha/PH/DISEASESCONDITIONS/CHRONICDISEASE/HPCDPCONNECTION/Documents/TA/policy_change_resources/jurisdiction_template_2014-15.docx</Url>
      <Description>jurisdiction_template_2014-15.docx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a5e3e67d-79ba-441f-aac9-67aba1bfb908" xsi:nil="true"/>
    <IATopic xmlns="59da1016-2a1b-4f8a-9768-d7a4932f6f16">Public Health - Prevention</IATopic>
    <Meta_x0020_Description xmlns="a5e3e67d-79ba-441f-aac9-67aba1bfb908" xsi:nil="true"/>
    <Category xmlns="a5e3e67d-79ba-441f-aac9-67aba1bfb908">Alcohol and Other Drugs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D47AF-BBE3-4100-8440-3307A14F691F}"/>
</file>

<file path=customXml/itemProps2.xml><?xml version="1.0" encoding="utf-8"?>
<ds:datastoreItem xmlns:ds="http://schemas.openxmlformats.org/officeDocument/2006/customXml" ds:itemID="{455F8AF3-258A-41B2-970D-52C7533747A0}"/>
</file>

<file path=customXml/itemProps3.xml><?xml version="1.0" encoding="utf-8"?>
<ds:datastoreItem xmlns:ds="http://schemas.openxmlformats.org/officeDocument/2006/customXml" ds:itemID="{C614B42D-FDF7-47AF-A7E1-FA23ACE3EB30}"/>
</file>

<file path=customXml/itemProps4.xml><?xml version="1.0" encoding="utf-8"?>
<ds:datastoreItem xmlns:ds="http://schemas.openxmlformats.org/officeDocument/2006/customXml" ds:itemID="{32F002C4-B56E-4987-B448-92D462297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E Weston</dc:creator>
  <cp:keywords/>
  <dc:description/>
  <cp:lastModifiedBy>Jennifer Diallo</cp:lastModifiedBy>
  <cp:revision>2</cp:revision>
  <cp:lastPrinted>2015-01-07T15:50:00Z</cp:lastPrinted>
  <dcterms:created xsi:type="dcterms:W3CDTF">2015-04-08T18:21:00Z</dcterms:created>
  <dcterms:modified xsi:type="dcterms:W3CDTF">2015-04-08T18:21:00Z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0x010100417E6F2DC69EB5408794DAE4AB4C42E1</vt:lpwstr>
  </property>
  <property fmtid="{D5CDD505-2E9C-101B-9397-08002B2CF9AE}" pid="3" name="WorkflowChangePath">
    <vt:lpwstr>4b2fd419-2f13-4a38-98ea-c43cb3194170,2;4b2fd419-2f13-4a38-98ea-c43cb3194170,4;</vt:lpwstr>
  </property>
  <property fmtid="{D5CDD505-2E9C-101B-9397-08002B2CF9AE}" pid="4" name="Order">
    <vt:r8>33200</vt:r8>
  </property>
</Properties>
</file>