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EB" w:rsidRPr="000B4642" w:rsidRDefault="007F0079" w:rsidP="009602EB">
      <w:pPr>
        <w:spacing w:after="0" w:line="240" w:lineRule="auto"/>
        <w:rPr>
          <w:rFonts w:ascii="Papyrus" w:hAnsi="Papyrus"/>
          <w:b/>
          <w:i/>
          <w:color w:val="76923C"/>
          <w:sz w:val="48"/>
          <w:szCs w:val="48"/>
        </w:rPr>
      </w:pPr>
      <w:bookmarkStart w:id="0" w:name="_GoBack"/>
      <w:bookmarkEnd w:id="0"/>
      <w:r>
        <w:rPr>
          <w:rFonts w:ascii="Papyrus" w:hAnsi="Papyrus"/>
          <w:b/>
          <w:i/>
          <w:noProof/>
          <w:color w:val="76923C"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-338455</wp:posOffset>
            </wp:positionV>
            <wp:extent cx="3623310" cy="830580"/>
            <wp:effectExtent l="19050" t="0" r="0" b="0"/>
            <wp:wrapTight wrapText="bothSides">
              <wp:wrapPolygon edited="0">
                <wp:start x="-114" y="0"/>
                <wp:lineTo x="-114" y="21303"/>
                <wp:lineTo x="21577" y="21303"/>
                <wp:lineTo x="21577" y="0"/>
                <wp:lineTo x="-114" y="0"/>
              </wp:wrapPolygon>
            </wp:wrapTight>
            <wp:docPr id="9" name="Picture 9" descr="BreatheEasy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atheEasy-w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2EB" w:rsidRDefault="009602EB" w:rsidP="009602EB">
      <w:pPr>
        <w:spacing w:after="0" w:line="240" w:lineRule="auto"/>
        <w:rPr>
          <w:b/>
          <w:sz w:val="28"/>
          <w:szCs w:val="28"/>
        </w:rPr>
      </w:pPr>
    </w:p>
    <w:p w:rsidR="00ED3908" w:rsidRDefault="00ED3908" w:rsidP="009602EB">
      <w:pPr>
        <w:spacing w:after="0" w:line="240" w:lineRule="auto"/>
        <w:rPr>
          <w:b/>
          <w:sz w:val="28"/>
          <w:szCs w:val="28"/>
        </w:rPr>
      </w:pPr>
    </w:p>
    <w:p w:rsidR="007F0079" w:rsidRPr="007F0079" w:rsidRDefault="007F0079" w:rsidP="007F00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F0079">
        <w:rPr>
          <w:b/>
          <w:sz w:val="28"/>
          <w:szCs w:val="28"/>
        </w:rPr>
        <w:t>TALKING POINTS FOR DIVISION DIRECTORS &amp; MANAGERS</w:t>
      </w:r>
    </w:p>
    <w:p w:rsidR="007F0079" w:rsidRPr="009D4573" w:rsidRDefault="007F0079" w:rsidP="007F0079">
      <w:pPr>
        <w:spacing w:after="0" w:line="240" w:lineRule="auto"/>
        <w:rPr>
          <w:sz w:val="24"/>
          <w:szCs w:val="24"/>
        </w:rPr>
      </w:pPr>
      <w:r w:rsidRPr="009D4573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information is</w:t>
      </w:r>
      <w:r w:rsidRPr="009D4573">
        <w:rPr>
          <w:sz w:val="24"/>
          <w:szCs w:val="24"/>
        </w:rPr>
        <w:t xml:space="preserve"> provided to help </w:t>
      </w:r>
      <w:r>
        <w:rPr>
          <w:sz w:val="24"/>
          <w:szCs w:val="24"/>
        </w:rPr>
        <w:t>Division Directors and Managers</w:t>
      </w:r>
      <w:r w:rsidRPr="009D4573">
        <w:rPr>
          <w:sz w:val="24"/>
          <w:szCs w:val="24"/>
        </w:rPr>
        <w:t xml:space="preserve"> discussing the tobacco-free policy with </w:t>
      </w:r>
      <w:r>
        <w:rPr>
          <w:sz w:val="24"/>
          <w:szCs w:val="24"/>
        </w:rPr>
        <w:t>employees, clients and visitors</w:t>
      </w:r>
      <w:r w:rsidRPr="009D457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47DE6" w:rsidRPr="008820B2" w:rsidRDefault="0071556E" w:rsidP="007F0079">
      <w:pPr>
        <w:numPr>
          <w:ilvl w:val="0"/>
          <w:numId w:val="1"/>
        </w:numP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9B4584" w:rsidRPr="008820B2">
        <w:rPr>
          <w:color w:val="000000"/>
          <w:sz w:val="24"/>
          <w:szCs w:val="24"/>
        </w:rPr>
        <w:t xml:space="preserve">here is no safe level of exposure to secondhand smoke.  </w:t>
      </w:r>
      <w:r w:rsidR="0000256A" w:rsidRPr="008820B2">
        <w:rPr>
          <w:color w:val="000000"/>
          <w:sz w:val="24"/>
          <w:szCs w:val="24"/>
        </w:rPr>
        <w:t xml:space="preserve">Cigarettes are responsible for over </w:t>
      </w:r>
      <w:r>
        <w:rPr>
          <w:color w:val="000000"/>
          <w:sz w:val="24"/>
          <w:szCs w:val="24"/>
        </w:rPr>
        <w:t>350</w:t>
      </w:r>
      <w:r w:rsidR="0000256A" w:rsidRPr="008820B2">
        <w:rPr>
          <w:color w:val="000000"/>
          <w:sz w:val="24"/>
          <w:szCs w:val="24"/>
        </w:rPr>
        <w:t xml:space="preserve"> deaths each year</w:t>
      </w:r>
      <w:r w:rsidR="0000256A">
        <w:rPr>
          <w:color w:val="000000"/>
          <w:sz w:val="24"/>
          <w:szCs w:val="24"/>
        </w:rPr>
        <w:t xml:space="preserve"> in </w:t>
      </w:r>
      <w:r>
        <w:rPr>
          <w:color w:val="000000"/>
          <w:sz w:val="24"/>
          <w:szCs w:val="24"/>
        </w:rPr>
        <w:t>Douglas County</w:t>
      </w:r>
      <w:r w:rsidR="0000256A">
        <w:rPr>
          <w:color w:val="000000"/>
          <w:sz w:val="24"/>
          <w:szCs w:val="24"/>
        </w:rPr>
        <w:t xml:space="preserve"> </w:t>
      </w:r>
      <w:r w:rsidR="0000256A" w:rsidRPr="008820B2">
        <w:rPr>
          <w:color w:val="000000"/>
          <w:sz w:val="24"/>
          <w:szCs w:val="24"/>
        </w:rPr>
        <w:t>and cost</w:t>
      </w:r>
      <w:r w:rsidR="009B4584" w:rsidRPr="008820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taxpayers over $100 million </w:t>
      </w:r>
      <w:r w:rsidR="009B4584" w:rsidRPr="008820B2">
        <w:rPr>
          <w:color w:val="000000"/>
          <w:sz w:val="24"/>
          <w:szCs w:val="24"/>
        </w:rPr>
        <w:t>in healthcare costs and costs due to lost productivity.</w:t>
      </w:r>
    </w:p>
    <w:p w:rsidR="007F0BFC" w:rsidRPr="00DF3628" w:rsidRDefault="00DF3628" w:rsidP="007F007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color w:val="000000"/>
          <w:sz w:val="24"/>
          <w:szCs w:val="24"/>
        </w:rPr>
      </w:pPr>
      <w:r w:rsidRPr="00DF3628">
        <w:rPr>
          <w:color w:val="000000"/>
          <w:sz w:val="24"/>
          <w:szCs w:val="24"/>
        </w:rPr>
        <w:t xml:space="preserve">We have a longstanding commitment to the health and safety of </w:t>
      </w:r>
      <w:r>
        <w:rPr>
          <w:color w:val="000000"/>
          <w:sz w:val="24"/>
          <w:szCs w:val="24"/>
        </w:rPr>
        <w:t xml:space="preserve">our employees and to </w:t>
      </w:r>
      <w:r w:rsidRPr="00DF3628">
        <w:rPr>
          <w:color w:val="000000"/>
          <w:sz w:val="24"/>
          <w:szCs w:val="24"/>
        </w:rPr>
        <w:t xml:space="preserve">the individuals and families we serve.  </w:t>
      </w:r>
      <w:r w:rsidR="007F0BFC" w:rsidRPr="00DF3628">
        <w:rPr>
          <w:color w:val="000000"/>
          <w:sz w:val="24"/>
          <w:szCs w:val="24"/>
        </w:rPr>
        <w:t xml:space="preserve">For the health of our employees, clients and visitors, Health Department properties </w:t>
      </w:r>
      <w:r w:rsidR="00311A73">
        <w:rPr>
          <w:color w:val="000000"/>
          <w:sz w:val="24"/>
          <w:szCs w:val="24"/>
        </w:rPr>
        <w:t>are</w:t>
      </w:r>
      <w:r w:rsidR="0071556E">
        <w:rPr>
          <w:color w:val="000000"/>
          <w:sz w:val="24"/>
          <w:szCs w:val="24"/>
        </w:rPr>
        <w:t xml:space="preserve"> </w:t>
      </w:r>
      <w:r w:rsidR="007F0BFC" w:rsidRPr="00DF3628">
        <w:rPr>
          <w:color w:val="000000"/>
          <w:sz w:val="24"/>
          <w:szCs w:val="24"/>
        </w:rPr>
        <w:t xml:space="preserve">tobacco-free </w:t>
      </w:r>
      <w:r w:rsidR="00314469">
        <w:rPr>
          <w:color w:val="000000"/>
          <w:sz w:val="24"/>
          <w:szCs w:val="24"/>
        </w:rPr>
        <w:t>effective</w:t>
      </w:r>
      <w:r w:rsidR="007F0BFC" w:rsidRPr="00DF3628">
        <w:rPr>
          <w:color w:val="000000"/>
          <w:sz w:val="24"/>
          <w:szCs w:val="24"/>
        </w:rPr>
        <w:t xml:space="preserve"> </w:t>
      </w:r>
      <w:r w:rsidR="00F91FA1">
        <w:rPr>
          <w:color w:val="000000"/>
          <w:sz w:val="24"/>
          <w:szCs w:val="24"/>
        </w:rPr>
        <w:t>September 1</w:t>
      </w:r>
      <w:r w:rsidR="007F0BFC" w:rsidRPr="00DF3628">
        <w:rPr>
          <w:color w:val="000000"/>
          <w:sz w:val="24"/>
          <w:szCs w:val="24"/>
        </w:rPr>
        <w:t>, 201</w:t>
      </w:r>
      <w:r w:rsidR="0071556E">
        <w:rPr>
          <w:color w:val="000000"/>
          <w:sz w:val="24"/>
          <w:szCs w:val="24"/>
        </w:rPr>
        <w:t>3</w:t>
      </w:r>
      <w:r w:rsidR="007F0BFC" w:rsidRPr="00DF3628">
        <w:rPr>
          <w:color w:val="000000"/>
          <w:sz w:val="24"/>
          <w:szCs w:val="24"/>
        </w:rPr>
        <w:t>.</w:t>
      </w:r>
    </w:p>
    <w:p w:rsidR="007F0BFC" w:rsidRPr="00DF3628" w:rsidRDefault="009602EB" w:rsidP="007F007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="FuturaBT-Light"/>
          <w:sz w:val="24"/>
          <w:szCs w:val="24"/>
        </w:rPr>
      </w:pPr>
      <w:r w:rsidRPr="00DF3628">
        <w:rPr>
          <w:color w:val="000000"/>
          <w:sz w:val="24"/>
          <w:szCs w:val="24"/>
        </w:rPr>
        <w:t xml:space="preserve">A tobacco-free policy is consistent </w:t>
      </w:r>
      <w:r w:rsidR="00DF3628" w:rsidRPr="00DF3628">
        <w:rPr>
          <w:color w:val="000000"/>
          <w:sz w:val="24"/>
          <w:szCs w:val="24"/>
        </w:rPr>
        <w:t xml:space="preserve">the Health Department’s </w:t>
      </w:r>
      <w:r w:rsidRPr="00DF3628">
        <w:rPr>
          <w:color w:val="000000"/>
          <w:sz w:val="24"/>
          <w:szCs w:val="24"/>
        </w:rPr>
        <w:t xml:space="preserve">role and mission is to assist people to be healthy, independent and safe.  </w:t>
      </w:r>
      <w:r w:rsidR="007F0BFC" w:rsidRPr="00DF3628">
        <w:rPr>
          <w:rFonts w:cs="FuturaBT-Light"/>
          <w:sz w:val="24"/>
          <w:szCs w:val="24"/>
        </w:rPr>
        <w:t xml:space="preserve">Because of our mission, </w:t>
      </w:r>
      <w:r w:rsidR="007F0BFC" w:rsidRPr="00DF3628">
        <w:rPr>
          <w:color w:val="000000"/>
          <w:sz w:val="24"/>
          <w:szCs w:val="24"/>
        </w:rPr>
        <w:t xml:space="preserve">we have a responsibility to take a leadership role on this major health issue by creating a safe, healthy and tobacco-free environment for our employees, clients and visitors. </w:t>
      </w:r>
    </w:p>
    <w:p w:rsidR="00BC2309" w:rsidRPr="008820B2" w:rsidRDefault="00F415D6" w:rsidP="007F0079">
      <w:pPr>
        <w:numPr>
          <w:ilvl w:val="0"/>
          <w:numId w:val="1"/>
        </w:numPr>
        <w:spacing w:before="240" w:after="0" w:line="240" w:lineRule="auto"/>
        <w:rPr>
          <w:color w:val="000000"/>
          <w:sz w:val="24"/>
          <w:szCs w:val="24"/>
        </w:rPr>
      </w:pPr>
      <w:r w:rsidRPr="008820B2">
        <w:rPr>
          <w:color w:val="000000"/>
          <w:sz w:val="24"/>
          <w:szCs w:val="24"/>
        </w:rPr>
        <w:t>W</w:t>
      </w:r>
      <w:r w:rsidR="00364384" w:rsidRPr="008820B2">
        <w:rPr>
          <w:color w:val="000000"/>
          <w:sz w:val="24"/>
          <w:szCs w:val="24"/>
        </w:rPr>
        <w:t>e are committed to the health and sa</w:t>
      </w:r>
      <w:r w:rsidR="0081585D" w:rsidRPr="008820B2">
        <w:rPr>
          <w:color w:val="000000"/>
          <w:sz w:val="24"/>
          <w:szCs w:val="24"/>
        </w:rPr>
        <w:t xml:space="preserve">fety of our </w:t>
      </w:r>
      <w:r w:rsidR="008820B2">
        <w:rPr>
          <w:color w:val="000000"/>
          <w:sz w:val="24"/>
          <w:szCs w:val="24"/>
        </w:rPr>
        <w:t>employees, clients and visitors</w:t>
      </w:r>
      <w:r w:rsidR="00364384" w:rsidRPr="008820B2">
        <w:rPr>
          <w:color w:val="000000"/>
          <w:sz w:val="24"/>
          <w:szCs w:val="24"/>
        </w:rPr>
        <w:t xml:space="preserve">.  </w:t>
      </w:r>
      <w:r w:rsidR="00BC2309" w:rsidRPr="008820B2">
        <w:rPr>
          <w:color w:val="000000"/>
          <w:sz w:val="24"/>
          <w:szCs w:val="24"/>
        </w:rPr>
        <w:t>A tobacco-free policy will help ensure t</w:t>
      </w:r>
      <w:r w:rsidR="0081585D" w:rsidRPr="008820B2">
        <w:rPr>
          <w:color w:val="000000"/>
          <w:sz w:val="24"/>
          <w:szCs w:val="24"/>
        </w:rPr>
        <w:t xml:space="preserve">hat our campus </w:t>
      </w:r>
      <w:r w:rsidR="00750753">
        <w:rPr>
          <w:color w:val="000000"/>
          <w:sz w:val="24"/>
          <w:szCs w:val="24"/>
        </w:rPr>
        <w:t xml:space="preserve">is safe and </w:t>
      </w:r>
      <w:r w:rsidR="0081585D" w:rsidRPr="008820B2">
        <w:rPr>
          <w:color w:val="000000"/>
          <w:sz w:val="24"/>
          <w:szCs w:val="24"/>
        </w:rPr>
        <w:t xml:space="preserve">accessible </w:t>
      </w:r>
      <w:r w:rsidR="00750753">
        <w:rPr>
          <w:color w:val="000000"/>
          <w:sz w:val="24"/>
          <w:szCs w:val="24"/>
        </w:rPr>
        <w:t xml:space="preserve">for </w:t>
      </w:r>
      <w:r w:rsidR="00BC2309" w:rsidRPr="008820B2">
        <w:rPr>
          <w:color w:val="000000"/>
          <w:sz w:val="24"/>
          <w:szCs w:val="24"/>
        </w:rPr>
        <w:t>all</w:t>
      </w:r>
      <w:r w:rsidR="0081585D" w:rsidRPr="008820B2">
        <w:rPr>
          <w:color w:val="000000"/>
          <w:sz w:val="24"/>
          <w:szCs w:val="24"/>
        </w:rPr>
        <w:t xml:space="preserve">—especially </w:t>
      </w:r>
      <w:r w:rsidR="00750753">
        <w:rPr>
          <w:color w:val="000000"/>
          <w:sz w:val="24"/>
          <w:szCs w:val="24"/>
        </w:rPr>
        <w:t>infants and children, pregnant women and for people with s</w:t>
      </w:r>
      <w:r w:rsidR="00590A0F" w:rsidRPr="008820B2">
        <w:rPr>
          <w:color w:val="000000"/>
          <w:sz w:val="24"/>
          <w:szCs w:val="24"/>
        </w:rPr>
        <w:t xml:space="preserve">erious </w:t>
      </w:r>
      <w:r w:rsidR="00BC2309" w:rsidRPr="008820B2">
        <w:rPr>
          <w:color w:val="000000"/>
          <w:sz w:val="24"/>
          <w:szCs w:val="24"/>
        </w:rPr>
        <w:t>health condition</w:t>
      </w:r>
      <w:r w:rsidR="00750753">
        <w:rPr>
          <w:color w:val="000000"/>
          <w:sz w:val="24"/>
          <w:szCs w:val="24"/>
        </w:rPr>
        <w:t xml:space="preserve">s, </w:t>
      </w:r>
      <w:r w:rsidR="0081585D" w:rsidRPr="008820B2">
        <w:rPr>
          <w:color w:val="000000"/>
          <w:sz w:val="24"/>
          <w:szCs w:val="24"/>
        </w:rPr>
        <w:t xml:space="preserve">such as </w:t>
      </w:r>
      <w:r w:rsidR="00750753">
        <w:rPr>
          <w:color w:val="000000"/>
          <w:sz w:val="24"/>
          <w:szCs w:val="24"/>
        </w:rPr>
        <w:t xml:space="preserve">asthmas, </w:t>
      </w:r>
      <w:r w:rsidR="0081585D" w:rsidRPr="008820B2">
        <w:rPr>
          <w:color w:val="000000"/>
          <w:sz w:val="24"/>
          <w:szCs w:val="24"/>
        </w:rPr>
        <w:t>c</w:t>
      </w:r>
      <w:r w:rsidR="00750753">
        <w:rPr>
          <w:color w:val="000000"/>
          <w:sz w:val="24"/>
          <w:szCs w:val="24"/>
        </w:rPr>
        <w:t>ancer, and heart disease</w:t>
      </w:r>
      <w:r w:rsidR="00BC2309" w:rsidRPr="008820B2">
        <w:rPr>
          <w:color w:val="000000"/>
          <w:sz w:val="24"/>
          <w:szCs w:val="24"/>
        </w:rPr>
        <w:t>.</w:t>
      </w:r>
    </w:p>
    <w:p w:rsidR="00BC2309" w:rsidRPr="008820B2" w:rsidRDefault="00BC2309" w:rsidP="007F0079">
      <w:pPr>
        <w:numPr>
          <w:ilvl w:val="0"/>
          <w:numId w:val="1"/>
        </w:numPr>
        <w:spacing w:before="240" w:after="0" w:line="240" w:lineRule="auto"/>
        <w:rPr>
          <w:color w:val="000000"/>
          <w:sz w:val="24"/>
          <w:szCs w:val="24"/>
        </w:rPr>
      </w:pPr>
      <w:r w:rsidRPr="008820B2">
        <w:rPr>
          <w:color w:val="000000"/>
          <w:sz w:val="24"/>
          <w:szCs w:val="24"/>
        </w:rPr>
        <w:t>A tobacco-free campu</w:t>
      </w:r>
      <w:r w:rsidR="0081585D" w:rsidRPr="008820B2">
        <w:rPr>
          <w:color w:val="000000"/>
          <w:sz w:val="24"/>
          <w:szCs w:val="24"/>
        </w:rPr>
        <w:t xml:space="preserve">s will provide a supportive environment for those who are trying to quit smoking, and will communicate our commitment to </w:t>
      </w:r>
      <w:r w:rsidR="009602EB" w:rsidRPr="008820B2">
        <w:rPr>
          <w:color w:val="000000"/>
          <w:sz w:val="24"/>
          <w:szCs w:val="24"/>
        </w:rPr>
        <w:t>reducing and preventing</w:t>
      </w:r>
      <w:r w:rsidR="0081585D" w:rsidRPr="008820B2">
        <w:rPr>
          <w:color w:val="000000"/>
          <w:sz w:val="24"/>
          <w:szCs w:val="24"/>
        </w:rPr>
        <w:t xml:space="preserve"> </w:t>
      </w:r>
      <w:r w:rsidR="009602EB" w:rsidRPr="008820B2">
        <w:rPr>
          <w:color w:val="000000"/>
          <w:sz w:val="24"/>
          <w:szCs w:val="24"/>
        </w:rPr>
        <w:t xml:space="preserve">tobacco use </w:t>
      </w:r>
      <w:r w:rsidR="0081585D" w:rsidRPr="008820B2">
        <w:rPr>
          <w:color w:val="000000"/>
          <w:sz w:val="24"/>
          <w:szCs w:val="24"/>
        </w:rPr>
        <w:t>in the first place.</w:t>
      </w:r>
    </w:p>
    <w:p w:rsidR="00BC78A2" w:rsidRPr="00BC78A2" w:rsidRDefault="00364384" w:rsidP="007F0079">
      <w:pPr>
        <w:numPr>
          <w:ilvl w:val="0"/>
          <w:numId w:val="1"/>
        </w:numPr>
        <w:spacing w:before="240" w:after="0" w:line="240" w:lineRule="auto"/>
        <w:rPr>
          <w:color w:val="000000"/>
          <w:sz w:val="24"/>
          <w:szCs w:val="24"/>
        </w:rPr>
      </w:pPr>
      <w:r w:rsidRPr="008820B2">
        <w:rPr>
          <w:color w:val="000000"/>
          <w:sz w:val="24"/>
          <w:szCs w:val="24"/>
        </w:rPr>
        <w:t xml:space="preserve">The issue is not about </w:t>
      </w:r>
      <w:r w:rsidR="009602EB" w:rsidRPr="008820B2">
        <w:rPr>
          <w:color w:val="000000"/>
          <w:sz w:val="24"/>
          <w:szCs w:val="24"/>
        </w:rPr>
        <w:t>whether</w:t>
      </w:r>
      <w:r w:rsidRPr="008820B2">
        <w:rPr>
          <w:color w:val="000000"/>
          <w:sz w:val="24"/>
          <w:szCs w:val="24"/>
        </w:rPr>
        <w:t xml:space="preserve"> a person smokes, it’s about </w:t>
      </w:r>
      <w:r w:rsidR="009602EB" w:rsidRPr="008820B2">
        <w:rPr>
          <w:color w:val="000000"/>
          <w:sz w:val="24"/>
          <w:szCs w:val="24"/>
        </w:rPr>
        <w:t xml:space="preserve">where </w:t>
      </w:r>
      <w:r w:rsidRPr="008820B2">
        <w:rPr>
          <w:color w:val="000000"/>
          <w:sz w:val="24"/>
          <w:szCs w:val="24"/>
        </w:rPr>
        <w:t xml:space="preserve">a person smokes.  This policy does not require that individuals quit smoking or using tobacco products, but rather that </w:t>
      </w:r>
      <w:r w:rsidR="00425395" w:rsidRPr="008820B2">
        <w:rPr>
          <w:color w:val="000000"/>
          <w:sz w:val="24"/>
          <w:szCs w:val="24"/>
        </w:rPr>
        <w:t xml:space="preserve">smoking and </w:t>
      </w:r>
      <w:r w:rsidR="0081585D" w:rsidRPr="008820B2">
        <w:rPr>
          <w:color w:val="000000"/>
          <w:sz w:val="24"/>
          <w:szCs w:val="24"/>
        </w:rPr>
        <w:t xml:space="preserve">other </w:t>
      </w:r>
      <w:r w:rsidR="00425395" w:rsidRPr="008820B2">
        <w:rPr>
          <w:color w:val="000000"/>
          <w:sz w:val="24"/>
          <w:szCs w:val="24"/>
        </w:rPr>
        <w:t xml:space="preserve">tobacco use </w:t>
      </w:r>
      <w:r w:rsidRPr="008820B2">
        <w:rPr>
          <w:color w:val="000000"/>
          <w:sz w:val="24"/>
          <w:szCs w:val="24"/>
        </w:rPr>
        <w:t xml:space="preserve">is not permitted </w:t>
      </w:r>
      <w:r w:rsidR="0081585D" w:rsidRPr="008820B2">
        <w:rPr>
          <w:color w:val="000000"/>
          <w:sz w:val="24"/>
          <w:szCs w:val="24"/>
        </w:rPr>
        <w:t xml:space="preserve">anywhere </w:t>
      </w:r>
      <w:r w:rsidRPr="008820B2">
        <w:rPr>
          <w:color w:val="000000"/>
          <w:sz w:val="24"/>
          <w:szCs w:val="24"/>
        </w:rPr>
        <w:t xml:space="preserve">on </w:t>
      </w:r>
      <w:r w:rsidR="009602EB" w:rsidRPr="008820B2">
        <w:rPr>
          <w:color w:val="000000"/>
          <w:sz w:val="24"/>
          <w:szCs w:val="24"/>
        </w:rPr>
        <w:t xml:space="preserve">Health Department </w:t>
      </w:r>
      <w:r w:rsidRPr="008820B2">
        <w:rPr>
          <w:color w:val="000000"/>
          <w:sz w:val="24"/>
          <w:szCs w:val="24"/>
        </w:rPr>
        <w:t>propert</w:t>
      </w:r>
      <w:r w:rsidR="009602EB" w:rsidRPr="008820B2">
        <w:rPr>
          <w:color w:val="000000"/>
          <w:sz w:val="24"/>
          <w:szCs w:val="24"/>
        </w:rPr>
        <w:t>ies</w:t>
      </w:r>
      <w:r w:rsidRPr="008820B2">
        <w:rPr>
          <w:color w:val="000000"/>
          <w:sz w:val="24"/>
          <w:szCs w:val="24"/>
        </w:rPr>
        <w:t xml:space="preserve">.  </w:t>
      </w:r>
    </w:p>
    <w:p w:rsidR="00DF3628" w:rsidRPr="0071556E" w:rsidRDefault="00DF3628" w:rsidP="007F007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RotisSerif" w:hAnsi="RotisSerif" w:cs="RotisSerif"/>
          <w:sz w:val="24"/>
          <w:szCs w:val="24"/>
        </w:rPr>
      </w:pPr>
      <w:r w:rsidRPr="0071556E">
        <w:rPr>
          <w:color w:val="000000"/>
          <w:sz w:val="24"/>
          <w:szCs w:val="24"/>
        </w:rPr>
        <w:t xml:space="preserve">A tobacco-free policy is </w:t>
      </w:r>
      <w:r w:rsidRPr="0071556E">
        <w:rPr>
          <w:rFonts w:cs="RotisSerif"/>
          <w:sz w:val="24"/>
          <w:szCs w:val="24"/>
        </w:rPr>
        <w:t xml:space="preserve">one part of a comprehensive approach to employee health and wellness.  To help make the transition </w:t>
      </w:r>
      <w:r w:rsidR="0071556E">
        <w:rPr>
          <w:rFonts w:cs="RotisSerif"/>
          <w:sz w:val="24"/>
          <w:szCs w:val="24"/>
        </w:rPr>
        <w:t xml:space="preserve">to a tobacco-free property, we </w:t>
      </w:r>
      <w:r w:rsidR="007F0079">
        <w:rPr>
          <w:rFonts w:cs="RotisSerif"/>
          <w:sz w:val="24"/>
          <w:szCs w:val="24"/>
        </w:rPr>
        <w:t xml:space="preserve">will </w:t>
      </w:r>
      <w:r w:rsidR="0071556E">
        <w:rPr>
          <w:rFonts w:cs="RotisSerif"/>
          <w:sz w:val="24"/>
          <w:szCs w:val="24"/>
        </w:rPr>
        <w:t>comm</w:t>
      </w:r>
      <w:r w:rsidR="007F0079">
        <w:rPr>
          <w:rFonts w:cs="RotisSerif"/>
          <w:sz w:val="24"/>
          <w:szCs w:val="24"/>
        </w:rPr>
        <w:t>unicate</w:t>
      </w:r>
      <w:r w:rsidR="0071556E">
        <w:rPr>
          <w:rFonts w:cs="RotisSerif"/>
          <w:sz w:val="24"/>
          <w:szCs w:val="24"/>
        </w:rPr>
        <w:t xml:space="preserve"> clearly and </w:t>
      </w:r>
      <w:r w:rsidRPr="0071556E">
        <w:rPr>
          <w:rFonts w:cs="RotisSerif"/>
          <w:sz w:val="24"/>
          <w:szCs w:val="24"/>
        </w:rPr>
        <w:t>often and encourag</w:t>
      </w:r>
      <w:r w:rsidR="007F0079">
        <w:rPr>
          <w:rFonts w:cs="RotisSerif"/>
          <w:sz w:val="24"/>
          <w:szCs w:val="24"/>
        </w:rPr>
        <w:t>e</w:t>
      </w:r>
      <w:r w:rsidRPr="0071556E">
        <w:rPr>
          <w:rFonts w:cs="RotisSerif"/>
          <w:sz w:val="24"/>
          <w:szCs w:val="24"/>
        </w:rPr>
        <w:t xml:space="preserve"> all employees to take part in helping to enforce the policy.</w:t>
      </w:r>
    </w:p>
    <w:p w:rsidR="0036793E" w:rsidRPr="009D4573" w:rsidRDefault="004B5AD6" w:rsidP="007F0079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207645</wp:posOffset>
            </wp:positionV>
            <wp:extent cx="3661410" cy="1912620"/>
            <wp:effectExtent l="19050" t="0" r="0" b="0"/>
            <wp:wrapNone/>
            <wp:docPr id="7" name="07e02d5f-88f5-439a-85a9-47b8f619b3c3" descr="cid:4EA4A9F3-91C2-4776-BF52-F4C374CAF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e02d5f-88f5-439a-85a9-47b8f619b3c3" descr="cid:4EA4A9F3-91C2-4776-BF52-F4C374CAFDCB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t="7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91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0079" w:rsidRPr="009D4573">
        <w:rPr>
          <w:i/>
          <w:sz w:val="24"/>
          <w:szCs w:val="24"/>
        </w:rPr>
        <w:t xml:space="preserve"> </w:t>
      </w:r>
    </w:p>
    <w:sectPr w:rsidR="0036793E" w:rsidRPr="009D4573" w:rsidSect="004B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720" w:bottom="100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D6" w:rsidRDefault="004B5AD6" w:rsidP="007349C3">
      <w:pPr>
        <w:spacing w:after="0" w:line="240" w:lineRule="auto"/>
      </w:pPr>
      <w:r>
        <w:separator/>
      </w:r>
    </w:p>
  </w:endnote>
  <w:endnote w:type="continuationSeparator" w:id="0">
    <w:p w:rsidR="004B5AD6" w:rsidRDefault="004B5AD6" w:rsidP="0073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30" w:rsidRDefault="00F235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D6" w:rsidRPr="00D13F09" w:rsidRDefault="004B5AD6" w:rsidP="00BC78A2">
    <w:pPr>
      <w:pStyle w:val="Footer"/>
      <w:pBdr>
        <w:top w:val="single" w:sz="4" w:space="0" w:color="D9D9D9"/>
      </w:pBdr>
      <w:tabs>
        <w:tab w:val="left" w:pos="360"/>
      </w:tabs>
      <w:rPr>
        <w:sz w:val="20"/>
        <w:szCs w:val="20"/>
      </w:rPr>
    </w:pPr>
    <w:r w:rsidRPr="00D13F0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30" w:rsidRDefault="00F235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D6" w:rsidRDefault="004B5AD6" w:rsidP="007349C3">
      <w:pPr>
        <w:spacing w:after="0" w:line="240" w:lineRule="auto"/>
      </w:pPr>
      <w:r>
        <w:separator/>
      </w:r>
    </w:p>
  </w:footnote>
  <w:footnote w:type="continuationSeparator" w:id="0">
    <w:p w:rsidR="004B5AD6" w:rsidRDefault="004B5AD6" w:rsidP="0073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30" w:rsidRDefault="00F235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D6" w:rsidRDefault="004B5A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30" w:rsidRDefault="00F235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13A"/>
    <w:multiLevelType w:val="hybridMultilevel"/>
    <w:tmpl w:val="9B36E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5C7646"/>
    <w:multiLevelType w:val="hybridMultilevel"/>
    <w:tmpl w:val="659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65324"/>
    <w:multiLevelType w:val="hybridMultilevel"/>
    <w:tmpl w:val="AC9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67247"/>
    <w:multiLevelType w:val="hybridMultilevel"/>
    <w:tmpl w:val="D1A2C65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403E4FE5"/>
    <w:multiLevelType w:val="hybridMultilevel"/>
    <w:tmpl w:val="8026D752"/>
    <w:lvl w:ilvl="0" w:tplc="040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4"/>
    <w:rsid w:val="0000256A"/>
    <w:rsid w:val="001A3131"/>
    <w:rsid w:val="001B44F7"/>
    <w:rsid w:val="00214FC5"/>
    <w:rsid w:val="00215564"/>
    <w:rsid w:val="00240A50"/>
    <w:rsid w:val="00247DE6"/>
    <w:rsid w:val="0028586E"/>
    <w:rsid w:val="0028750C"/>
    <w:rsid w:val="0029013C"/>
    <w:rsid w:val="00290B1A"/>
    <w:rsid w:val="00311A73"/>
    <w:rsid w:val="00314469"/>
    <w:rsid w:val="003324DE"/>
    <w:rsid w:val="00364344"/>
    <w:rsid w:val="00364384"/>
    <w:rsid w:val="0036793E"/>
    <w:rsid w:val="003A3C91"/>
    <w:rsid w:val="004216BD"/>
    <w:rsid w:val="00425395"/>
    <w:rsid w:val="0043381D"/>
    <w:rsid w:val="004658D1"/>
    <w:rsid w:val="00484FA9"/>
    <w:rsid w:val="00490F71"/>
    <w:rsid w:val="004B5AD6"/>
    <w:rsid w:val="004F2DBF"/>
    <w:rsid w:val="0057000B"/>
    <w:rsid w:val="005806EA"/>
    <w:rsid w:val="00590A0F"/>
    <w:rsid w:val="005B37C1"/>
    <w:rsid w:val="00637E66"/>
    <w:rsid w:val="00646696"/>
    <w:rsid w:val="00650B43"/>
    <w:rsid w:val="00674758"/>
    <w:rsid w:val="006C2C80"/>
    <w:rsid w:val="006D5869"/>
    <w:rsid w:val="00714027"/>
    <w:rsid w:val="0071556E"/>
    <w:rsid w:val="007349C3"/>
    <w:rsid w:val="00750753"/>
    <w:rsid w:val="007A3517"/>
    <w:rsid w:val="007F0079"/>
    <w:rsid w:val="007F0BFC"/>
    <w:rsid w:val="007F7A86"/>
    <w:rsid w:val="00807611"/>
    <w:rsid w:val="00811746"/>
    <w:rsid w:val="0081585D"/>
    <w:rsid w:val="008820B2"/>
    <w:rsid w:val="008A060F"/>
    <w:rsid w:val="008A605A"/>
    <w:rsid w:val="008B496F"/>
    <w:rsid w:val="008E4718"/>
    <w:rsid w:val="009602EB"/>
    <w:rsid w:val="009603D3"/>
    <w:rsid w:val="009B1F72"/>
    <w:rsid w:val="009B4584"/>
    <w:rsid w:val="009D4573"/>
    <w:rsid w:val="00A46BC9"/>
    <w:rsid w:val="00A53467"/>
    <w:rsid w:val="00A91A4A"/>
    <w:rsid w:val="00B012DB"/>
    <w:rsid w:val="00B17E15"/>
    <w:rsid w:val="00B2036F"/>
    <w:rsid w:val="00B258F9"/>
    <w:rsid w:val="00B40389"/>
    <w:rsid w:val="00B8065A"/>
    <w:rsid w:val="00B954D5"/>
    <w:rsid w:val="00BC2309"/>
    <w:rsid w:val="00BC78A2"/>
    <w:rsid w:val="00BD40D7"/>
    <w:rsid w:val="00BE1EC9"/>
    <w:rsid w:val="00BF10D1"/>
    <w:rsid w:val="00C557F0"/>
    <w:rsid w:val="00CD12BA"/>
    <w:rsid w:val="00CE1BC2"/>
    <w:rsid w:val="00D13F09"/>
    <w:rsid w:val="00DA01C3"/>
    <w:rsid w:val="00DC4603"/>
    <w:rsid w:val="00DE4B42"/>
    <w:rsid w:val="00DE69AE"/>
    <w:rsid w:val="00DF3628"/>
    <w:rsid w:val="00E01195"/>
    <w:rsid w:val="00E22047"/>
    <w:rsid w:val="00E37248"/>
    <w:rsid w:val="00E466AC"/>
    <w:rsid w:val="00EC0F30"/>
    <w:rsid w:val="00ED3908"/>
    <w:rsid w:val="00EF6E7A"/>
    <w:rsid w:val="00F23530"/>
    <w:rsid w:val="00F32035"/>
    <w:rsid w:val="00F415D6"/>
    <w:rsid w:val="00F52846"/>
    <w:rsid w:val="00F829E8"/>
    <w:rsid w:val="00F91FA1"/>
    <w:rsid w:val="00FC41DC"/>
    <w:rsid w:val="00FF28DF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349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9C3"/>
  </w:style>
  <w:style w:type="character" w:styleId="EndnoteReference">
    <w:name w:val="endnote reference"/>
    <w:basedOn w:val="DefaultParagraphFont"/>
    <w:uiPriority w:val="99"/>
    <w:semiHidden/>
    <w:unhideWhenUsed/>
    <w:rsid w:val="007349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3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344"/>
  </w:style>
  <w:style w:type="character" w:styleId="FootnoteReference">
    <w:name w:val="footnote reference"/>
    <w:basedOn w:val="DefaultParagraphFont"/>
    <w:uiPriority w:val="99"/>
    <w:semiHidden/>
    <w:unhideWhenUsed/>
    <w:rsid w:val="00364344"/>
    <w:rPr>
      <w:vertAlign w:val="superscript"/>
    </w:rPr>
  </w:style>
  <w:style w:type="table" w:styleId="TableGrid">
    <w:name w:val="Table Grid"/>
    <w:basedOn w:val="TableNormal"/>
    <w:uiPriority w:val="59"/>
    <w:rsid w:val="0036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9603D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0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2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0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2E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47DE6"/>
    <w:pPr>
      <w:spacing w:before="24" w:after="168" w:line="240" w:lineRule="auto"/>
    </w:pPr>
    <w:rPr>
      <w:rFonts w:ascii="Times New Roman" w:eastAsia="Times New Roman" w:hAnsi="Times New Roman"/>
      <w:color w:val="33333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349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9C3"/>
  </w:style>
  <w:style w:type="character" w:styleId="EndnoteReference">
    <w:name w:val="endnote reference"/>
    <w:basedOn w:val="DefaultParagraphFont"/>
    <w:uiPriority w:val="99"/>
    <w:semiHidden/>
    <w:unhideWhenUsed/>
    <w:rsid w:val="007349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3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344"/>
  </w:style>
  <w:style w:type="character" w:styleId="FootnoteReference">
    <w:name w:val="footnote reference"/>
    <w:basedOn w:val="DefaultParagraphFont"/>
    <w:uiPriority w:val="99"/>
    <w:semiHidden/>
    <w:unhideWhenUsed/>
    <w:rsid w:val="00364344"/>
    <w:rPr>
      <w:vertAlign w:val="superscript"/>
    </w:rPr>
  </w:style>
  <w:style w:type="table" w:styleId="TableGrid">
    <w:name w:val="Table Grid"/>
    <w:basedOn w:val="TableNormal"/>
    <w:uiPriority w:val="59"/>
    <w:rsid w:val="0036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9603D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0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2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0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2E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47DE6"/>
    <w:pPr>
      <w:spacing w:before="24" w:after="168" w:line="240" w:lineRule="auto"/>
    </w:pPr>
    <w:rPr>
      <w:rFonts w:ascii="Times New Roman" w:eastAsia="Times New Roman" w:hAnsi="Times New Roman"/>
      <w:color w:val="33333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2" w:space="0" w:color="C7CDE4"/>
                <w:bottom w:val="single" w:sz="2" w:space="0" w:color="C7CDE4"/>
                <w:right w:val="single" w:sz="6" w:space="0" w:color="C7CDE4"/>
              </w:divBdr>
              <w:divsChild>
                <w:div w:id="1103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74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1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single" w:sz="2" w:space="0" w:color="C7CDE4"/>
                <w:bottom w:val="single" w:sz="2" w:space="0" w:color="C7CDE4"/>
                <w:right w:val="single" w:sz="6" w:space="0" w:color="C7CDE4"/>
              </w:divBdr>
              <w:divsChild>
                <w:div w:id="123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68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7" Type="http://schemas.openxmlformats.org/officeDocument/2006/relationships/footnotes" Target="footnotes.xml"/><Relationship Id="rId16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1" Type="http://schemas.openxmlformats.org/officeDocument/2006/relationships/image" Target="cid:image004.jpg@01CE798A.8A07AE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5" Type="http://schemas.openxmlformats.org/officeDocument/2006/relationships/settings" Target="settings.xml"/><Relationship Id="rId19" Type="http://schemas.openxmlformats.org/officeDocument/2006/relationships/theme" Target="theme/theme1.xml"/><Relationship Id="rId10" Type="http://schemas.openxmlformats.org/officeDocument/2006/relationships/image" Target="media/image2.jpeg"/><Relationship Id="rId1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https://www.oregon.gov/oha/PH/DISEASESCONDITIONS/CHRONICDISEASE/HPCDPCONNECTION/TOBACCO/Documents/Tobacco-free_Policies/5.3%20Talking%20Points%20for%20Managers.docx</Url>
      <Description>Talking Points for Managers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FB8ED-B72E-4589-A50A-60D87C1BFAD6}"/>
</file>

<file path=customXml/itemProps2.xml><?xml version="1.0" encoding="utf-8"?>
<ds:datastoreItem xmlns:ds="http://schemas.openxmlformats.org/officeDocument/2006/customXml" ds:itemID="{5C45AF34-0187-429E-A5B2-40A04093D69E}"/>
</file>

<file path=customXml/itemProps3.xml><?xml version="1.0" encoding="utf-8"?>
<ds:datastoreItem xmlns:ds="http://schemas.openxmlformats.org/officeDocument/2006/customXml" ds:itemID="{E3AC67EE-965D-EC4F-BA7A-98218A1EBC73}"/>
</file>

<file path=customXml/itemProps4.xml><?xml version="1.0" encoding="utf-8"?>
<ds:datastoreItem xmlns:ds="http://schemas.openxmlformats.org/officeDocument/2006/customXml" ds:itemID="{686F7E4D-BDFE-46D1-A053-225E27062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 for Managers</dc:title>
  <dc:creator>mjcarter</dc:creator>
  <cp:lastModifiedBy>Mark Peterson</cp:lastModifiedBy>
  <cp:revision>2</cp:revision>
  <cp:lastPrinted>2011-02-09T22:42:00Z</cp:lastPrinted>
  <dcterms:created xsi:type="dcterms:W3CDTF">2016-01-22T00:23:00Z</dcterms:created>
  <dcterms:modified xsi:type="dcterms:W3CDTF">2016-01-22T00:23:00Z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11300</vt:r8>
  </property>
</Properties>
</file>