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236" w:rsidRPr="00CA40E5" w:rsidRDefault="00053236" w:rsidP="00053236">
      <w:pPr>
        <w:contextualSpacing/>
        <w:rPr>
          <w:rFonts w:asciiTheme="minorHAnsi" w:hAnsiTheme="minorHAnsi" w:cstheme="minorHAnsi"/>
          <w:sz w:val="24"/>
          <w:szCs w:val="24"/>
          <w:lang w:val="es-MX"/>
        </w:rPr>
      </w:pPr>
    </w:p>
    <w:p w:rsidR="00053236" w:rsidRPr="00CA40E5" w:rsidRDefault="00053236" w:rsidP="00053236">
      <w:pPr>
        <w:contextualSpacing/>
        <w:rPr>
          <w:rFonts w:asciiTheme="minorHAnsi" w:hAnsiTheme="minorHAnsi" w:cstheme="minorHAnsi"/>
          <w:sz w:val="24"/>
          <w:szCs w:val="24"/>
          <w:lang w:val="es-MX"/>
        </w:rPr>
      </w:pPr>
      <w:r w:rsidRPr="00CA40E5">
        <w:rPr>
          <w:rFonts w:asciiTheme="minorHAnsi" w:hAnsiTheme="minorHAnsi" w:cstheme="minorHAnsi"/>
          <w:sz w:val="24"/>
          <w:szCs w:val="24"/>
          <w:lang w:val="es-MX"/>
        </w:rPr>
        <w:t>2019</w:t>
      </w:r>
    </w:p>
    <w:p w:rsidR="00053236" w:rsidRPr="00CA40E5" w:rsidRDefault="00053236" w:rsidP="00053236">
      <w:pPr>
        <w:contextualSpacing/>
        <w:rPr>
          <w:rFonts w:asciiTheme="minorHAnsi" w:hAnsiTheme="minorHAnsi" w:cstheme="minorHAnsi"/>
          <w:sz w:val="24"/>
          <w:szCs w:val="24"/>
          <w:lang w:val="es-MX"/>
        </w:rPr>
      </w:pPr>
    </w:p>
    <w:p w:rsidR="00053236" w:rsidRPr="00CA40E5" w:rsidRDefault="00053236" w:rsidP="00053236">
      <w:pPr>
        <w:ind w:right="99"/>
        <w:contextualSpacing/>
        <w:rPr>
          <w:rFonts w:asciiTheme="minorHAnsi" w:eastAsia="Calibri" w:hAnsiTheme="minorHAnsi" w:cstheme="minorHAnsi"/>
          <w:color w:val="212121"/>
          <w:spacing w:val="1"/>
          <w:sz w:val="24"/>
          <w:szCs w:val="24"/>
          <w:lang w:val="es-MX"/>
        </w:rPr>
      </w:pPr>
      <w:r w:rsidRPr="00CA40E5">
        <w:rPr>
          <w:rFonts w:asciiTheme="minorHAnsi" w:eastAsia="Calibri" w:hAnsiTheme="minorHAnsi" w:cstheme="minorHAnsi"/>
          <w:color w:val="212121"/>
          <w:spacing w:val="1"/>
          <w:sz w:val="24"/>
          <w:szCs w:val="24"/>
          <w:lang w:val="es-ES"/>
        </w:rPr>
        <w:t>Estimado padre o tutor,</w:t>
      </w:r>
    </w:p>
    <w:p w:rsidR="00053236" w:rsidRPr="00CA40E5" w:rsidRDefault="00053236" w:rsidP="00053236">
      <w:pPr>
        <w:spacing w:before="9" w:line="260" w:lineRule="exact"/>
        <w:contextualSpacing/>
        <w:rPr>
          <w:rFonts w:asciiTheme="minorHAnsi" w:eastAsia="Calibri" w:hAnsiTheme="minorHAnsi" w:cstheme="minorHAnsi"/>
          <w:sz w:val="24"/>
          <w:szCs w:val="24"/>
          <w:lang w:val="es-MX"/>
        </w:rPr>
      </w:pPr>
      <w:r w:rsidRPr="00CA40E5">
        <w:rPr>
          <w:rFonts w:asciiTheme="minorHAnsi" w:eastAsia="Calibri" w:hAnsiTheme="minorHAnsi" w:cstheme="minorHAnsi"/>
          <w:color w:val="FF0000"/>
          <w:sz w:val="24"/>
          <w:szCs w:val="24"/>
          <w:lang w:val="es-MX"/>
        </w:rPr>
        <w:br/>
      </w:r>
      <w:r w:rsidRPr="00CA40E5">
        <w:rPr>
          <w:rFonts w:asciiTheme="minorHAnsi" w:eastAsia="Calibri" w:hAnsiTheme="minorHAnsi" w:cstheme="minorHAnsi"/>
          <w:sz w:val="24"/>
          <w:szCs w:val="24"/>
          <w:lang w:val="es-MX"/>
        </w:rPr>
        <w:t>Con la investigación actual sobre el brote de sarampión en el Condado de Clark, Washington, entendemos que los padres en nuestra área tienen preguntas sobre qué se puede hacer para mantener a los niños seguros y qué hará la escuela o el cuidado de sus hijos si se confirma un caso de sarampión en su sitio</w:t>
      </w:r>
    </w:p>
    <w:p w:rsidR="00053236" w:rsidRPr="00CA40E5" w:rsidRDefault="00053236" w:rsidP="00053236">
      <w:pPr>
        <w:spacing w:before="9" w:line="260" w:lineRule="exact"/>
        <w:contextualSpacing/>
        <w:rPr>
          <w:rFonts w:asciiTheme="minorHAnsi" w:hAnsiTheme="minorHAnsi" w:cstheme="minorHAnsi"/>
          <w:sz w:val="24"/>
          <w:szCs w:val="24"/>
          <w:lang w:val="es-MX"/>
        </w:rPr>
      </w:pPr>
    </w:p>
    <w:p w:rsidR="00053236" w:rsidRPr="00CA40E5" w:rsidRDefault="00053236" w:rsidP="00053236">
      <w:pPr>
        <w:spacing w:before="10" w:line="260" w:lineRule="exact"/>
        <w:contextualSpacing/>
        <w:rPr>
          <w:rFonts w:asciiTheme="minorHAnsi" w:eastAsia="Calibri" w:hAnsiTheme="minorHAnsi" w:cstheme="minorHAnsi"/>
          <w:color w:val="212121"/>
          <w:spacing w:val="-1"/>
          <w:sz w:val="24"/>
          <w:szCs w:val="24"/>
          <w:lang w:val="es-MX"/>
        </w:rPr>
      </w:pPr>
      <w:r w:rsidRPr="00CA40E5">
        <w:rPr>
          <w:rFonts w:asciiTheme="minorHAnsi" w:eastAsia="Calibri" w:hAnsiTheme="minorHAnsi" w:cstheme="minorHAnsi"/>
          <w:color w:val="212121"/>
          <w:spacing w:val="-1"/>
          <w:sz w:val="24"/>
          <w:szCs w:val="24"/>
          <w:lang w:val="es-ES"/>
        </w:rPr>
        <w:t>Aquí hay algunos puntos importantes a tener en cuenta:</w:t>
      </w:r>
    </w:p>
    <w:p w:rsidR="00053236" w:rsidRPr="00CA40E5" w:rsidRDefault="00053236" w:rsidP="00053236">
      <w:pPr>
        <w:widowControl w:val="0"/>
        <w:spacing w:line="239" w:lineRule="auto"/>
        <w:ind w:right="41"/>
        <w:rPr>
          <w:rFonts w:asciiTheme="minorHAnsi" w:eastAsia="Calibri" w:hAnsiTheme="minorHAnsi" w:cstheme="minorHAnsi"/>
          <w:color w:val="212121"/>
          <w:spacing w:val="1"/>
          <w:sz w:val="24"/>
          <w:szCs w:val="24"/>
          <w:lang w:val="es-MX"/>
        </w:rPr>
      </w:pPr>
    </w:p>
    <w:p w:rsidR="00053236" w:rsidRPr="00CA40E5" w:rsidRDefault="00053236" w:rsidP="00053236">
      <w:pPr>
        <w:pStyle w:val="ListParagraph"/>
        <w:widowControl w:val="0"/>
        <w:numPr>
          <w:ilvl w:val="0"/>
          <w:numId w:val="5"/>
        </w:numPr>
        <w:spacing w:line="239" w:lineRule="auto"/>
        <w:ind w:left="450" w:right="41" w:hanging="450"/>
        <w:rPr>
          <w:rFonts w:eastAsia="Calibri" w:cstheme="minorHAnsi"/>
          <w:color w:val="212121"/>
          <w:spacing w:val="1"/>
          <w:lang w:val="es-MX"/>
        </w:rPr>
      </w:pPr>
      <w:r w:rsidRPr="00CA40E5">
        <w:rPr>
          <w:rFonts w:eastAsia="Calibri" w:cstheme="minorHAnsi"/>
          <w:color w:val="212121"/>
          <w:spacing w:val="1"/>
          <w:lang w:val="es-MX"/>
        </w:rPr>
        <w:t>El sarampión es altamente contagioso. Si se confirma un caso en una escuela o centro de cuidado infantil, el Departamento de Salud Pública del Condado de Washington revisará todos los registros de vacunación del personal y los estudiantes para determinar el riesgo de una mayor propagación.</w:t>
      </w:r>
    </w:p>
    <w:p w:rsidR="00053236" w:rsidRPr="00CA40E5" w:rsidRDefault="00053236" w:rsidP="00053236">
      <w:pPr>
        <w:widowControl w:val="0"/>
        <w:tabs>
          <w:tab w:val="left" w:pos="820"/>
        </w:tabs>
        <w:spacing w:line="239" w:lineRule="auto"/>
        <w:ind w:left="450" w:right="41" w:hanging="450"/>
        <w:rPr>
          <w:rFonts w:asciiTheme="minorHAnsi" w:eastAsia="Calibri" w:hAnsiTheme="minorHAnsi" w:cstheme="minorHAnsi"/>
          <w:color w:val="212121"/>
          <w:sz w:val="24"/>
          <w:szCs w:val="24"/>
          <w:lang w:val="es-MX"/>
        </w:rPr>
      </w:pPr>
    </w:p>
    <w:p w:rsidR="00053236" w:rsidRPr="00CA40E5" w:rsidRDefault="00053236" w:rsidP="00053236">
      <w:pPr>
        <w:pStyle w:val="ListParagraph"/>
        <w:widowControl w:val="0"/>
        <w:numPr>
          <w:ilvl w:val="0"/>
          <w:numId w:val="5"/>
        </w:numPr>
        <w:tabs>
          <w:tab w:val="left" w:pos="820"/>
        </w:tabs>
        <w:ind w:left="450" w:right="56" w:hanging="450"/>
        <w:rPr>
          <w:rFonts w:eastAsia="Calibri" w:cstheme="minorHAnsi"/>
          <w:color w:val="212121"/>
          <w:lang w:val="es-MX"/>
        </w:rPr>
      </w:pPr>
      <w:r w:rsidRPr="00CA40E5">
        <w:rPr>
          <w:rFonts w:eastAsia="Calibri" w:cstheme="minorHAnsi"/>
          <w:color w:val="212121"/>
          <w:lang w:val="es-ES"/>
        </w:rPr>
        <w:t>Mantener a los niños en la escuela / guardería es una prioridad, pero el sarampión es una enfermedad grave</w:t>
      </w:r>
      <w:r w:rsidRPr="00CA40E5">
        <w:rPr>
          <w:rFonts w:eastAsia="Calibri" w:cstheme="minorHAnsi"/>
          <w:b/>
          <w:bCs/>
          <w:color w:val="212121"/>
          <w:lang w:val="es-ES"/>
        </w:rPr>
        <w:t>. Si una persona no vacunada está expuesta al sarampión, no se le permitirá ir a la escuela ni a la guardería durante el período en que podrían enfermarse, generalmente durante 21 días después de la exposición</w:t>
      </w:r>
      <w:r w:rsidRPr="00CA40E5">
        <w:rPr>
          <w:rFonts w:eastAsia="Calibri" w:cstheme="minorHAnsi"/>
          <w:color w:val="212121"/>
          <w:lang w:val="es-ES"/>
        </w:rPr>
        <w:t>. Esto puede extenderse si hay más casos de sarampión</w:t>
      </w:r>
      <w:r w:rsidR="00910E35" w:rsidRPr="00CA40E5">
        <w:rPr>
          <w:rFonts w:eastAsia="Calibri" w:cstheme="minorHAnsi"/>
          <w:color w:val="212121"/>
          <w:lang w:val="es-ES"/>
        </w:rPr>
        <w:t>.</w:t>
      </w:r>
    </w:p>
    <w:p w:rsidR="00053236" w:rsidRPr="00CA40E5" w:rsidRDefault="00053236" w:rsidP="00053236">
      <w:pPr>
        <w:widowControl w:val="0"/>
        <w:tabs>
          <w:tab w:val="left" w:pos="820"/>
        </w:tabs>
        <w:ind w:left="450" w:right="56" w:hanging="450"/>
        <w:rPr>
          <w:rFonts w:asciiTheme="minorHAnsi" w:eastAsia="Calibri" w:hAnsiTheme="minorHAnsi" w:cstheme="minorHAnsi"/>
          <w:color w:val="212121"/>
          <w:sz w:val="24"/>
          <w:szCs w:val="24"/>
          <w:lang w:val="es-MX"/>
        </w:rPr>
      </w:pPr>
    </w:p>
    <w:p w:rsidR="00053236" w:rsidRPr="00CA40E5" w:rsidRDefault="00053236" w:rsidP="00053236">
      <w:pPr>
        <w:pStyle w:val="ListParagraph"/>
        <w:widowControl w:val="0"/>
        <w:numPr>
          <w:ilvl w:val="0"/>
          <w:numId w:val="5"/>
        </w:numPr>
        <w:tabs>
          <w:tab w:val="left" w:pos="820"/>
        </w:tabs>
        <w:ind w:left="450" w:right="74" w:hanging="450"/>
        <w:rPr>
          <w:rFonts w:eastAsia="Calibri" w:cstheme="minorHAnsi"/>
          <w:color w:val="212121"/>
          <w:spacing w:val="1"/>
          <w:lang w:val="es-MX"/>
        </w:rPr>
      </w:pPr>
      <w:r w:rsidRPr="00CA40E5">
        <w:rPr>
          <w:rFonts w:eastAsia="Calibri" w:cstheme="minorHAnsi"/>
          <w:color w:val="212121"/>
          <w:spacing w:val="1"/>
          <w:lang w:val="es-ES"/>
        </w:rPr>
        <w:t>A las personas excluidas de la escuela o del cuidado de niños después de una exposición al sarampión se les pide que se queden en casa para evitar exponer a otros en la comunidad.</w:t>
      </w:r>
    </w:p>
    <w:p w:rsidR="00053236" w:rsidRPr="00CA40E5" w:rsidRDefault="00053236" w:rsidP="00053236">
      <w:pPr>
        <w:pStyle w:val="ListParagraph"/>
        <w:ind w:left="450" w:hanging="450"/>
        <w:rPr>
          <w:rFonts w:eastAsia="Calibri" w:cstheme="minorHAnsi"/>
          <w:b/>
          <w:color w:val="212121"/>
          <w:lang w:val="es-MX"/>
        </w:rPr>
      </w:pPr>
    </w:p>
    <w:p w:rsidR="00053236" w:rsidRPr="00CA40E5" w:rsidRDefault="00053236" w:rsidP="00053236">
      <w:pPr>
        <w:pStyle w:val="ListParagraph"/>
        <w:widowControl w:val="0"/>
        <w:numPr>
          <w:ilvl w:val="0"/>
          <w:numId w:val="5"/>
        </w:numPr>
        <w:tabs>
          <w:tab w:val="left" w:pos="820"/>
        </w:tabs>
        <w:ind w:left="450" w:right="74" w:hanging="450"/>
        <w:rPr>
          <w:rFonts w:eastAsia="Calibri" w:cstheme="minorHAnsi"/>
          <w:color w:val="212121"/>
          <w:spacing w:val="1"/>
          <w:lang w:val="es-MX"/>
        </w:rPr>
      </w:pPr>
      <w:r w:rsidRPr="00CA40E5">
        <w:rPr>
          <w:rFonts w:eastAsia="Calibri" w:cstheme="minorHAnsi"/>
          <w:b/>
          <w:color w:val="212121"/>
          <w:lang w:val="es-MX"/>
        </w:rPr>
        <w:t>Ahora es un buen momento para que todas las familias, maestros y administradores escolares revisen sus registros de vacunas y las actualicen.</w:t>
      </w:r>
    </w:p>
    <w:p w:rsidR="00053236" w:rsidRPr="00CA40E5" w:rsidRDefault="00053236" w:rsidP="00053236">
      <w:pPr>
        <w:spacing w:before="9" w:line="260" w:lineRule="exact"/>
        <w:contextualSpacing/>
        <w:rPr>
          <w:rFonts w:asciiTheme="minorHAnsi" w:hAnsiTheme="minorHAnsi" w:cstheme="minorHAnsi"/>
          <w:sz w:val="24"/>
          <w:szCs w:val="24"/>
          <w:lang w:val="es-MX"/>
        </w:rPr>
      </w:pPr>
    </w:p>
    <w:p w:rsidR="00053236" w:rsidRPr="00CA40E5" w:rsidRDefault="00053236" w:rsidP="00053236">
      <w:pPr>
        <w:contextualSpacing/>
        <w:rPr>
          <w:rFonts w:asciiTheme="minorHAnsi" w:eastAsia="Calibri" w:hAnsiTheme="minorHAnsi" w:cstheme="minorHAnsi"/>
          <w:sz w:val="24"/>
          <w:szCs w:val="24"/>
          <w:lang w:val="es-MX"/>
        </w:rPr>
      </w:pPr>
      <w:r w:rsidRPr="00CA40E5">
        <w:rPr>
          <w:rFonts w:asciiTheme="minorHAnsi" w:eastAsia="Calibri" w:hAnsiTheme="minorHAnsi" w:cstheme="minorHAnsi"/>
          <w:sz w:val="24"/>
          <w:szCs w:val="24"/>
          <w:lang w:val="es-ES"/>
        </w:rPr>
        <w:t>Vea el reverso para obtener más información sobre la inmunidad contra el sarampión y el sarampión.</w:t>
      </w:r>
    </w:p>
    <w:p w:rsidR="00053236" w:rsidRPr="00CA40E5" w:rsidRDefault="00053236" w:rsidP="00053236">
      <w:pPr>
        <w:contextualSpacing/>
        <w:rPr>
          <w:rFonts w:asciiTheme="minorHAnsi" w:eastAsia="Calibri" w:hAnsiTheme="minorHAnsi" w:cstheme="minorHAnsi"/>
          <w:sz w:val="24"/>
          <w:szCs w:val="24"/>
          <w:lang w:val="es-ES"/>
        </w:rPr>
      </w:pPr>
    </w:p>
    <w:p w:rsidR="00053236" w:rsidRPr="00CA40E5" w:rsidRDefault="00053236" w:rsidP="00053236">
      <w:pPr>
        <w:contextualSpacing/>
        <w:rPr>
          <w:rFonts w:asciiTheme="minorHAnsi" w:eastAsia="Calibri" w:hAnsiTheme="minorHAnsi" w:cstheme="minorHAnsi"/>
          <w:sz w:val="24"/>
          <w:szCs w:val="24"/>
          <w:lang w:val="es-MX"/>
        </w:rPr>
      </w:pPr>
      <w:r w:rsidRPr="00CA40E5">
        <w:rPr>
          <w:rFonts w:asciiTheme="minorHAnsi" w:eastAsia="Calibri" w:hAnsiTheme="minorHAnsi" w:cstheme="minorHAnsi"/>
          <w:sz w:val="24"/>
          <w:szCs w:val="24"/>
          <w:lang w:val="es-ES"/>
        </w:rPr>
        <w:t>Este documento ha sido puesto a disposición en inglés; comuníquese con el Condado de</w:t>
      </w:r>
      <w:r w:rsidR="00910E35" w:rsidRPr="00CA40E5">
        <w:rPr>
          <w:rFonts w:asciiTheme="minorHAnsi" w:eastAsia="Calibri" w:hAnsiTheme="minorHAnsi" w:cstheme="minorHAnsi"/>
          <w:sz w:val="24"/>
          <w:szCs w:val="24"/>
          <w:lang w:val="es-ES"/>
        </w:rPr>
        <w:t xml:space="preserve"> </w:t>
      </w:r>
      <w:r w:rsidRPr="00CA40E5">
        <w:rPr>
          <w:rFonts w:asciiTheme="minorHAnsi" w:eastAsia="Calibri" w:hAnsiTheme="minorHAnsi" w:cstheme="minorHAnsi"/>
          <w:sz w:val="24"/>
          <w:szCs w:val="24"/>
          <w:lang w:val="es-ES"/>
        </w:rPr>
        <w:t xml:space="preserve">___________ al </w:t>
      </w:r>
      <w:r w:rsidR="00910E35" w:rsidRPr="00CA40E5">
        <w:rPr>
          <w:rFonts w:asciiTheme="minorHAnsi" w:eastAsia="Calibri" w:hAnsiTheme="minorHAnsi" w:cstheme="minorHAnsi"/>
          <w:sz w:val="24"/>
          <w:szCs w:val="24"/>
          <w:lang w:val="es-ES"/>
        </w:rPr>
        <w:t>__________</w:t>
      </w:r>
      <w:r w:rsidRPr="00CA40E5">
        <w:rPr>
          <w:rFonts w:asciiTheme="minorHAnsi" w:eastAsia="Calibri" w:hAnsiTheme="minorHAnsi" w:cstheme="minorHAnsi"/>
          <w:sz w:val="24"/>
          <w:szCs w:val="24"/>
          <w:lang w:val="es-ES"/>
        </w:rPr>
        <w:t xml:space="preserve"> para recibir una copia.</w:t>
      </w:r>
    </w:p>
    <w:p w:rsidR="00053236" w:rsidRPr="00CA40E5" w:rsidRDefault="00053236" w:rsidP="00053236">
      <w:pPr>
        <w:ind w:right="-20"/>
        <w:contextualSpacing/>
        <w:rPr>
          <w:rFonts w:asciiTheme="minorHAnsi" w:hAnsiTheme="minorHAnsi" w:cstheme="minorHAnsi"/>
          <w:color w:val="212121"/>
          <w:sz w:val="24"/>
          <w:szCs w:val="24"/>
          <w:shd w:val="clear" w:color="auto" w:fill="FFFFFF"/>
          <w:lang w:val="es-MX"/>
        </w:rPr>
      </w:pPr>
      <w:r w:rsidRPr="00CA40E5">
        <w:rPr>
          <w:rFonts w:asciiTheme="minorHAnsi" w:hAnsiTheme="minorHAnsi" w:cstheme="minorHAnsi"/>
          <w:sz w:val="24"/>
          <w:szCs w:val="24"/>
          <w:lang w:val="es-MX"/>
        </w:rPr>
        <w:br/>
      </w:r>
      <w:r w:rsidRPr="00CA40E5">
        <w:rPr>
          <w:rFonts w:asciiTheme="minorHAnsi" w:hAnsiTheme="minorHAnsi" w:cstheme="minorHAnsi"/>
          <w:color w:val="212121"/>
          <w:sz w:val="24"/>
          <w:szCs w:val="24"/>
          <w:shd w:val="clear" w:color="auto" w:fill="FFFFFF"/>
          <w:lang w:val="es-MX"/>
        </w:rPr>
        <w:t>Gracias por tu colaboración.</w:t>
      </w:r>
    </w:p>
    <w:p w:rsidR="00CA40E5" w:rsidRPr="00CA40E5" w:rsidRDefault="00CA40E5" w:rsidP="00053236">
      <w:pPr>
        <w:spacing w:before="9" w:line="260" w:lineRule="exact"/>
        <w:contextualSpacing/>
        <w:rPr>
          <w:rFonts w:asciiTheme="minorHAnsi" w:eastAsia="Calibri" w:hAnsiTheme="minorHAnsi" w:cstheme="minorHAnsi"/>
          <w:sz w:val="24"/>
          <w:szCs w:val="24"/>
          <w:lang w:val="es-ES"/>
        </w:rPr>
      </w:pPr>
    </w:p>
    <w:p w:rsidR="00053236" w:rsidRPr="00CA40E5" w:rsidRDefault="00053236" w:rsidP="00053236">
      <w:pPr>
        <w:spacing w:before="9" w:line="260" w:lineRule="exact"/>
        <w:contextualSpacing/>
        <w:rPr>
          <w:rFonts w:asciiTheme="minorHAnsi" w:hAnsiTheme="minorHAnsi" w:cstheme="minorHAnsi"/>
          <w:sz w:val="24"/>
          <w:szCs w:val="24"/>
          <w:lang w:val="es-MX"/>
        </w:rPr>
      </w:pPr>
      <w:r w:rsidRPr="00CA40E5">
        <w:rPr>
          <w:rFonts w:asciiTheme="minorHAnsi" w:eastAsia="Calibri" w:hAnsiTheme="minorHAnsi" w:cstheme="minorHAnsi"/>
          <w:sz w:val="24"/>
          <w:szCs w:val="24"/>
          <w:lang w:val="es-ES"/>
        </w:rPr>
        <w:t>Atentamente</w:t>
      </w:r>
      <w:r w:rsidRPr="00CA40E5">
        <w:rPr>
          <w:rFonts w:asciiTheme="minorHAnsi" w:eastAsia="Calibri" w:hAnsiTheme="minorHAnsi" w:cstheme="minorHAnsi"/>
          <w:sz w:val="24"/>
          <w:szCs w:val="24"/>
          <w:lang w:val="es-MX"/>
        </w:rPr>
        <w:t>,</w:t>
      </w:r>
    </w:p>
    <w:p w:rsidR="00053236" w:rsidRPr="00CA40E5" w:rsidRDefault="00053236" w:rsidP="00053236">
      <w:pPr>
        <w:spacing w:before="9" w:line="260" w:lineRule="exact"/>
        <w:contextualSpacing/>
        <w:rPr>
          <w:rFonts w:asciiTheme="minorHAnsi" w:eastAsia="Calibri" w:hAnsiTheme="minorHAnsi" w:cstheme="minorHAnsi"/>
          <w:noProof/>
          <w:sz w:val="24"/>
          <w:szCs w:val="24"/>
          <w:lang w:val="es-MX" w:bidi="km-KH"/>
        </w:rPr>
      </w:pPr>
    </w:p>
    <w:p w:rsidR="00053236" w:rsidRPr="00CA40E5" w:rsidRDefault="00053236" w:rsidP="00053236">
      <w:pPr>
        <w:spacing w:before="9" w:line="260" w:lineRule="exact"/>
        <w:contextualSpacing/>
        <w:rPr>
          <w:rFonts w:asciiTheme="minorHAnsi" w:eastAsia="Calibri" w:hAnsiTheme="minorHAnsi" w:cstheme="minorHAnsi"/>
          <w:noProof/>
          <w:sz w:val="24"/>
          <w:szCs w:val="24"/>
          <w:lang w:val="es-MX" w:bidi="km-KH"/>
        </w:rPr>
      </w:pPr>
    </w:p>
    <w:p w:rsidR="00053236" w:rsidRPr="00CA40E5" w:rsidRDefault="00053236" w:rsidP="00053236">
      <w:pPr>
        <w:spacing w:before="9" w:line="260" w:lineRule="exact"/>
        <w:contextualSpacing/>
        <w:rPr>
          <w:rFonts w:asciiTheme="minorHAnsi" w:eastAsia="Calibri" w:hAnsiTheme="minorHAnsi" w:cstheme="minorHAnsi"/>
          <w:noProof/>
          <w:sz w:val="24"/>
          <w:szCs w:val="24"/>
          <w:lang w:val="es-MX" w:bidi="km-KH"/>
        </w:rPr>
      </w:pPr>
    </w:p>
    <w:p w:rsidR="00053236" w:rsidRPr="00CA40E5" w:rsidRDefault="00053236" w:rsidP="00053236">
      <w:pPr>
        <w:contextualSpacing/>
        <w:rPr>
          <w:rFonts w:asciiTheme="minorHAnsi" w:eastAsia="Calibri" w:hAnsiTheme="minorHAnsi" w:cstheme="minorHAnsi"/>
          <w:b/>
          <w:bCs/>
          <w:spacing w:val="-1"/>
          <w:sz w:val="24"/>
          <w:szCs w:val="24"/>
          <w:lang w:val="es-ES"/>
        </w:rPr>
      </w:pPr>
    </w:p>
    <w:p w:rsidR="00CA40E5" w:rsidRPr="00CA40E5" w:rsidRDefault="00CA40E5">
      <w:pPr>
        <w:spacing w:after="160" w:line="259" w:lineRule="auto"/>
        <w:rPr>
          <w:rFonts w:asciiTheme="minorHAnsi" w:eastAsia="Calibri" w:hAnsiTheme="minorHAnsi" w:cstheme="minorHAnsi"/>
          <w:b/>
          <w:bCs/>
          <w:spacing w:val="-1"/>
          <w:sz w:val="24"/>
          <w:szCs w:val="24"/>
          <w:lang w:val="es-ES"/>
        </w:rPr>
      </w:pPr>
      <w:r w:rsidRPr="00CA40E5">
        <w:rPr>
          <w:rFonts w:asciiTheme="minorHAnsi" w:eastAsia="Calibri" w:hAnsiTheme="minorHAnsi" w:cstheme="minorHAnsi"/>
          <w:b/>
          <w:bCs/>
          <w:spacing w:val="-1"/>
          <w:sz w:val="24"/>
          <w:szCs w:val="24"/>
          <w:lang w:val="es-ES"/>
        </w:rPr>
        <w:br w:type="page"/>
      </w:r>
    </w:p>
    <w:p w:rsidR="00053236" w:rsidRPr="00CA40E5" w:rsidRDefault="00053236" w:rsidP="00053236">
      <w:pPr>
        <w:contextualSpacing/>
        <w:rPr>
          <w:rFonts w:asciiTheme="minorHAnsi" w:eastAsia="Calibri" w:hAnsiTheme="minorHAnsi" w:cstheme="minorHAnsi"/>
          <w:b/>
          <w:bCs/>
          <w:spacing w:val="-1"/>
          <w:sz w:val="24"/>
          <w:szCs w:val="24"/>
          <w:lang w:val="es-ES"/>
        </w:rPr>
      </w:pPr>
      <w:r w:rsidRPr="00CA40E5">
        <w:rPr>
          <w:rFonts w:asciiTheme="minorHAnsi" w:eastAsia="Calibri" w:hAnsiTheme="minorHAnsi" w:cstheme="minorHAnsi"/>
          <w:b/>
          <w:bCs/>
          <w:spacing w:val="-1"/>
          <w:sz w:val="24"/>
          <w:szCs w:val="24"/>
          <w:lang w:val="es-ES"/>
        </w:rPr>
        <w:lastRenderedPageBreak/>
        <w:t>Sobre el sarampión:</w:t>
      </w:r>
    </w:p>
    <w:p w:rsidR="00CA40E5" w:rsidRPr="00CA40E5" w:rsidRDefault="00CA40E5" w:rsidP="00053236">
      <w:pPr>
        <w:contextualSpacing/>
        <w:rPr>
          <w:rFonts w:asciiTheme="minorHAnsi" w:eastAsia="SimSun" w:hAnsiTheme="minorHAnsi" w:cstheme="minorHAnsi"/>
          <w:color w:val="000000"/>
          <w:sz w:val="24"/>
          <w:szCs w:val="24"/>
          <w:bdr w:val="nil"/>
          <w:lang w:val="es-MX"/>
        </w:rPr>
      </w:pPr>
    </w:p>
    <w:p w:rsidR="00053236" w:rsidRPr="00CA40E5" w:rsidRDefault="00053236" w:rsidP="00CA40E5">
      <w:pPr>
        <w:pStyle w:val="ListParagraph"/>
        <w:widowControl w:val="0"/>
        <w:numPr>
          <w:ilvl w:val="0"/>
          <w:numId w:val="1"/>
        </w:numPr>
        <w:tabs>
          <w:tab w:val="left" w:pos="820"/>
        </w:tabs>
        <w:spacing w:after="120"/>
        <w:ind w:left="446" w:right="101"/>
        <w:contextualSpacing w:val="0"/>
        <w:rPr>
          <w:rFonts w:cstheme="minorHAnsi"/>
          <w:lang w:val="es-MX"/>
        </w:rPr>
      </w:pPr>
      <w:r w:rsidRPr="00CA40E5">
        <w:rPr>
          <w:rFonts w:eastAsia="Calibri" w:cstheme="minorHAnsi"/>
          <w:lang w:val="es-ES"/>
        </w:rPr>
        <w:t>El sarampión es una enfermedad viral contagiosa que puede propagarse por el aire cuando una persona enferma con sarampión tose o estornuda. También puede propagarse por contacto directo con la secreción nasal y escupir a alguien enfermo con sarampión.</w:t>
      </w:r>
    </w:p>
    <w:p w:rsidR="00053236" w:rsidRPr="00CA40E5" w:rsidRDefault="00053236" w:rsidP="00CA40E5">
      <w:pPr>
        <w:pStyle w:val="ListParagraph"/>
        <w:widowControl w:val="0"/>
        <w:numPr>
          <w:ilvl w:val="0"/>
          <w:numId w:val="1"/>
        </w:numPr>
        <w:tabs>
          <w:tab w:val="left" w:pos="820"/>
        </w:tabs>
        <w:spacing w:after="120"/>
        <w:ind w:left="446" w:right="165"/>
        <w:contextualSpacing w:val="0"/>
        <w:rPr>
          <w:rFonts w:cstheme="minorHAnsi"/>
          <w:lang w:val="es-MX"/>
        </w:rPr>
      </w:pPr>
      <w:r w:rsidRPr="00CA40E5">
        <w:rPr>
          <w:rFonts w:eastAsia="Calibri" w:cstheme="minorHAnsi"/>
          <w:spacing w:val="-1"/>
          <w:lang w:val="es-ES"/>
        </w:rPr>
        <w:t>Los síntomas del sarampión comienzan con fiebre, tos, secreción nasal y ojos rojos, seguidos de una erupción roja que generalmente comienza en la cabeza o la cara y se extiende al resto del cuerpo</w:t>
      </w:r>
      <w:r w:rsidRPr="00CA40E5">
        <w:rPr>
          <w:rFonts w:eastAsia="Calibri" w:cstheme="minorHAnsi"/>
          <w:lang w:val="es-MX"/>
        </w:rPr>
        <w:t>.</w:t>
      </w:r>
    </w:p>
    <w:p w:rsidR="00053236" w:rsidRPr="00CA40E5" w:rsidRDefault="00053236" w:rsidP="00CA40E5">
      <w:pPr>
        <w:pStyle w:val="ListParagraph"/>
        <w:widowControl w:val="0"/>
        <w:numPr>
          <w:ilvl w:val="0"/>
          <w:numId w:val="1"/>
        </w:numPr>
        <w:tabs>
          <w:tab w:val="left" w:pos="820"/>
        </w:tabs>
        <w:spacing w:after="120"/>
        <w:ind w:left="446" w:right="305"/>
        <w:contextualSpacing w:val="0"/>
        <w:rPr>
          <w:rFonts w:cstheme="minorHAnsi"/>
          <w:lang w:val="es-MX"/>
        </w:rPr>
      </w:pPr>
      <w:r w:rsidRPr="00CA40E5">
        <w:rPr>
          <w:rFonts w:eastAsia="Calibri" w:cstheme="minorHAnsi"/>
          <w:lang w:val="es-ES"/>
        </w:rPr>
        <w:t>Las personas contagian el sarampión durante cuatro días antes de que aparezca la erupción y hasta cuatro días después de que aparezca la erupción.</w:t>
      </w:r>
    </w:p>
    <w:p w:rsidR="00053236" w:rsidRPr="00CA40E5" w:rsidRDefault="00053236" w:rsidP="00CA40E5">
      <w:pPr>
        <w:pStyle w:val="ListParagraph"/>
        <w:widowControl w:val="0"/>
        <w:numPr>
          <w:ilvl w:val="0"/>
          <w:numId w:val="1"/>
        </w:numPr>
        <w:tabs>
          <w:tab w:val="left" w:pos="820"/>
        </w:tabs>
        <w:spacing w:after="120"/>
        <w:ind w:left="446" w:right="374"/>
        <w:contextualSpacing w:val="0"/>
        <w:rPr>
          <w:rFonts w:cstheme="minorHAnsi"/>
          <w:lang w:val="es-MX"/>
        </w:rPr>
      </w:pPr>
      <w:r w:rsidRPr="00CA40E5">
        <w:rPr>
          <w:rFonts w:eastAsia="Calibri" w:cstheme="minorHAnsi"/>
          <w:lang w:val="es-ES"/>
        </w:rPr>
        <w:t>Después de que una persona susceptible está expuesta al sarampión, los síntomas generalmente se desarrollan en 1 a 2 semanas, pero pueden durar hasta 3 semanas</w:t>
      </w:r>
    </w:p>
    <w:p w:rsidR="00053236" w:rsidRPr="00CA40E5" w:rsidRDefault="00053236" w:rsidP="00CA40E5">
      <w:pPr>
        <w:pStyle w:val="ListParagraph"/>
        <w:widowControl w:val="0"/>
        <w:numPr>
          <w:ilvl w:val="0"/>
          <w:numId w:val="1"/>
        </w:numPr>
        <w:tabs>
          <w:tab w:val="left" w:pos="820"/>
        </w:tabs>
        <w:spacing w:after="120"/>
        <w:ind w:left="446" w:right="-20"/>
        <w:contextualSpacing w:val="0"/>
        <w:rPr>
          <w:rFonts w:eastAsia="Calibri" w:cstheme="minorHAnsi"/>
          <w:lang w:val="es-ES"/>
        </w:rPr>
      </w:pPr>
      <w:r w:rsidRPr="00CA40E5">
        <w:rPr>
          <w:rFonts w:eastAsia="Calibri" w:cstheme="minorHAnsi"/>
          <w:lang w:val="es-ES"/>
        </w:rPr>
        <w:t>Las complicaciones del sarampión incluyen infección del oído, infección pulmonar y, en casos raros, inflamación del cerebro. Aproximadamente 1 de cada 1000 niños mueren de sarampión</w:t>
      </w:r>
    </w:p>
    <w:p w:rsidR="00053236" w:rsidRPr="00CA40E5" w:rsidRDefault="00053236" w:rsidP="00CA40E5">
      <w:pPr>
        <w:pStyle w:val="ListParagraph"/>
        <w:widowControl w:val="0"/>
        <w:numPr>
          <w:ilvl w:val="0"/>
          <w:numId w:val="1"/>
        </w:numPr>
        <w:tabs>
          <w:tab w:val="left" w:pos="820"/>
        </w:tabs>
        <w:spacing w:after="120"/>
        <w:ind w:left="446" w:right="-20"/>
        <w:contextualSpacing w:val="0"/>
        <w:rPr>
          <w:rFonts w:eastAsia="Calibri" w:cstheme="minorHAnsi"/>
          <w:lang w:val="es-ES"/>
        </w:rPr>
      </w:pPr>
      <w:r w:rsidRPr="00CA40E5">
        <w:rPr>
          <w:rFonts w:cstheme="minorHAnsi"/>
          <w:lang w:val="es-ES"/>
        </w:rPr>
        <w:t xml:space="preserve">Cualquier persona que no sea inmune al sarampión y crea que tiene síntomas de sarampión debe comunicarse con su proveedor de atención médico o atención de urgencia </w:t>
      </w:r>
      <w:r w:rsidRPr="00CA40E5">
        <w:rPr>
          <w:rFonts w:cstheme="minorHAnsi"/>
          <w:b/>
          <w:bCs/>
          <w:lang w:val="es-ES"/>
        </w:rPr>
        <w:t>por teléfono antes de ir a la clínica</w:t>
      </w:r>
      <w:r w:rsidR="00E034AD" w:rsidRPr="00CA40E5">
        <w:rPr>
          <w:rFonts w:cstheme="minorHAnsi"/>
          <w:lang w:val="es-ES"/>
        </w:rPr>
        <w:t xml:space="preserve"> </w:t>
      </w:r>
      <w:r w:rsidRPr="00CA40E5">
        <w:rPr>
          <w:rFonts w:cstheme="minorHAnsi"/>
          <w:lang w:val="es-ES"/>
        </w:rPr>
        <w:t>para hacer arreglos para evitar exponer a otros al virus.</w:t>
      </w:r>
    </w:p>
    <w:p w:rsidR="00053236" w:rsidRPr="00CA40E5" w:rsidRDefault="00053236" w:rsidP="00CA40E5">
      <w:pPr>
        <w:pStyle w:val="ListParagraph"/>
        <w:widowControl w:val="0"/>
        <w:numPr>
          <w:ilvl w:val="0"/>
          <w:numId w:val="2"/>
        </w:numPr>
        <w:tabs>
          <w:tab w:val="left" w:pos="450"/>
        </w:tabs>
        <w:spacing w:after="120"/>
        <w:ind w:left="446" w:right="-20"/>
        <w:contextualSpacing w:val="0"/>
        <w:rPr>
          <w:rFonts w:eastAsia="Calibri" w:cstheme="minorHAnsi"/>
          <w:lang w:val="es-MX"/>
        </w:rPr>
      </w:pPr>
      <w:r w:rsidRPr="00CA40E5">
        <w:rPr>
          <w:rFonts w:cstheme="minorHAnsi"/>
          <w:color w:val="212121"/>
          <w:shd w:val="clear" w:color="auto" w:fill="FFFFFF"/>
          <w:lang w:val="es-MX"/>
        </w:rPr>
        <w:t>Las personas se consideran inmunes al sarampión si se cumple alguna de las siguientes condiciones:</w:t>
      </w:r>
      <w:r w:rsidRPr="00CA40E5">
        <w:rPr>
          <w:rFonts w:eastAsia="Symbol" w:cstheme="minorHAnsi"/>
          <w:lang w:val="es-MX"/>
        </w:rPr>
        <w:t xml:space="preserve"> </w:t>
      </w:r>
    </w:p>
    <w:p w:rsidR="00827245" w:rsidRPr="00CA40E5" w:rsidRDefault="00827245" w:rsidP="00827245">
      <w:pPr>
        <w:pStyle w:val="ListParagraph"/>
        <w:widowControl w:val="0"/>
        <w:numPr>
          <w:ilvl w:val="1"/>
          <w:numId w:val="1"/>
        </w:numPr>
        <w:tabs>
          <w:tab w:val="left" w:pos="820"/>
        </w:tabs>
        <w:ind w:right="-20"/>
        <w:rPr>
          <w:rFonts w:eastAsia="Calibri" w:cstheme="minorHAnsi"/>
          <w:lang w:val="es-ES"/>
        </w:rPr>
      </w:pPr>
      <w:r w:rsidRPr="00CA40E5">
        <w:rPr>
          <w:rFonts w:eastAsia="Calibri" w:cstheme="minorHAnsi"/>
          <w:lang w:val="es-ES"/>
        </w:rPr>
        <w:t>Su niño de edad preescolar solo tiene una vacuna contra el sarampión (MMR - sarampión, paperas, rubéola)</w:t>
      </w:r>
    </w:p>
    <w:p w:rsidR="00827245" w:rsidRPr="00CA40E5" w:rsidRDefault="00827245" w:rsidP="00827245">
      <w:pPr>
        <w:pStyle w:val="ListParagraph"/>
        <w:widowControl w:val="0"/>
        <w:numPr>
          <w:ilvl w:val="1"/>
          <w:numId w:val="1"/>
        </w:numPr>
        <w:tabs>
          <w:tab w:val="left" w:pos="820"/>
        </w:tabs>
        <w:ind w:right="-20"/>
        <w:rPr>
          <w:rFonts w:eastAsia="Calibri" w:cstheme="minorHAnsi"/>
          <w:lang w:val="es-ES"/>
        </w:rPr>
      </w:pPr>
      <w:r w:rsidRPr="00CA40E5">
        <w:rPr>
          <w:rFonts w:eastAsia="Calibri" w:cstheme="minorHAnsi"/>
          <w:lang w:val="es-ES"/>
        </w:rPr>
        <w:t>Su niño o estudiante universitario de edad escolar ha recibido dos dosis de la vacuna contra el sarampión</w:t>
      </w:r>
    </w:p>
    <w:p w:rsidR="00827245" w:rsidRPr="00CA40E5" w:rsidRDefault="00827245" w:rsidP="00827245">
      <w:pPr>
        <w:pStyle w:val="ListParagraph"/>
        <w:widowControl w:val="0"/>
        <w:numPr>
          <w:ilvl w:val="1"/>
          <w:numId w:val="1"/>
        </w:numPr>
        <w:tabs>
          <w:tab w:val="left" w:pos="820"/>
        </w:tabs>
        <w:ind w:right="-20"/>
        <w:rPr>
          <w:rFonts w:eastAsia="Calibri" w:cstheme="minorHAnsi"/>
          <w:lang w:val="es-ES"/>
        </w:rPr>
      </w:pPr>
      <w:r w:rsidRPr="00CA40E5">
        <w:rPr>
          <w:rFonts w:eastAsia="Calibri" w:cstheme="minorHAnsi"/>
          <w:lang w:val="es-ES"/>
        </w:rPr>
        <w:t>Usted es un trabajador de la salud que ha recibido dos dosis de la vacuna contra el sarampión</w:t>
      </w:r>
    </w:p>
    <w:p w:rsidR="00827245" w:rsidRPr="00CA40E5" w:rsidRDefault="00827245" w:rsidP="00827245">
      <w:pPr>
        <w:pStyle w:val="ListParagraph"/>
        <w:widowControl w:val="0"/>
        <w:numPr>
          <w:ilvl w:val="1"/>
          <w:numId w:val="1"/>
        </w:numPr>
        <w:tabs>
          <w:tab w:val="left" w:pos="820"/>
        </w:tabs>
        <w:ind w:right="-20"/>
        <w:rPr>
          <w:rFonts w:eastAsia="Calibri" w:cstheme="minorHAnsi"/>
          <w:lang w:val="es-ES"/>
        </w:rPr>
      </w:pPr>
      <w:r w:rsidRPr="00CA40E5">
        <w:rPr>
          <w:rFonts w:eastAsia="Calibri" w:cstheme="minorHAnsi"/>
          <w:lang w:val="es-ES"/>
        </w:rPr>
        <w:t>Es un adulto que no es un trabajador de la salud y que ha recibido una dosis de la vacuna contra el sarampión</w:t>
      </w:r>
    </w:p>
    <w:p w:rsidR="00827245" w:rsidRPr="00CA40E5" w:rsidRDefault="00827245" w:rsidP="00827245">
      <w:pPr>
        <w:pStyle w:val="ListParagraph"/>
        <w:widowControl w:val="0"/>
        <w:numPr>
          <w:ilvl w:val="1"/>
          <w:numId w:val="1"/>
        </w:numPr>
        <w:tabs>
          <w:tab w:val="left" w:pos="820"/>
        </w:tabs>
        <w:ind w:right="-20"/>
        <w:rPr>
          <w:rFonts w:eastAsia="Calibri" w:cstheme="minorHAnsi"/>
          <w:lang w:val="es-ES"/>
        </w:rPr>
      </w:pPr>
      <w:r w:rsidRPr="00CA40E5">
        <w:rPr>
          <w:rFonts w:eastAsia="Calibri" w:cstheme="minorHAnsi"/>
          <w:lang w:val="es-ES"/>
        </w:rPr>
        <w:t>Si naciste antes de 1957</w:t>
      </w:r>
    </w:p>
    <w:p w:rsidR="00827245" w:rsidRPr="00CA40E5" w:rsidRDefault="00827245" w:rsidP="00827245">
      <w:pPr>
        <w:pStyle w:val="ListParagraph"/>
        <w:widowControl w:val="0"/>
        <w:numPr>
          <w:ilvl w:val="1"/>
          <w:numId w:val="1"/>
        </w:numPr>
        <w:tabs>
          <w:tab w:val="left" w:pos="820"/>
        </w:tabs>
        <w:ind w:right="-20"/>
        <w:rPr>
          <w:rFonts w:eastAsia="Calibri" w:cstheme="minorHAnsi"/>
          <w:lang w:val="es-ES"/>
        </w:rPr>
      </w:pPr>
      <w:r w:rsidRPr="00CA40E5">
        <w:rPr>
          <w:rFonts w:eastAsia="Calibri" w:cstheme="minorHAnsi"/>
          <w:lang w:val="es-ES"/>
        </w:rPr>
        <w:t>Ha tenido el sarampión, diagnosticado por un proveedor de atención médica y confirmado con una prueba de laboratorio</w:t>
      </w:r>
    </w:p>
    <w:p w:rsidR="00053236" w:rsidRPr="00CA40E5" w:rsidRDefault="00827245" w:rsidP="00AD4DF4">
      <w:pPr>
        <w:pStyle w:val="ListParagraph"/>
        <w:widowControl w:val="0"/>
        <w:numPr>
          <w:ilvl w:val="1"/>
          <w:numId w:val="1"/>
        </w:numPr>
        <w:tabs>
          <w:tab w:val="left" w:pos="820"/>
        </w:tabs>
        <w:ind w:right="-20"/>
        <w:rPr>
          <w:rFonts w:eastAsia="Calibri" w:cstheme="minorHAnsi"/>
          <w:lang w:val="es-ES"/>
        </w:rPr>
      </w:pPr>
      <w:r w:rsidRPr="00CA40E5">
        <w:rPr>
          <w:rFonts w:eastAsia="Calibri" w:cstheme="minorHAnsi"/>
          <w:lang w:val="es-ES"/>
        </w:rPr>
        <w:t>Ha tenido un análisis de sangre que demuestra que es inmune al sarampión</w:t>
      </w:r>
    </w:p>
    <w:p w:rsidR="00AD4DF4" w:rsidRPr="00CA40E5" w:rsidRDefault="00AD4DF4" w:rsidP="00AD4DF4">
      <w:pPr>
        <w:pStyle w:val="ListParagraph"/>
        <w:widowControl w:val="0"/>
        <w:tabs>
          <w:tab w:val="left" w:pos="820"/>
        </w:tabs>
        <w:ind w:left="1440" w:right="-20"/>
        <w:rPr>
          <w:rFonts w:eastAsia="Calibri" w:cstheme="minorHAnsi"/>
          <w:lang w:val="es-ES"/>
        </w:rPr>
      </w:pPr>
    </w:p>
    <w:p w:rsidR="00053236" w:rsidRPr="00CA40E5" w:rsidRDefault="00053236" w:rsidP="00CA40E5">
      <w:pPr>
        <w:widowControl w:val="0"/>
        <w:spacing w:after="200" w:line="276" w:lineRule="auto"/>
        <w:ind w:left="90"/>
        <w:rPr>
          <w:rFonts w:asciiTheme="minorHAnsi" w:eastAsiaTheme="minorHAnsi" w:hAnsiTheme="minorHAnsi" w:cstheme="minorHAnsi"/>
          <w:sz w:val="24"/>
          <w:szCs w:val="24"/>
          <w:lang w:val="es-MX"/>
        </w:rPr>
      </w:pPr>
      <w:r w:rsidRPr="00CA40E5">
        <w:rPr>
          <w:rFonts w:asciiTheme="minorHAnsi" w:hAnsiTheme="minorHAnsi" w:cstheme="minorHAnsi"/>
          <w:sz w:val="24"/>
          <w:szCs w:val="24"/>
          <w:lang w:val="es-ES"/>
        </w:rPr>
        <w:t>Cualquier persona que tenga preguntas sobre la infección por sarampión o la vacuna contra el sarampión debe llamar a su proveedor de atención primaria o al departamento de salud de su condado local:</w:t>
      </w:r>
    </w:p>
    <w:p w:rsidR="00053236" w:rsidRPr="00CA40E5" w:rsidRDefault="00053236" w:rsidP="00CA40E5">
      <w:pPr>
        <w:pStyle w:val="HTMLPreformatted"/>
        <w:numPr>
          <w:ilvl w:val="0"/>
          <w:numId w:val="1"/>
        </w:numPr>
        <w:shd w:val="clear" w:color="auto" w:fill="FFFFFF"/>
        <w:spacing w:after="120"/>
        <w:ind w:left="360"/>
        <w:rPr>
          <w:rStyle w:val="Hyperlink"/>
          <w:rFonts w:asciiTheme="minorHAnsi" w:hAnsiTheme="minorHAnsi" w:cstheme="minorHAnsi"/>
          <w:color w:val="auto"/>
          <w:sz w:val="24"/>
          <w:szCs w:val="24"/>
          <w:u w:val="none"/>
          <w:lang w:val="es-MX"/>
        </w:rPr>
      </w:pPr>
      <w:r w:rsidRPr="00CA40E5">
        <w:rPr>
          <w:rFonts w:asciiTheme="minorHAnsi" w:hAnsiTheme="minorHAnsi" w:cstheme="minorHAnsi"/>
          <w:color w:val="212121"/>
          <w:sz w:val="24"/>
          <w:szCs w:val="24"/>
          <w:lang w:val="es-ES"/>
        </w:rPr>
        <w:t xml:space="preserve">Se puede encontrar información actualizada sobre la investigación y exposiciones públicas en el sitio web del Condado de Clark, Washington: </w:t>
      </w:r>
      <w:hyperlink r:id="rId5" w:history="1">
        <w:r w:rsidRPr="00CA40E5">
          <w:rPr>
            <w:rStyle w:val="Hyperlink"/>
            <w:rFonts w:asciiTheme="minorHAnsi" w:hAnsiTheme="minorHAnsi" w:cstheme="minorHAnsi"/>
            <w:sz w:val="24"/>
            <w:szCs w:val="24"/>
            <w:lang w:val="es-MX"/>
          </w:rPr>
          <w:t>https://www.clark.wa.gov/public-health/measles-investigation</w:t>
        </w:r>
      </w:hyperlink>
    </w:p>
    <w:p w:rsidR="00175A74" w:rsidRPr="00CA40E5" w:rsidRDefault="00CA40E5" w:rsidP="00CA40E5">
      <w:pPr>
        <w:pStyle w:val="ListParagraph"/>
        <w:widowControl w:val="0"/>
        <w:numPr>
          <w:ilvl w:val="0"/>
          <w:numId w:val="1"/>
        </w:numPr>
        <w:shd w:val="clear" w:color="auto" w:fill="FFFFFF"/>
        <w:spacing w:after="120" w:line="276" w:lineRule="auto"/>
        <w:ind w:left="360"/>
        <w:contextualSpacing w:val="0"/>
        <w:rPr>
          <w:lang w:val="es-MX"/>
        </w:rPr>
      </w:pPr>
      <w:proofErr w:type="spellStart"/>
      <w:r w:rsidRPr="00CA40E5">
        <w:rPr>
          <w:rFonts w:cstheme="minorHAnsi"/>
        </w:rPr>
        <w:t>Página</w:t>
      </w:r>
      <w:proofErr w:type="spellEnd"/>
      <w:r w:rsidRPr="00CA40E5">
        <w:rPr>
          <w:rFonts w:cstheme="minorHAnsi"/>
        </w:rPr>
        <w:t xml:space="preserve"> Web de OHA: </w:t>
      </w:r>
      <w:hyperlink r:id="rId6" w:history="1">
        <w:r w:rsidR="003E4BD7" w:rsidRPr="004A69C3">
          <w:rPr>
            <w:rStyle w:val="Hyperlink"/>
            <w:rFonts w:ascii="Calibri" w:hAnsi="Calibri" w:cs="Calibri"/>
            <w:spacing w:val="-1"/>
            <w:sz w:val="22"/>
            <w:szCs w:val="22"/>
          </w:rPr>
          <w:t>http://healthoregon.org/measl</w:t>
        </w:r>
        <w:r w:rsidR="003E4BD7" w:rsidRPr="004A69C3">
          <w:rPr>
            <w:rStyle w:val="Hyperlink"/>
            <w:rFonts w:ascii="Calibri" w:hAnsi="Calibri" w:cs="Calibri"/>
            <w:spacing w:val="-1"/>
            <w:sz w:val="22"/>
            <w:szCs w:val="22"/>
          </w:rPr>
          <w:t>e</w:t>
        </w:r>
        <w:r w:rsidR="003E4BD7" w:rsidRPr="004A69C3">
          <w:rPr>
            <w:rStyle w:val="Hyperlink"/>
            <w:rFonts w:ascii="Calibri" w:hAnsi="Calibri" w:cs="Calibri"/>
            <w:spacing w:val="-1"/>
            <w:sz w:val="22"/>
            <w:szCs w:val="22"/>
          </w:rPr>
          <w:t>s</w:t>
        </w:r>
      </w:hyperlink>
      <w:bookmarkStart w:id="0" w:name="_GoBack"/>
      <w:bookmarkEnd w:id="0"/>
    </w:p>
    <w:sectPr w:rsidR="00175A74" w:rsidRPr="00CA40E5" w:rsidSect="00CA40E5">
      <w:pgSz w:w="12240" w:h="15840"/>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6"/>
    <w:multiLevelType w:val="multilevel"/>
    <w:tmpl w:val="00000889"/>
    <w:lvl w:ilvl="0">
      <w:numFmt w:val="bullet"/>
      <w:lvlText w:val=""/>
      <w:lvlJc w:val="left"/>
      <w:pPr>
        <w:ind w:left="719" w:hanging="361"/>
      </w:pPr>
      <w:rPr>
        <w:rFonts w:ascii="Symbol" w:hAnsi="Symbol"/>
        <w:b w:val="0"/>
        <w:sz w:val="22"/>
      </w:rPr>
    </w:lvl>
    <w:lvl w:ilvl="1">
      <w:numFmt w:val="bullet"/>
      <w:lvlText w:val="o"/>
      <w:lvlJc w:val="left"/>
      <w:pPr>
        <w:ind w:left="1439" w:hanging="361"/>
      </w:pPr>
      <w:rPr>
        <w:rFonts w:ascii="Courier New" w:hAnsi="Courier New"/>
        <w:b w:val="0"/>
        <w:color w:val="1B1B1B"/>
        <w:sz w:val="22"/>
      </w:rPr>
    </w:lvl>
    <w:lvl w:ilvl="2">
      <w:numFmt w:val="bullet"/>
      <w:lvlText w:val="•"/>
      <w:lvlJc w:val="left"/>
      <w:pPr>
        <w:ind w:left="1439" w:hanging="361"/>
      </w:pPr>
    </w:lvl>
    <w:lvl w:ilvl="3">
      <w:numFmt w:val="bullet"/>
      <w:lvlText w:val="•"/>
      <w:lvlJc w:val="left"/>
      <w:pPr>
        <w:ind w:left="1799" w:hanging="361"/>
      </w:pPr>
    </w:lvl>
    <w:lvl w:ilvl="4">
      <w:numFmt w:val="bullet"/>
      <w:lvlText w:val="•"/>
      <w:lvlJc w:val="left"/>
      <w:pPr>
        <w:ind w:left="2985" w:hanging="361"/>
      </w:pPr>
    </w:lvl>
    <w:lvl w:ilvl="5">
      <w:numFmt w:val="bullet"/>
      <w:lvlText w:val="•"/>
      <w:lvlJc w:val="left"/>
      <w:pPr>
        <w:ind w:left="4171" w:hanging="361"/>
      </w:pPr>
    </w:lvl>
    <w:lvl w:ilvl="6">
      <w:numFmt w:val="bullet"/>
      <w:lvlText w:val="•"/>
      <w:lvlJc w:val="left"/>
      <w:pPr>
        <w:ind w:left="5356" w:hanging="361"/>
      </w:pPr>
    </w:lvl>
    <w:lvl w:ilvl="7">
      <w:numFmt w:val="bullet"/>
      <w:lvlText w:val="•"/>
      <w:lvlJc w:val="left"/>
      <w:pPr>
        <w:ind w:left="6542" w:hanging="361"/>
      </w:pPr>
    </w:lvl>
    <w:lvl w:ilvl="8">
      <w:numFmt w:val="bullet"/>
      <w:lvlText w:val="•"/>
      <w:lvlJc w:val="left"/>
      <w:pPr>
        <w:ind w:left="7728" w:hanging="361"/>
      </w:pPr>
    </w:lvl>
  </w:abstractNum>
  <w:abstractNum w:abstractNumId="1" w15:restartNumberingAfterBreak="0">
    <w:nsid w:val="241E5338"/>
    <w:multiLevelType w:val="hybridMultilevel"/>
    <w:tmpl w:val="74382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66B0523"/>
    <w:multiLevelType w:val="hybridMultilevel"/>
    <w:tmpl w:val="B5E48E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C85195C"/>
    <w:multiLevelType w:val="hybridMultilevel"/>
    <w:tmpl w:val="1B0C2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50368"/>
    <w:multiLevelType w:val="hybridMultilevel"/>
    <w:tmpl w:val="9CA2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15806"/>
    <w:multiLevelType w:val="hybridMultilevel"/>
    <w:tmpl w:val="29A4C118"/>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36"/>
    <w:rsid w:val="00053236"/>
    <w:rsid w:val="001750E8"/>
    <w:rsid w:val="00331654"/>
    <w:rsid w:val="003E4BD7"/>
    <w:rsid w:val="005B7F6E"/>
    <w:rsid w:val="00827245"/>
    <w:rsid w:val="008532BC"/>
    <w:rsid w:val="00894E54"/>
    <w:rsid w:val="00910E35"/>
    <w:rsid w:val="00A25E31"/>
    <w:rsid w:val="00AD4DF4"/>
    <w:rsid w:val="00C86D5E"/>
    <w:rsid w:val="00CA40E5"/>
    <w:rsid w:val="00E034AD"/>
    <w:rsid w:val="00EB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4385E-5EA8-4642-A742-C092BA05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2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236"/>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sid w:val="00053236"/>
    <w:rPr>
      <w:color w:val="0563C1" w:themeColor="hyperlink"/>
      <w:u w:val="single"/>
    </w:rPr>
  </w:style>
  <w:style w:type="paragraph" w:customStyle="1" w:styleId="Normal1">
    <w:name w:val="Normal1"/>
    <w:rsid w:val="00053236"/>
    <w:pPr>
      <w:spacing w:after="0" w:line="240" w:lineRule="auto"/>
    </w:pPr>
    <w:rPr>
      <w:rFonts w:ascii="Arial" w:eastAsia="SimSun" w:hAnsi="Arial" w:cs="Arial"/>
      <w:color w:val="000000"/>
      <w:sz w:val="24"/>
      <w:szCs w:val="24"/>
    </w:rPr>
  </w:style>
  <w:style w:type="paragraph" w:styleId="HTMLPreformatted">
    <w:name w:val="HTML Preformatted"/>
    <w:basedOn w:val="Normal"/>
    <w:link w:val="HTMLPreformattedChar"/>
    <w:uiPriority w:val="99"/>
    <w:unhideWhenUsed/>
    <w:rsid w:val="0005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km-KH"/>
    </w:rPr>
  </w:style>
  <w:style w:type="character" w:customStyle="1" w:styleId="HTMLPreformattedChar">
    <w:name w:val="HTML Preformatted Char"/>
    <w:basedOn w:val="DefaultParagraphFont"/>
    <w:link w:val="HTMLPreformatted"/>
    <w:uiPriority w:val="99"/>
    <w:rsid w:val="00053236"/>
    <w:rPr>
      <w:rFonts w:ascii="Courier New" w:eastAsia="Times New Roman" w:hAnsi="Courier New" w:cs="Courier New"/>
      <w:sz w:val="20"/>
      <w:szCs w:val="20"/>
      <w:lang w:bidi="km-KH"/>
    </w:rPr>
  </w:style>
  <w:style w:type="character" w:styleId="FollowedHyperlink">
    <w:name w:val="FollowedHyperlink"/>
    <w:basedOn w:val="DefaultParagraphFont"/>
    <w:uiPriority w:val="99"/>
    <w:semiHidden/>
    <w:unhideWhenUsed/>
    <w:rsid w:val="003E4B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5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oregon.org/measles" TargetMode="External"/><Relationship Id="rId11" Type="http://schemas.openxmlformats.org/officeDocument/2006/relationships/customXml" Target="../customXml/item3.xml"/><Relationship Id="rId5" Type="http://schemas.openxmlformats.org/officeDocument/2006/relationships/hyperlink" Target="https://www.clark.wa.gov/public-health/measles-investig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 xsi:nil="true"/>
    <IASubtopic xmlns="59da1016-2a1b-4f8a-9768-d7a4932f6f16" xsi:nil="true"/>
    <DocumentExpirationDate xmlns="59da1016-2a1b-4f8a-9768-d7a4932f6f16" xsi:nil="true"/>
    <Meta_x0020_Description xmlns="88c0535a-fd8c-4c04-891d-8da4679bb3a2" xsi:nil="true"/>
    <IATopic xmlns="59da1016-2a1b-4f8a-9768-d7a4932f6f16" xsi:nil="true"/>
    <Meta_x0020_Keywords xmlns="88c0535a-fd8c-4c04-891d-8da4679bb3a2" xsi:nil="true"/>
  </documentManagement>
</p:properties>
</file>

<file path=customXml/itemProps1.xml><?xml version="1.0" encoding="utf-8"?>
<ds:datastoreItem xmlns:ds="http://schemas.openxmlformats.org/officeDocument/2006/customXml" ds:itemID="{F97232D3-247F-4F6D-9424-E76311752F19}"/>
</file>

<file path=customXml/itemProps2.xml><?xml version="1.0" encoding="utf-8"?>
<ds:datastoreItem xmlns:ds="http://schemas.openxmlformats.org/officeDocument/2006/customXml" ds:itemID="{DDB75D97-B9D7-49A7-88C7-04E3E6D7E1C1}"/>
</file>

<file path=customXml/itemProps3.xml><?xml version="1.0" encoding="utf-8"?>
<ds:datastoreItem xmlns:ds="http://schemas.openxmlformats.org/officeDocument/2006/customXml" ds:itemID="{A83692B9-9BEA-4878-946C-7CA74CD71BEC}"/>
</file>

<file path=docProps/app.xml><?xml version="1.0" encoding="utf-8"?>
<Properties xmlns="http://schemas.openxmlformats.org/officeDocument/2006/extended-properties" xmlns:vt="http://schemas.openxmlformats.org/officeDocument/2006/docPropsVTypes">
  <Template>Normal</Template>
  <TotalTime>27</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Letter From School to Parents/Guardians: Measles 2019 (SPANISH)</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Measles 2019 (SPANISH)</dc:title>
  <dc:subject/>
  <dc:creator>Oregon Health Authority</dc:creator>
  <cp:keywords/>
  <dc:description/>
  <cp:lastModifiedBy>Tinker Sarah C</cp:lastModifiedBy>
  <cp:revision>7</cp:revision>
  <dcterms:created xsi:type="dcterms:W3CDTF">2019-02-04T22:02:00Z</dcterms:created>
  <dcterms:modified xsi:type="dcterms:W3CDTF">2019-02-13T20:23:00Z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0x010100352EA664C4CFE343A3B814FFB6D858FD</vt:lpwstr>
  </property>
</Properties>
</file>