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01DF9" w14:textId="7E0D0496" w:rsidR="00854BF3" w:rsidRDefault="00854BF3" w:rsidP="0028375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0444040"/>
      <w:bookmarkStart w:id="1" w:name="_Hlk40443699"/>
      <w:r w:rsidRPr="00112DE5">
        <w:rPr>
          <w:rFonts w:ascii="Arial" w:hAnsi="Arial" w:cs="Arial"/>
          <w:b/>
          <w:bCs/>
          <w:sz w:val="24"/>
          <w:szCs w:val="24"/>
        </w:rPr>
        <w:t>Ryan White Part B COVID-19 Temporary Guidance – Effective March 30, 2020</w:t>
      </w:r>
    </w:p>
    <w:p w14:paraId="5475F297" w14:textId="4EC51125" w:rsidR="0070795B" w:rsidRPr="00112DE5" w:rsidRDefault="0070795B" w:rsidP="0028375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Updated </w:t>
      </w:r>
      <w:r w:rsidR="00651B78">
        <w:rPr>
          <w:rFonts w:ascii="Arial" w:hAnsi="Arial" w:cs="Arial"/>
          <w:b/>
          <w:bCs/>
          <w:sz w:val="24"/>
          <w:szCs w:val="24"/>
        </w:rPr>
        <w:t>July 31</w:t>
      </w:r>
      <w:r>
        <w:rPr>
          <w:rFonts w:ascii="Arial" w:hAnsi="Arial" w:cs="Arial"/>
          <w:b/>
          <w:bCs/>
          <w:sz w:val="24"/>
          <w:szCs w:val="24"/>
        </w:rPr>
        <w:t xml:space="preserve">, 2020 </w:t>
      </w:r>
    </w:p>
    <w:bookmarkEnd w:id="0"/>
    <w:p w14:paraId="23BAC8CD" w14:textId="77777777" w:rsidR="00854BF3" w:rsidRPr="00112DE5" w:rsidRDefault="00854BF3" w:rsidP="0028375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B63750" w14:textId="5C476F3A" w:rsidR="00854BF3" w:rsidRPr="00112DE5" w:rsidRDefault="00854BF3" w:rsidP="002837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2DE5">
        <w:rPr>
          <w:rFonts w:ascii="Arial" w:hAnsi="Arial" w:cs="Arial"/>
          <w:sz w:val="24"/>
          <w:szCs w:val="24"/>
        </w:rPr>
        <w:t xml:space="preserve">Please note: </w:t>
      </w:r>
      <w:r>
        <w:rPr>
          <w:rFonts w:ascii="Arial" w:hAnsi="Arial" w:cs="Arial"/>
          <w:sz w:val="24"/>
          <w:szCs w:val="24"/>
        </w:rPr>
        <w:t xml:space="preserve">OHA’s HIV Community Services (HCS) </w:t>
      </w:r>
      <w:r w:rsidRPr="00112DE5">
        <w:rPr>
          <w:rFonts w:ascii="Arial" w:hAnsi="Arial" w:cs="Arial"/>
          <w:sz w:val="24"/>
          <w:szCs w:val="24"/>
        </w:rPr>
        <w:t xml:space="preserve">understand that federal and state guidance, as well as community needs are constantly evolving. As needs for guidance revisions arise, we will respond and notify you as quickly as </w:t>
      </w:r>
      <w:proofErr w:type="spellStart"/>
      <w:proofErr w:type="gramStart"/>
      <w:r w:rsidRPr="00112DE5">
        <w:rPr>
          <w:rFonts w:ascii="Arial" w:hAnsi="Arial" w:cs="Arial"/>
          <w:sz w:val="24"/>
          <w:szCs w:val="24"/>
        </w:rPr>
        <w:t>possible.</w:t>
      </w:r>
      <w:r w:rsidR="009002E9">
        <w:rPr>
          <w:rFonts w:ascii="Arial" w:hAnsi="Arial" w:cs="Arial"/>
          <w:sz w:val="24"/>
          <w:szCs w:val="24"/>
        </w:rPr>
        <w:t>Information</w:t>
      </w:r>
      <w:proofErr w:type="spellEnd"/>
      <w:proofErr w:type="gramEnd"/>
      <w:r w:rsidR="009002E9">
        <w:rPr>
          <w:rFonts w:ascii="Arial" w:hAnsi="Arial" w:cs="Arial"/>
          <w:sz w:val="24"/>
          <w:szCs w:val="24"/>
        </w:rPr>
        <w:t xml:space="preserve"> below is effective until further notice.</w:t>
      </w:r>
    </w:p>
    <w:p w14:paraId="1C74E5E9" w14:textId="77777777" w:rsidR="00854BF3" w:rsidRPr="00112DE5" w:rsidRDefault="00854BF3" w:rsidP="00283755">
      <w:pPr>
        <w:spacing w:after="0"/>
        <w:jc w:val="both"/>
        <w:rPr>
          <w:sz w:val="24"/>
          <w:szCs w:val="24"/>
        </w:rPr>
      </w:pPr>
    </w:p>
    <w:p w14:paraId="0E4E570E" w14:textId="4FF65F1A" w:rsidR="00854BF3" w:rsidRPr="00112DE5" w:rsidRDefault="00854BF3" w:rsidP="007079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2DE5">
        <w:rPr>
          <w:rFonts w:ascii="Arial" w:hAnsi="Arial" w:cs="Arial"/>
          <w:sz w:val="24"/>
          <w:szCs w:val="24"/>
        </w:rPr>
        <w:t xml:space="preserve">The Ryan White Case Management services you all continue to provide are essential, as is the support you need from </w:t>
      </w:r>
      <w:r>
        <w:rPr>
          <w:rFonts w:ascii="Arial" w:hAnsi="Arial" w:cs="Arial"/>
          <w:sz w:val="24"/>
          <w:szCs w:val="24"/>
        </w:rPr>
        <w:t>HCS</w:t>
      </w:r>
      <w:r w:rsidRPr="00112DE5">
        <w:rPr>
          <w:rFonts w:ascii="Arial" w:hAnsi="Arial" w:cs="Arial"/>
          <w:sz w:val="24"/>
          <w:szCs w:val="24"/>
        </w:rPr>
        <w:t xml:space="preserve">. Please reach out to OHA’s </w:t>
      </w:r>
      <w:hyperlink r:id="rId8" w:history="1">
        <w:r w:rsidRPr="004B5FEF">
          <w:rPr>
            <w:rStyle w:val="Hyperlink"/>
            <w:rFonts w:ascii="Arial" w:hAnsi="Arial" w:cs="Arial"/>
            <w:sz w:val="24"/>
            <w:szCs w:val="24"/>
          </w:rPr>
          <w:t>HIV Community Services Coordinator, LC Camerato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Pr="00112DE5">
        <w:rPr>
          <w:rFonts w:ascii="Arial" w:hAnsi="Arial" w:cs="Arial"/>
          <w:sz w:val="24"/>
          <w:szCs w:val="24"/>
        </w:rPr>
        <w:t xml:space="preserve">as needs, concerns, or questions develop. </w:t>
      </w:r>
    </w:p>
    <w:bookmarkEnd w:id="1"/>
    <w:p w14:paraId="6E6E733F" w14:textId="77777777" w:rsidR="00854BF3" w:rsidRPr="00112DE5" w:rsidRDefault="00854BF3" w:rsidP="00283755">
      <w:pPr>
        <w:spacing w:after="0"/>
        <w:rPr>
          <w:rFonts w:ascii="Arial" w:hAnsi="Arial" w:cs="Arial"/>
          <w:sz w:val="24"/>
          <w:szCs w:val="24"/>
        </w:rPr>
      </w:pPr>
    </w:p>
    <w:p w14:paraId="1E483CD0" w14:textId="44279AA2" w:rsidR="00854BF3" w:rsidRPr="00112DE5" w:rsidRDefault="00854BF3" w:rsidP="0028375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12DE5">
        <w:rPr>
          <w:rFonts w:ascii="Arial" w:hAnsi="Arial" w:cs="Arial"/>
          <w:b/>
          <w:bCs/>
          <w:sz w:val="24"/>
          <w:szCs w:val="24"/>
        </w:rPr>
        <w:t>Intake, Eligibility Review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112DE5">
        <w:rPr>
          <w:rFonts w:ascii="Arial" w:hAnsi="Arial" w:cs="Arial"/>
          <w:b/>
          <w:bCs/>
          <w:sz w:val="24"/>
          <w:szCs w:val="24"/>
        </w:rPr>
        <w:t>Forms</w:t>
      </w:r>
      <w:r>
        <w:rPr>
          <w:rFonts w:ascii="Arial" w:hAnsi="Arial" w:cs="Arial"/>
          <w:b/>
          <w:bCs/>
          <w:sz w:val="24"/>
          <w:szCs w:val="24"/>
        </w:rPr>
        <w:t xml:space="preserve"> and Assessments</w:t>
      </w:r>
    </w:p>
    <w:p w14:paraId="5451B407" w14:textId="77777777" w:rsidR="00854BF3" w:rsidRPr="00112DE5" w:rsidRDefault="00854BF3" w:rsidP="00283755">
      <w:pPr>
        <w:spacing w:after="0"/>
        <w:rPr>
          <w:rFonts w:ascii="Arial" w:hAnsi="Arial" w:cs="Arial"/>
          <w:sz w:val="24"/>
          <w:szCs w:val="24"/>
        </w:rPr>
      </w:pPr>
    </w:p>
    <w:p w14:paraId="5D7460C9" w14:textId="77777777" w:rsidR="00854BF3" w:rsidRPr="00112DE5" w:rsidRDefault="00854BF3" w:rsidP="00283755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2DE5">
        <w:rPr>
          <w:rFonts w:ascii="Arial" w:eastAsia="Times New Roman" w:hAnsi="Arial" w:cs="Arial"/>
          <w:sz w:val="24"/>
          <w:szCs w:val="24"/>
        </w:rPr>
        <w:t>The Part B Case Management agency will still need to complete the required Intake and Eligibility review forms. The following documentation will be accepted:</w:t>
      </w:r>
    </w:p>
    <w:p w14:paraId="54B1DC9B" w14:textId="77777777" w:rsidR="00854BF3" w:rsidRPr="00112DE5" w:rsidRDefault="00854BF3" w:rsidP="00283755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4668FB21" w14:textId="77777777" w:rsidR="00854BF3" w:rsidRPr="00112DE5" w:rsidRDefault="00854BF3" w:rsidP="00283755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 w:rsidRPr="00112DE5">
        <w:rPr>
          <w:rFonts w:ascii="Arial" w:eastAsia="Times New Roman" w:hAnsi="Arial" w:cs="Arial"/>
          <w:b/>
          <w:bCs/>
          <w:sz w:val="24"/>
          <w:szCs w:val="24"/>
        </w:rPr>
        <w:t>Initial Intake</w:t>
      </w:r>
    </w:p>
    <w:p w14:paraId="4476EC24" w14:textId="77777777" w:rsidR="00854BF3" w:rsidRPr="00112DE5" w:rsidRDefault="00854BF3" w:rsidP="0028375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112DE5">
        <w:rPr>
          <w:rFonts w:ascii="Arial" w:hAnsi="Arial" w:cs="Arial"/>
          <w:b/>
          <w:bCs/>
          <w:sz w:val="24"/>
          <w:szCs w:val="24"/>
        </w:rPr>
        <w:t>HIV Verification:</w:t>
      </w:r>
      <w:r w:rsidRPr="00112DE5">
        <w:rPr>
          <w:rFonts w:ascii="Arial" w:hAnsi="Arial" w:cs="Arial"/>
          <w:sz w:val="24"/>
          <w:szCs w:val="24"/>
        </w:rPr>
        <w:t xml:space="preserve"> No changes. We still require HIV Verification per program </w:t>
      </w:r>
      <w:hyperlink r:id="rId9" w:history="1">
        <w:r w:rsidRPr="00112DE5">
          <w:rPr>
            <w:rStyle w:val="Hyperlink"/>
            <w:rFonts w:ascii="Arial" w:hAnsi="Arial" w:cs="Arial"/>
            <w:sz w:val="24"/>
            <w:szCs w:val="24"/>
          </w:rPr>
          <w:t>Standards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  <w:r w:rsidRPr="004B5FEF">
        <w:rPr>
          <w:rStyle w:val="Hyperlink"/>
          <w:rFonts w:ascii="Arial" w:hAnsi="Arial" w:cs="Arial"/>
          <w:sz w:val="24"/>
          <w:szCs w:val="24"/>
        </w:rPr>
        <w:t xml:space="preserve"> </w:t>
      </w:r>
      <w:r w:rsidRPr="002837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Contact </w:t>
      </w:r>
      <w:hyperlink r:id="rId10" w:history="1">
        <w:r w:rsidRPr="004B5FEF">
          <w:rPr>
            <w:rStyle w:val="Hyperlink"/>
            <w:rFonts w:ascii="Arial" w:eastAsia="Times New Roman" w:hAnsi="Arial" w:cs="Arial"/>
            <w:sz w:val="24"/>
            <w:szCs w:val="24"/>
          </w:rPr>
          <w:t>LC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8375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if you face barriers to obtaining this documentation.</w:t>
      </w:r>
    </w:p>
    <w:p w14:paraId="214E020A" w14:textId="77777777" w:rsidR="00854BF3" w:rsidRPr="003B3896" w:rsidRDefault="00854BF3" w:rsidP="0028375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112DE5">
        <w:rPr>
          <w:rFonts w:ascii="Arial" w:hAnsi="Arial" w:cs="Arial"/>
          <w:b/>
          <w:bCs/>
          <w:sz w:val="24"/>
          <w:szCs w:val="24"/>
        </w:rPr>
        <w:t xml:space="preserve">Income &amp; Residency: </w:t>
      </w:r>
      <w:r w:rsidRPr="00112DE5">
        <w:rPr>
          <w:rFonts w:ascii="Arial" w:hAnsi="Arial" w:cs="Arial"/>
          <w:sz w:val="24"/>
          <w:szCs w:val="24"/>
        </w:rPr>
        <w:t xml:space="preserve">If no income/residency documentation </w:t>
      </w:r>
      <w:r>
        <w:rPr>
          <w:rFonts w:ascii="Arial" w:hAnsi="Arial" w:cs="Arial"/>
          <w:sz w:val="24"/>
          <w:szCs w:val="24"/>
        </w:rPr>
        <w:t xml:space="preserve">is </w:t>
      </w:r>
      <w:r w:rsidRPr="00112DE5">
        <w:rPr>
          <w:rFonts w:ascii="Arial" w:hAnsi="Arial" w:cs="Arial"/>
          <w:sz w:val="24"/>
          <w:szCs w:val="24"/>
        </w:rPr>
        <w:t>available</w:t>
      </w:r>
      <w:r>
        <w:rPr>
          <w:rFonts w:ascii="Arial" w:hAnsi="Arial" w:cs="Arial"/>
          <w:sz w:val="24"/>
          <w:szCs w:val="24"/>
        </w:rPr>
        <w:t xml:space="preserve"> at the time of Intake</w:t>
      </w:r>
      <w:r w:rsidRPr="00112DE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the No Income and/or Homeless or Residency </w:t>
      </w:r>
      <w:r w:rsidRPr="00112DE5">
        <w:rPr>
          <w:rFonts w:ascii="Arial" w:hAnsi="Arial" w:cs="Arial"/>
          <w:sz w:val="24"/>
          <w:szCs w:val="24"/>
        </w:rPr>
        <w:t xml:space="preserve">affidavit </w:t>
      </w:r>
      <w:r>
        <w:rPr>
          <w:rFonts w:ascii="Arial" w:hAnsi="Arial" w:cs="Arial"/>
          <w:sz w:val="24"/>
          <w:szCs w:val="24"/>
        </w:rPr>
        <w:t xml:space="preserve">forms are </w:t>
      </w:r>
      <w:r w:rsidRPr="00112DE5">
        <w:rPr>
          <w:rFonts w:ascii="Arial" w:hAnsi="Arial" w:cs="Arial"/>
          <w:sz w:val="24"/>
          <w:szCs w:val="24"/>
        </w:rPr>
        <w:t>acceptable. Documentation sen</w:t>
      </w:r>
      <w:r>
        <w:rPr>
          <w:rFonts w:ascii="Arial" w:hAnsi="Arial" w:cs="Arial"/>
          <w:sz w:val="24"/>
          <w:szCs w:val="24"/>
        </w:rPr>
        <w:t>t electronically (email, e-Sign, text document) are always acceptable, per your agency’s policies</w:t>
      </w:r>
      <w:r w:rsidRPr="00112DE5">
        <w:rPr>
          <w:rFonts w:ascii="Arial" w:hAnsi="Arial" w:cs="Arial"/>
          <w:sz w:val="24"/>
          <w:szCs w:val="24"/>
        </w:rPr>
        <w:t xml:space="preserve">. </w:t>
      </w:r>
      <w:r w:rsidRPr="00112DE5">
        <w:rPr>
          <w:rFonts w:ascii="Arial" w:hAnsi="Arial" w:cs="Arial"/>
          <w:i/>
          <w:iCs/>
          <w:sz w:val="24"/>
          <w:szCs w:val="24"/>
        </w:rPr>
        <w:t xml:space="preserve">At 6-month eligibility review, client will need to submit documentation of eligibility </w:t>
      </w:r>
      <w:r w:rsidRPr="00112DE5">
        <w:rPr>
          <w:rFonts w:ascii="Arial" w:hAnsi="Arial" w:cs="Arial"/>
          <w:sz w:val="24"/>
          <w:szCs w:val="24"/>
        </w:rPr>
        <w:t xml:space="preserve">retroactive to date of intake. </w:t>
      </w:r>
    </w:p>
    <w:p w14:paraId="48B0EEC2" w14:textId="77777777" w:rsidR="00854BF3" w:rsidRPr="00112DE5" w:rsidRDefault="00854BF3" w:rsidP="0028375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Release of Information: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Requires client signature. Electronic signature accepted; otherwise, form must be emailed/mailed and returned. In instances where this poses an insurmountable barrier, consult with your agency leadership. </w:t>
      </w:r>
      <w:hyperlink r:id="rId11" w:history="1">
        <w:r w:rsidRPr="004B5FEF">
          <w:rPr>
            <w:rStyle w:val="Hyperlink"/>
            <w:rFonts w:ascii="Arial" w:eastAsia="Times New Roman" w:hAnsi="Arial" w:cs="Arial"/>
            <w:sz w:val="24"/>
            <w:szCs w:val="24"/>
          </w:rPr>
          <w:t>LC</w:t>
        </w:r>
      </w:hyperlink>
      <w:r>
        <w:rPr>
          <w:rFonts w:ascii="Arial" w:hAnsi="Arial" w:cs="Arial"/>
          <w:sz w:val="24"/>
          <w:szCs w:val="24"/>
        </w:rPr>
        <w:t xml:space="preserve"> is available to supervisors for further consult.</w:t>
      </w:r>
    </w:p>
    <w:p w14:paraId="46C45A00" w14:textId="77777777" w:rsidR="00854BF3" w:rsidRPr="00112DE5" w:rsidRDefault="00854BF3" w:rsidP="0028375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112DE5">
        <w:rPr>
          <w:rFonts w:ascii="Arial" w:hAnsi="Arial" w:cs="Arial"/>
          <w:b/>
          <w:bCs/>
          <w:sz w:val="24"/>
          <w:szCs w:val="24"/>
        </w:rPr>
        <w:t>Other Forms requiring client signature:</w:t>
      </w:r>
      <w:r w:rsidRPr="00112DE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12DE5">
        <w:rPr>
          <w:rFonts w:ascii="Arial" w:eastAsia="Times New Roman" w:hAnsi="Arial" w:cs="Arial"/>
          <w:sz w:val="24"/>
          <w:szCs w:val="24"/>
        </w:rPr>
        <w:t>IC/CC/CM may sign on client’s behalf, noting client agreement over the phone or email.</w:t>
      </w:r>
    </w:p>
    <w:p w14:paraId="75BD7D73" w14:textId="77777777" w:rsidR="00854BF3" w:rsidRPr="00112DE5" w:rsidRDefault="00854BF3" w:rsidP="00283755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0182A19D" w14:textId="77777777" w:rsidR="00854BF3" w:rsidRPr="00112DE5" w:rsidRDefault="00854BF3" w:rsidP="00283755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 w:rsidRPr="00112DE5">
        <w:rPr>
          <w:rFonts w:ascii="Arial" w:eastAsia="Times New Roman" w:hAnsi="Arial" w:cs="Arial"/>
          <w:b/>
          <w:bCs/>
          <w:sz w:val="24"/>
          <w:szCs w:val="24"/>
        </w:rPr>
        <w:t xml:space="preserve">Six-Month Eligibility Review: </w:t>
      </w:r>
    </w:p>
    <w:p w14:paraId="0B7EA8D4" w14:textId="77777777" w:rsidR="00854BF3" w:rsidRPr="00112DE5" w:rsidRDefault="00854BF3" w:rsidP="002837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112DE5">
        <w:rPr>
          <w:rFonts w:ascii="Arial" w:eastAsia="Times New Roman" w:hAnsi="Arial" w:cs="Arial"/>
          <w:sz w:val="24"/>
          <w:szCs w:val="24"/>
        </w:rPr>
        <w:t>CAREAssist</w:t>
      </w:r>
      <w:proofErr w:type="spellEnd"/>
      <w:r w:rsidRPr="00112DE5">
        <w:rPr>
          <w:rFonts w:ascii="Arial" w:eastAsia="Times New Roman" w:hAnsi="Arial" w:cs="Arial"/>
          <w:sz w:val="24"/>
          <w:szCs w:val="24"/>
        </w:rPr>
        <w:t xml:space="preserve"> clients: print CEV </w:t>
      </w:r>
      <w:r>
        <w:rPr>
          <w:rFonts w:ascii="Arial" w:eastAsia="Times New Roman" w:hAnsi="Arial" w:cs="Arial"/>
          <w:sz w:val="24"/>
          <w:szCs w:val="24"/>
        </w:rPr>
        <w:t xml:space="preserve">and complete the eligibility process </w:t>
      </w:r>
      <w:r w:rsidRPr="00112DE5">
        <w:rPr>
          <w:rFonts w:ascii="Arial" w:eastAsia="Times New Roman" w:hAnsi="Arial" w:cs="Arial"/>
          <w:sz w:val="24"/>
          <w:szCs w:val="24"/>
        </w:rPr>
        <w:t xml:space="preserve">as </w:t>
      </w:r>
      <w:r>
        <w:rPr>
          <w:rFonts w:ascii="Arial" w:eastAsia="Times New Roman" w:hAnsi="Arial" w:cs="Arial"/>
          <w:sz w:val="24"/>
          <w:szCs w:val="24"/>
        </w:rPr>
        <w:t xml:space="preserve">you </w:t>
      </w:r>
      <w:r w:rsidRPr="00112DE5">
        <w:rPr>
          <w:rFonts w:ascii="Arial" w:eastAsia="Times New Roman" w:hAnsi="Arial" w:cs="Arial"/>
          <w:sz w:val="24"/>
          <w:szCs w:val="24"/>
        </w:rPr>
        <w:t xml:space="preserve">normally do. </w:t>
      </w:r>
      <w:r w:rsidRPr="00112DE5">
        <w:rPr>
          <w:rFonts w:ascii="Arial" w:hAnsi="Arial" w:cs="Arial"/>
          <w:sz w:val="24"/>
          <w:szCs w:val="24"/>
        </w:rPr>
        <w:t>Eligibility for Ryan White services will continue to follow CEVs during this period.</w:t>
      </w:r>
    </w:p>
    <w:p w14:paraId="151F879D" w14:textId="77777777" w:rsidR="00854BF3" w:rsidRPr="00112DE5" w:rsidRDefault="00854BF3" w:rsidP="002837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2DE5">
        <w:rPr>
          <w:rFonts w:ascii="Arial" w:hAnsi="Arial" w:cs="Arial"/>
          <w:sz w:val="24"/>
          <w:szCs w:val="24"/>
        </w:rPr>
        <w:t>Non-</w:t>
      </w:r>
      <w:proofErr w:type="spellStart"/>
      <w:r w:rsidRPr="00112DE5">
        <w:rPr>
          <w:rFonts w:ascii="Arial" w:hAnsi="Arial" w:cs="Arial"/>
          <w:sz w:val="24"/>
          <w:szCs w:val="24"/>
        </w:rPr>
        <w:t>CAREAssist</w:t>
      </w:r>
      <w:proofErr w:type="spellEnd"/>
      <w:r w:rsidRPr="00112DE5">
        <w:rPr>
          <w:rFonts w:ascii="Arial" w:hAnsi="Arial" w:cs="Arial"/>
          <w:sz w:val="24"/>
          <w:szCs w:val="24"/>
        </w:rPr>
        <w:t xml:space="preserve"> clients: same as Intake guidance for income/residency/forms</w:t>
      </w:r>
    </w:p>
    <w:p w14:paraId="75A252A8" w14:textId="77777777" w:rsidR="00854BF3" w:rsidRPr="00112DE5" w:rsidRDefault="00854BF3" w:rsidP="0028375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E62EF0">
        <w:rPr>
          <w:rFonts w:ascii="Arial" w:hAnsi="Arial" w:cs="Arial"/>
          <w:sz w:val="24"/>
          <w:szCs w:val="24"/>
          <w:u w:val="single"/>
        </w:rPr>
        <w:t>ALL clients:</w:t>
      </w:r>
      <w:r w:rsidRPr="00112DE5">
        <w:rPr>
          <w:rFonts w:ascii="Arial" w:hAnsi="Arial" w:cs="Arial"/>
          <w:sz w:val="24"/>
          <w:szCs w:val="24"/>
        </w:rPr>
        <w:t xml:space="preserve"> </w:t>
      </w:r>
      <w:r w:rsidRPr="00112DE5">
        <w:rPr>
          <w:rFonts w:ascii="Arial" w:hAnsi="Arial" w:cs="Arial"/>
          <w:i/>
          <w:iCs/>
          <w:sz w:val="24"/>
          <w:szCs w:val="24"/>
        </w:rPr>
        <w:t>At next eligibility review, client will need to submit documentation of eligibility retroactive to date of current review, to document no gaps in eligibility.</w:t>
      </w:r>
      <w:r w:rsidRPr="00112DE5">
        <w:rPr>
          <w:rFonts w:ascii="Arial" w:hAnsi="Arial" w:cs="Arial"/>
          <w:sz w:val="24"/>
          <w:szCs w:val="24"/>
        </w:rPr>
        <w:t xml:space="preserve">  </w:t>
      </w:r>
    </w:p>
    <w:p w14:paraId="6F49FD90" w14:textId="77777777" w:rsidR="00854BF3" w:rsidRPr="00112DE5" w:rsidRDefault="00854BF3" w:rsidP="00283755">
      <w:pPr>
        <w:spacing w:after="0"/>
        <w:rPr>
          <w:rFonts w:ascii="Arial" w:eastAsia="Times New Roman" w:hAnsi="Arial" w:cs="Arial"/>
          <w:b/>
          <w:bCs/>
          <w:sz w:val="24"/>
          <w:szCs w:val="24"/>
          <w:highlight w:val="green"/>
        </w:rPr>
      </w:pPr>
    </w:p>
    <w:p w14:paraId="04916F95" w14:textId="77777777" w:rsidR="00854BF3" w:rsidRPr="00112DE5" w:rsidRDefault="00854BF3" w:rsidP="00283755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 w:rsidRPr="00112DE5">
        <w:rPr>
          <w:rFonts w:ascii="Arial" w:eastAsia="Times New Roman" w:hAnsi="Arial" w:cs="Arial"/>
          <w:b/>
          <w:bCs/>
          <w:sz w:val="24"/>
          <w:szCs w:val="24"/>
        </w:rPr>
        <w:t>Annual Eligibility Review:</w:t>
      </w:r>
    </w:p>
    <w:p w14:paraId="5A725AC1" w14:textId="77777777" w:rsidR="00854BF3" w:rsidRPr="00112DE5" w:rsidRDefault="00854BF3" w:rsidP="0028375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112DE5">
        <w:rPr>
          <w:rFonts w:ascii="Arial" w:eastAsia="Times New Roman" w:hAnsi="Arial" w:cs="Arial"/>
          <w:sz w:val="24"/>
          <w:szCs w:val="24"/>
        </w:rPr>
        <w:t>CAREAssist</w:t>
      </w:r>
      <w:proofErr w:type="spellEnd"/>
      <w:r w:rsidRPr="00112DE5">
        <w:rPr>
          <w:rFonts w:ascii="Arial" w:eastAsia="Times New Roman" w:hAnsi="Arial" w:cs="Arial"/>
          <w:sz w:val="24"/>
          <w:szCs w:val="24"/>
        </w:rPr>
        <w:t xml:space="preserve"> clients: print CEV </w:t>
      </w:r>
      <w:r>
        <w:rPr>
          <w:rFonts w:ascii="Arial" w:eastAsia="Times New Roman" w:hAnsi="Arial" w:cs="Arial"/>
          <w:sz w:val="24"/>
          <w:szCs w:val="24"/>
        </w:rPr>
        <w:t xml:space="preserve">and complete the eligibility process </w:t>
      </w:r>
      <w:r w:rsidRPr="00112DE5">
        <w:rPr>
          <w:rFonts w:ascii="Arial" w:eastAsia="Times New Roman" w:hAnsi="Arial" w:cs="Arial"/>
          <w:sz w:val="24"/>
          <w:szCs w:val="24"/>
        </w:rPr>
        <w:t xml:space="preserve">as </w:t>
      </w:r>
      <w:r>
        <w:rPr>
          <w:rFonts w:ascii="Arial" w:eastAsia="Times New Roman" w:hAnsi="Arial" w:cs="Arial"/>
          <w:sz w:val="24"/>
          <w:szCs w:val="24"/>
        </w:rPr>
        <w:t xml:space="preserve">you </w:t>
      </w:r>
      <w:r w:rsidRPr="00112DE5">
        <w:rPr>
          <w:rFonts w:ascii="Arial" w:eastAsia="Times New Roman" w:hAnsi="Arial" w:cs="Arial"/>
          <w:sz w:val="24"/>
          <w:szCs w:val="24"/>
        </w:rPr>
        <w:t xml:space="preserve">normally do. </w:t>
      </w:r>
      <w:r w:rsidRPr="00112DE5">
        <w:rPr>
          <w:rFonts w:ascii="Arial" w:hAnsi="Arial" w:cs="Arial"/>
          <w:sz w:val="24"/>
          <w:szCs w:val="24"/>
        </w:rPr>
        <w:t>Eligibility for Ryan White services will continue to follow CEVs during this period.</w:t>
      </w:r>
    </w:p>
    <w:p w14:paraId="70107DB8" w14:textId="77777777" w:rsidR="00854BF3" w:rsidRPr="00112DE5" w:rsidRDefault="00854BF3" w:rsidP="0028375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2DE5">
        <w:rPr>
          <w:rFonts w:ascii="Arial" w:hAnsi="Arial" w:cs="Arial"/>
          <w:sz w:val="24"/>
          <w:szCs w:val="24"/>
        </w:rPr>
        <w:t>Non-</w:t>
      </w:r>
      <w:proofErr w:type="spellStart"/>
      <w:r w:rsidRPr="00112DE5">
        <w:rPr>
          <w:rFonts w:ascii="Arial" w:hAnsi="Arial" w:cs="Arial"/>
          <w:sz w:val="24"/>
          <w:szCs w:val="24"/>
        </w:rPr>
        <w:t>CAREAssist</w:t>
      </w:r>
      <w:proofErr w:type="spellEnd"/>
      <w:r w:rsidRPr="00112DE5">
        <w:rPr>
          <w:rFonts w:ascii="Arial" w:hAnsi="Arial" w:cs="Arial"/>
          <w:sz w:val="24"/>
          <w:szCs w:val="24"/>
        </w:rPr>
        <w:t xml:space="preserve"> clients: same as Intake guidance for income/residency/forms</w:t>
      </w:r>
    </w:p>
    <w:p w14:paraId="698BB91B" w14:textId="4321264B" w:rsidR="00854BF3" w:rsidRPr="009002E9" w:rsidRDefault="00854BF3" w:rsidP="009002E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E62EF0">
        <w:rPr>
          <w:rFonts w:ascii="Arial" w:hAnsi="Arial" w:cs="Arial"/>
          <w:sz w:val="24"/>
          <w:szCs w:val="24"/>
          <w:u w:val="single"/>
        </w:rPr>
        <w:t>ALL clients:</w:t>
      </w:r>
      <w:r w:rsidRPr="00112DE5">
        <w:rPr>
          <w:rFonts w:ascii="Arial" w:hAnsi="Arial" w:cs="Arial"/>
          <w:sz w:val="24"/>
          <w:szCs w:val="24"/>
        </w:rPr>
        <w:t xml:space="preserve"> </w:t>
      </w:r>
      <w:r w:rsidRPr="00112DE5">
        <w:rPr>
          <w:rFonts w:ascii="Arial" w:hAnsi="Arial" w:cs="Arial"/>
          <w:i/>
          <w:iCs/>
          <w:sz w:val="24"/>
          <w:szCs w:val="24"/>
        </w:rPr>
        <w:t>At next eligibility review, client will need to submit documentation of eligibility retroactive to date of current review, to document no gaps in eligibility.</w:t>
      </w:r>
    </w:p>
    <w:p w14:paraId="7FE04AF4" w14:textId="77777777" w:rsidR="0003123B" w:rsidRDefault="00854BF3" w:rsidP="0003123B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9B74CE">
        <w:rPr>
          <w:rFonts w:ascii="Arial" w:eastAsia="Times New Roman" w:hAnsi="Arial" w:cs="Arial"/>
          <w:b/>
          <w:bCs/>
          <w:sz w:val="24"/>
          <w:szCs w:val="24"/>
        </w:rPr>
        <w:lastRenderedPageBreak/>
        <w:t>Nursing Assessments and Psychosocial Screenings</w:t>
      </w:r>
    </w:p>
    <w:p w14:paraId="08E095F3" w14:textId="77777777" w:rsidR="0003123B" w:rsidRDefault="0003123B" w:rsidP="00283755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7A98A1E4" w14:textId="5FFA18B5" w:rsidR="00854BF3" w:rsidRDefault="00854BF3" w:rsidP="0003123B">
      <w:pPr>
        <w:spacing w:after="0"/>
        <w:rPr>
          <w:rFonts w:ascii="Arial" w:eastAsia="Times New Roman" w:hAnsi="Arial" w:cs="Arial"/>
          <w:sz w:val="24"/>
          <w:szCs w:val="24"/>
        </w:rPr>
      </w:pPr>
      <w:r w:rsidRPr="009B74CE">
        <w:rPr>
          <w:rFonts w:ascii="Arial" w:eastAsia="Times New Roman" w:hAnsi="Arial" w:cs="Arial"/>
          <w:sz w:val="24"/>
          <w:szCs w:val="24"/>
        </w:rPr>
        <w:t>OHA is waiving the requirement for face</w:t>
      </w:r>
      <w:r>
        <w:rPr>
          <w:rFonts w:ascii="Arial" w:eastAsia="Times New Roman" w:hAnsi="Arial" w:cs="Arial"/>
          <w:sz w:val="24"/>
          <w:szCs w:val="24"/>
        </w:rPr>
        <w:t>-</w:t>
      </w:r>
      <w:r w:rsidRPr="009B74CE">
        <w:rPr>
          <w:rFonts w:ascii="Arial" w:eastAsia="Times New Roman" w:hAnsi="Arial" w:cs="Arial"/>
          <w:sz w:val="24"/>
          <w:szCs w:val="24"/>
        </w:rPr>
        <w:t>to</w:t>
      </w:r>
      <w:r>
        <w:rPr>
          <w:rFonts w:ascii="Arial" w:eastAsia="Times New Roman" w:hAnsi="Arial" w:cs="Arial"/>
          <w:sz w:val="24"/>
          <w:szCs w:val="24"/>
        </w:rPr>
        <w:t>-</w:t>
      </w:r>
      <w:r w:rsidRPr="009B74CE">
        <w:rPr>
          <w:rFonts w:ascii="Arial" w:eastAsia="Times New Roman" w:hAnsi="Arial" w:cs="Arial"/>
          <w:sz w:val="24"/>
          <w:szCs w:val="24"/>
        </w:rPr>
        <w:t xml:space="preserve">face </w:t>
      </w:r>
      <w:r>
        <w:rPr>
          <w:rFonts w:ascii="Arial" w:eastAsia="Times New Roman" w:hAnsi="Arial" w:cs="Arial"/>
          <w:sz w:val="24"/>
          <w:szCs w:val="24"/>
        </w:rPr>
        <w:t xml:space="preserve">Assessments and Screenings </w:t>
      </w:r>
      <w:r w:rsidRPr="009B74CE">
        <w:rPr>
          <w:rFonts w:ascii="Arial" w:eastAsia="Times New Roman" w:hAnsi="Arial" w:cs="Arial"/>
          <w:sz w:val="24"/>
          <w:szCs w:val="24"/>
        </w:rPr>
        <w:t>with clients</w:t>
      </w:r>
      <w:r>
        <w:rPr>
          <w:rFonts w:ascii="Arial" w:eastAsia="Times New Roman" w:hAnsi="Arial" w:cs="Arial"/>
          <w:sz w:val="24"/>
          <w:szCs w:val="24"/>
        </w:rPr>
        <w:t xml:space="preserve">. These may occur on the phone or virtually, per your agency’s COVID/emergency response plans. </w:t>
      </w:r>
      <w:r w:rsidRPr="009B74CE">
        <w:rPr>
          <w:rFonts w:ascii="Arial" w:eastAsia="Times New Roman" w:hAnsi="Arial" w:cs="Arial"/>
          <w:sz w:val="24"/>
          <w:szCs w:val="24"/>
        </w:rPr>
        <w:t xml:space="preserve">OHA highly recommends that </w:t>
      </w:r>
      <w:r>
        <w:rPr>
          <w:rFonts w:ascii="Arial" w:eastAsia="Times New Roman" w:hAnsi="Arial" w:cs="Arial"/>
          <w:sz w:val="24"/>
          <w:szCs w:val="24"/>
        </w:rPr>
        <w:t>face-to-face</w:t>
      </w:r>
      <w:r w:rsidRPr="009B74CE">
        <w:rPr>
          <w:rFonts w:ascii="Arial" w:eastAsia="Times New Roman" w:hAnsi="Arial" w:cs="Arial"/>
          <w:sz w:val="24"/>
          <w:szCs w:val="24"/>
        </w:rPr>
        <w:t xml:space="preserve"> check in</w:t>
      </w:r>
      <w:r>
        <w:rPr>
          <w:rFonts w:ascii="Arial" w:eastAsia="Times New Roman" w:hAnsi="Arial" w:cs="Arial"/>
          <w:sz w:val="24"/>
          <w:szCs w:val="24"/>
        </w:rPr>
        <w:t>s</w:t>
      </w:r>
      <w:r w:rsidRPr="009B74CE">
        <w:rPr>
          <w:rFonts w:ascii="Arial" w:eastAsia="Times New Roman" w:hAnsi="Arial" w:cs="Arial"/>
          <w:sz w:val="24"/>
          <w:szCs w:val="24"/>
        </w:rPr>
        <w:t xml:space="preserve"> with clients take place after the COVID-19 mandates </w:t>
      </w:r>
      <w:r>
        <w:rPr>
          <w:rFonts w:ascii="Arial" w:eastAsia="Times New Roman" w:hAnsi="Arial" w:cs="Arial"/>
          <w:sz w:val="24"/>
          <w:szCs w:val="24"/>
        </w:rPr>
        <w:t>for</w:t>
      </w:r>
      <w:r w:rsidRPr="009B74CE">
        <w:rPr>
          <w:rFonts w:ascii="Arial" w:eastAsia="Times New Roman" w:hAnsi="Arial" w:cs="Arial"/>
          <w:sz w:val="24"/>
          <w:szCs w:val="24"/>
        </w:rPr>
        <w:t xml:space="preserve"> social distancing have been lifted. At that time, the nurse and case manager should evaluate </w:t>
      </w:r>
      <w:r>
        <w:rPr>
          <w:rFonts w:ascii="Arial" w:eastAsia="Times New Roman" w:hAnsi="Arial" w:cs="Arial"/>
          <w:sz w:val="24"/>
          <w:szCs w:val="24"/>
        </w:rPr>
        <w:t xml:space="preserve">need and </w:t>
      </w:r>
      <w:r w:rsidRPr="009B74CE">
        <w:rPr>
          <w:rFonts w:ascii="Arial" w:eastAsia="Times New Roman" w:hAnsi="Arial" w:cs="Arial"/>
          <w:sz w:val="24"/>
          <w:szCs w:val="24"/>
        </w:rPr>
        <w:t>appropriateness on a case</w:t>
      </w:r>
      <w:r>
        <w:rPr>
          <w:rFonts w:ascii="Arial" w:eastAsia="Times New Roman" w:hAnsi="Arial" w:cs="Arial"/>
          <w:sz w:val="24"/>
          <w:szCs w:val="24"/>
        </w:rPr>
        <w:t>-</w:t>
      </w:r>
      <w:r w:rsidRPr="009B74CE">
        <w:rPr>
          <w:rFonts w:ascii="Arial" w:eastAsia="Times New Roman" w:hAnsi="Arial" w:cs="Arial"/>
          <w:sz w:val="24"/>
          <w:szCs w:val="24"/>
        </w:rPr>
        <w:t>by</w:t>
      </w:r>
      <w:r>
        <w:rPr>
          <w:rFonts w:ascii="Arial" w:eastAsia="Times New Roman" w:hAnsi="Arial" w:cs="Arial"/>
          <w:sz w:val="24"/>
          <w:szCs w:val="24"/>
        </w:rPr>
        <w:t>-</w:t>
      </w:r>
      <w:r w:rsidRPr="009B74CE">
        <w:rPr>
          <w:rFonts w:ascii="Arial" w:eastAsia="Times New Roman" w:hAnsi="Arial" w:cs="Arial"/>
          <w:sz w:val="24"/>
          <w:szCs w:val="24"/>
        </w:rPr>
        <w:t xml:space="preserve">case basis. Documentation in the case note template should reflect, “Due to COVID-19, OHA has given permission for this form to be completed on the phone with the client and not in person. Reference Care Plan for upcoming plans”. </w:t>
      </w:r>
      <w:r>
        <w:rPr>
          <w:rFonts w:ascii="Arial" w:eastAsia="Times New Roman" w:hAnsi="Arial" w:cs="Arial"/>
          <w:sz w:val="24"/>
          <w:szCs w:val="24"/>
        </w:rPr>
        <w:t>Acuity contact requirements will continue as per Standards; however, agency leadership is encouraged to contact the HIV Community Services Coordinator if there are concerns about staffing capacity.</w:t>
      </w:r>
    </w:p>
    <w:p w14:paraId="1892B617" w14:textId="77777777" w:rsidR="0003123B" w:rsidRPr="0003123B" w:rsidRDefault="0003123B" w:rsidP="0003123B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3C96FC85" w14:textId="77777777" w:rsidR="0003123B" w:rsidRDefault="0003123B" w:rsidP="0003123B">
      <w:pPr>
        <w:spacing w:after="0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  <w:r w:rsidRPr="00207B7D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Case Management Case</w:t>
      </w:r>
      <w:r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 Closure for </w:t>
      </w:r>
      <w:r w:rsidRPr="00207B7D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Client</w:t>
      </w:r>
      <w:r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s Lost to Follow-up</w:t>
      </w:r>
    </w:p>
    <w:p w14:paraId="07625E6D" w14:textId="77777777" w:rsidR="0003123B" w:rsidRDefault="0003123B" w:rsidP="0003123B">
      <w:pPr>
        <w:spacing w:after="0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14:paraId="63CD227C" w14:textId="77777777" w:rsidR="0003123B" w:rsidRDefault="0003123B" w:rsidP="0003123B">
      <w:pPr>
        <w:spacing w:after="0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Current </w:t>
      </w:r>
      <w:r w:rsidRPr="00112DE5">
        <w:rPr>
          <w:rFonts w:ascii="Arial" w:hAnsi="Arial" w:cs="Arial"/>
          <w:sz w:val="24"/>
          <w:szCs w:val="24"/>
        </w:rPr>
        <w:t xml:space="preserve">program </w:t>
      </w:r>
      <w:hyperlink r:id="rId12" w:history="1">
        <w:r w:rsidRPr="00D26CF9">
          <w:rPr>
            <w:rStyle w:val="Hyperlink"/>
            <w:rFonts w:ascii="Arial" w:hAnsi="Arial" w:cs="Arial"/>
            <w:sz w:val="24"/>
            <w:szCs w:val="24"/>
          </w:rPr>
          <w:t>Standards</w:t>
        </w:r>
      </w:hyperlink>
      <w:r w:rsidRPr="00D26CF9">
        <w:rPr>
          <w:rStyle w:val="Hyperlink"/>
          <w:rFonts w:ascii="Arial" w:hAnsi="Arial" w:cs="Arial"/>
          <w:sz w:val="24"/>
          <w:szCs w:val="24"/>
        </w:rPr>
        <w:t xml:space="preserve"> </w:t>
      </w:r>
      <w:r w:rsidRPr="00D26CF9">
        <w:rPr>
          <w:rFonts w:ascii="Arial" w:hAnsi="Arial" w:cs="Arial"/>
          <w:sz w:val="24"/>
          <w:szCs w:val="24"/>
        </w:rPr>
        <w:t xml:space="preserve">state: If the case is being closed because the client has been unresponsive </w:t>
      </w:r>
      <w:r w:rsidRPr="00D26CF9">
        <w:rPr>
          <w:rFonts w:ascii="Arial" w:hAnsi="Arial" w:cs="Arial"/>
          <w:b/>
          <w:bCs/>
          <w:sz w:val="24"/>
          <w:szCs w:val="24"/>
        </w:rPr>
        <w:t>for more than 60 days</w:t>
      </w:r>
      <w:r w:rsidRPr="00D26CF9">
        <w:rPr>
          <w:rFonts w:ascii="Arial" w:hAnsi="Arial" w:cs="Arial"/>
          <w:sz w:val="24"/>
          <w:szCs w:val="24"/>
        </w:rPr>
        <w:t>, the Case Manager/CC will make a minimum of 6 attempts to contact the client, and a min</w:t>
      </w:r>
      <w:r>
        <w:rPr>
          <w:rFonts w:ascii="Arial" w:hAnsi="Arial" w:cs="Arial"/>
          <w:sz w:val="24"/>
          <w:szCs w:val="24"/>
        </w:rPr>
        <w:t>imum</w:t>
      </w:r>
      <w:r w:rsidRPr="00D26CF9">
        <w:rPr>
          <w:rFonts w:ascii="Arial" w:hAnsi="Arial" w:cs="Arial"/>
          <w:sz w:val="24"/>
          <w:szCs w:val="24"/>
        </w:rPr>
        <w:t xml:space="preserve"> of 4 different communication methods used.</w:t>
      </w:r>
    </w:p>
    <w:p w14:paraId="4FB0D34D" w14:textId="77777777" w:rsidR="0003123B" w:rsidRDefault="0003123B" w:rsidP="0003123B">
      <w:pPr>
        <w:spacing w:after="0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</w:p>
    <w:p w14:paraId="4DA70C29" w14:textId="02E411B7" w:rsidR="0003123B" w:rsidRDefault="0003123B" w:rsidP="0003123B">
      <w:pPr>
        <w:spacing w:after="0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Due to barriers clients may face in communicating with Case Managers and Care Coordinators during this time, cases should not be closed or considered lost to follow-up until they are responsive </w:t>
      </w:r>
      <w:r w:rsidRPr="00EF1E6A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for more than 120 days</w:t>
      </w: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. As always, number of attempts and methods of communication must be documented in the Lost to Follow-up case note template.</w:t>
      </w:r>
    </w:p>
    <w:p w14:paraId="02884564" w14:textId="40DAD1BE" w:rsidR="0003123B" w:rsidRDefault="0003123B" w:rsidP="0003123B">
      <w:pPr>
        <w:spacing w:after="0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</w:p>
    <w:p w14:paraId="7F3BCA31" w14:textId="77777777" w:rsidR="0003123B" w:rsidRDefault="0003123B" w:rsidP="0003123B">
      <w:pPr>
        <w:spacing w:after="0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Stimulus Payments </w:t>
      </w:r>
    </w:p>
    <w:p w14:paraId="33C8C94A" w14:textId="77777777" w:rsidR="0003123B" w:rsidRPr="00EF4F6F" w:rsidRDefault="0003123B" w:rsidP="0003123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85EEC2C" w14:textId="3F0806A8" w:rsidR="0003123B" w:rsidRPr="0003123B" w:rsidRDefault="0003123B" w:rsidP="0028375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COVID-related s</w:t>
      </w:r>
      <w:r w:rsidRPr="00EF1E6A">
        <w:rPr>
          <w:rFonts w:ascii="Arial" w:eastAsia="Times New Roman" w:hAnsi="Arial" w:cs="Arial"/>
          <w:sz w:val="24"/>
          <w:szCs w:val="24"/>
        </w:rPr>
        <w:t xml:space="preserve">timulus </w:t>
      </w:r>
      <w:r>
        <w:rPr>
          <w:rFonts w:ascii="Arial" w:eastAsia="Times New Roman" w:hAnsi="Arial" w:cs="Arial"/>
          <w:sz w:val="24"/>
          <w:szCs w:val="24"/>
        </w:rPr>
        <w:t>payments</w:t>
      </w:r>
      <w:r w:rsidRPr="00EF1E6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are income for Ryan White purposes. This includes one-time stimulus checks for individuals, and the weekly federal unemployment enhancement of up to</w:t>
      </w:r>
      <w:r w:rsidRPr="00EF1E6A">
        <w:rPr>
          <w:rFonts w:ascii="Arial" w:eastAsia="Times New Roman" w:hAnsi="Arial" w:cs="Arial"/>
          <w:sz w:val="24"/>
          <w:szCs w:val="24"/>
        </w:rPr>
        <w:t xml:space="preserve"> $600 </w:t>
      </w:r>
      <w:r>
        <w:rPr>
          <w:rFonts w:ascii="Arial" w:eastAsia="Times New Roman" w:hAnsi="Arial" w:cs="Arial"/>
          <w:sz w:val="24"/>
          <w:szCs w:val="24"/>
        </w:rPr>
        <w:t>weekly</w:t>
      </w:r>
      <w:r w:rsidRPr="00EF1E6A">
        <w:rPr>
          <w:rFonts w:ascii="Arial" w:eastAsia="Times New Roman" w:hAnsi="Arial" w:cs="Arial"/>
          <w:sz w:val="24"/>
          <w:szCs w:val="24"/>
        </w:rPr>
        <w:t>. Regular unemployment benefits must be counted as income.</w:t>
      </w:r>
    </w:p>
    <w:p w14:paraId="0A6BAD6A" w14:textId="475C9CBF" w:rsidR="00854BF3" w:rsidRPr="00A432FD" w:rsidRDefault="00854BF3" w:rsidP="00A432FD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283755">
        <w:rPr>
          <w:rFonts w:ascii="Arial" w:hAnsi="Arial" w:cs="Arial"/>
          <w:b/>
          <w:bCs/>
          <w:sz w:val="24"/>
          <w:szCs w:val="24"/>
        </w:rPr>
        <w:t>CAREWare</w:t>
      </w:r>
      <w:proofErr w:type="spellEnd"/>
    </w:p>
    <w:p w14:paraId="70AD779B" w14:textId="7C9F5182" w:rsidR="00746A71" w:rsidRDefault="00746A71" w:rsidP="00746A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Part B Case Management agency will continue to complete all necessary </w:t>
      </w:r>
      <w:proofErr w:type="spellStart"/>
      <w:r>
        <w:rPr>
          <w:rFonts w:ascii="Arial" w:hAnsi="Arial" w:cs="Arial"/>
          <w:sz w:val="24"/>
          <w:szCs w:val="24"/>
        </w:rPr>
        <w:t>CAREWare</w:t>
      </w:r>
      <w:proofErr w:type="spellEnd"/>
      <w:r>
        <w:rPr>
          <w:rFonts w:ascii="Arial" w:hAnsi="Arial" w:cs="Arial"/>
          <w:sz w:val="24"/>
          <w:szCs w:val="24"/>
        </w:rPr>
        <w:t xml:space="preserve"> documentation and updates. </w:t>
      </w:r>
    </w:p>
    <w:p w14:paraId="2783307A" w14:textId="0706DDCB" w:rsidR="00746A71" w:rsidRDefault="00746A71" w:rsidP="00746A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case note templates to note which documentation must be collected at next eligibility review, and phone/virtual assessments and screenings, per guidance above. For high acuity clients, include your follow-up plan on the client’s Care Plan.</w:t>
      </w:r>
    </w:p>
    <w:p w14:paraId="70237A59" w14:textId="7AA4F8FE" w:rsidR="00746A71" w:rsidRDefault="00746A71" w:rsidP="00746A71">
      <w:pPr>
        <w:rPr>
          <w:rFonts w:ascii="Arial" w:hAnsi="Arial" w:cs="Arial"/>
          <w:sz w:val="24"/>
          <w:szCs w:val="24"/>
        </w:rPr>
      </w:pPr>
      <w:r w:rsidRPr="004B74FE">
        <w:rPr>
          <w:rFonts w:ascii="Arial" w:hAnsi="Arial" w:cs="Arial"/>
          <w:sz w:val="24"/>
          <w:szCs w:val="24"/>
        </w:rPr>
        <w:t xml:space="preserve">Please let </w:t>
      </w:r>
      <w:hyperlink r:id="rId13" w:history="1">
        <w:r w:rsidRPr="004B74FE">
          <w:rPr>
            <w:rStyle w:val="Hyperlink"/>
            <w:rFonts w:ascii="Arial" w:hAnsi="Arial" w:cs="Arial"/>
            <w:sz w:val="24"/>
            <w:szCs w:val="24"/>
          </w:rPr>
          <w:t>Laura Yantz</w:t>
        </w:r>
      </w:hyperlink>
      <w:r w:rsidRPr="004B74FE">
        <w:rPr>
          <w:rFonts w:ascii="Arial" w:hAnsi="Arial" w:cs="Arial"/>
          <w:sz w:val="24"/>
          <w:szCs w:val="24"/>
        </w:rPr>
        <w:t xml:space="preserve"> know if you have any trouble accessing or entering data </w:t>
      </w:r>
      <w:r w:rsidR="009002E9">
        <w:rPr>
          <w:rFonts w:ascii="Arial" w:hAnsi="Arial" w:cs="Arial"/>
          <w:sz w:val="24"/>
          <w:szCs w:val="24"/>
        </w:rPr>
        <w:t>in</w:t>
      </w:r>
      <w:r w:rsidR="000312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02E9">
        <w:rPr>
          <w:rFonts w:ascii="Arial" w:hAnsi="Arial" w:cs="Arial"/>
          <w:sz w:val="24"/>
          <w:szCs w:val="24"/>
        </w:rPr>
        <w:t>CAREWare</w:t>
      </w:r>
      <w:proofErr w:type="spellEnd"/>
      <w:r w:rsidR="009002E9">
        <w:rPr>
          <w:rFonts w:ascii="Arial" w:hAnsi="Arial" w:cs="Arial"/>
          <w:sz w:val="24"/>
          <w:szCs w:val="24"/>
        </w:rPr>
        <w:t>.</w:t>
      </w:r>
    </w:p>
    <w:p w14:paraId="1C199B0D" w14:textId="057EEFE8" w:rsidR="00746A71" w:rsidRDefault="00746A71" w:rsidP="00746A71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</w:rPr>
        <w:t>Reminder: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auto"/>
        </w:rPr>
        <w:t xml:space="preserve">Agencies may elect to exceed service caps for critical Ryan White services </w:t>
      </w:r>
      <w:r w:rsidR="0003123B">
        <w:rPr>
          <w:rFonts w:ascii="Arial" w:hAnsi="Arial" w:cs="Arial"/>
          <w:color w:val="auto"/>
        </w:rPr>
        <w:t>including, but not limited to,</w:t>
      </w:r>
      <w:r>
        <w:rPr>
          <w:rFonts w:ascii="Arial" w:hAnsi="Arial" w:cs="Arial"/>
          <w:color w:val="auto"/>
        </w:rPr>
        <w:t xml:space="preserve"> </w:t>
      </w:r>
      <w:r w:rsidR="0003123B">
        <w:rPr>
          <w:rFonts w:ascii="Arial" w:hAnsi="Arial" w:cs="Arial"/>
          <w:color w:val="auto"/>
        </w:rPr>
        <w:t>food cards, transportation assistance, medication assistance and EFA</w:t>
      </w:r>
      <w:r>
        <w:rPr>
          <w:rFonts w:ascii="Arial" w:hAnsi="Arial" w:cs="Arial"/>
          <w:color w:val="auto"/>
        </w:rPr>
        <w:t xml:space="preserve">. Consult the </w:t>
      </w:r>
      <w:hyperlink r:id="rId14" w:history="1">
        <w:r>
          <w:rPr>
            <w:rStyle w:val="Hyperlink"/>
            <w:rFonts w:ascii="Arial" w:hAnsi="Arial" w:cs="Arial"/>
          </w:rPr>
          <w:t>Support Services Guide</w:t>
        </w:r>
      </w:hyperlink>
      <w:r>
        <w:rPr>
          <w:rFonts w:ascii="Arial" w:hAnsi="Arial" w:cs="Arial"/>
          <w:color w:val="auto"/>
        </w:rPr>
        <w:t xml:space="preserve"> or </w:t>
      </w:r>
      <w:hyperlink r:id="rId15" w:history="1">
        <w:proofErr w:type="spellStart"/>
        <w:r>
          <w:rPr>
            <w:rStyle w:val="Hyperlink"/>
            <w:rFonts w:ascii="Arial" w:hAnsi="Arial" w:cs="Arial"/>
          </w:rPr>
          <w:t>DeAnna</w:t>
        </w:r>
        <w:proofErr w:type="spellEnd"/>
        <w:r>
          <w:rPr>
            <w:rStyle w:val="Hyperlink"/>
            <w:rFonts w:ascii="Arial" w:hAnsi="Arial" w:cs="Arial"/>
          </w:rPr>
          <w:t xml:space="preserve"> Kreidler</w:t>
        </w:r>
      </w:hyperlink>
      <w:r>
        <w:rPr>
          <w:rFonts w:ascii="Arial" w:hAnsi="Arial" w:cs="Arial"/>
          <w:color w:val="auto"/>
        </w:rPr>
        <w:t xml:space="preserve"> with questions about documentation:</w:t>
      </w:r>
    </w:p>
    <w:p w14:paraId="15FD91E2" w14:textId="77777777" w:rsidR="0003123B" w:rsidRDefault="0003123B" w:rsidP="0028375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206F617" w14:textId="308AD7FB" w:rsidR="00283755" w:rsidRPr="00112DE5" w:rsidRDefault="0003123B" w:rsidP="0028375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</w:t>
      </w:r>
      <w:r w:rsidR="00283755">
        <w:rPr>
          <w:rFonts w:ascii="Arial" w:hAnsi="Arial" w:cs="Arial"/>
          <w:b/>
          <w:bCs/>
          <w:sz w:val="24"/>
          <w:szCs w:val="24"/>
        </w:rPr>
        <w:t>ARES Act Funds</w:t>
      </w:r>
    </w:p>
    <w:p w14:paraId="0A3157EE" w14:textId="77777777" w:rsidR="00283755" w:rsidRDefault="00283755" w:rsidP="00283755">
      <w:pPr>
        <w:spacing w:after="0"/>
        <w:rPr>
          <w:rFonts w:eastAsiaTheme="minorEastAsia"/>
          <w:noProof/>
          <w:color w:val="2F5496"/>
        </w:rPr>
      </w:pPr>
    </w:p>
    <w:p w14:paraId="14557091" w14:textId="045E4D30" w:rsidR="00283755" w:rsidRDefault="00283755" w:rsidP="00283755">
      <w:pPr>
        <w:rPr>
          <w:rFonts w:ascii="Arial" w:hAnsi="Arial" w:cs="Arial"/>
          <w:sz w:val="24"/>
          <w:szCs w:val="24"/>
        </w:rPr>
      </w:pPr>
      <w:r w:rsidRPr="00283755">
        <w:rPr>
          <w:rFonts w:ascii="Arial" w:hAnsi="Arial" w:cs="Arial"/>
          <w:sz w:val="24"/>
          <w:szCs w:val="24"/>
        </w:rPr>
        <w:t>HRSA</w:t>
      </w:r>
      <w:r w:rsidR="00260720">
        <w:rPr>
          <w:rFonts w:ascii="Arial" w:hAnsi="Arial" w:cs="Arial"/>
          <w:sz w:val="24"/>
          <w:szCs w:val="24"/>
        </w:rPr>
        <w:t xml:space="preserve"> has</w:t>
      </w:r>
      <w:r w:rsidRPr="00283755">
        <w:rPr>
          <w:rFonts w:ascii="Arial" w:hAnsi="Arial" w:cs="Arial"/>
          <w:sz w:val="24"/>
          <w:szCs w:val="24"/>
        </w:rPr>
        <w:t xml:space="preserve"> awarded Oregon’s Part B program </w:t>
      </w:r>
      <w:r w:rsidRPr="00283755">
        <w:rPr>
          <w:rFonts w:ascii="Arial" w:hAnsi="Arial" w:cs="Arial"/>
          <w:b/>
          <w:bCs/>
          <w:sz w:val="24"/>
          <w:szCs w:val="24"/>
        </w:rPr>
        <w:t>$166,220</w:t>
      </w:r>
      <w:r w:rsidRPr="00283755">
        <w:rPr>
          <w:rFonts w:ascii="Arial" w:hAnsi="Arial" w:cs="Arial"/>
          <w:sz w:val="24"/>
          <w:szCs w:val="24"/>
        </w:rPr>
        <w:t xml:space="preserve"> in supplemental funding to </w:t>
      </w:r>
      <w:r w:rsidRPr="00283755">
        <w:rPr>
          <w:rFonts w:ascii="Arial" w:hAnsi="Arial" w:cs="Arial"/>
          <w:b/>
          <w:bCs/>
          <w:sz w:val="24"/>
          <w:szCs w:val="24"/>
        </w:rPr>
        <w:t>prevent, prepare and respond to COVID-19 in Oregon</w:t>
      </w:r>
      <w:r w:rsidRPr="00283755">
        <w:rPr>
          <w:rFonts w:ascii="Arial" w:hAnsi="Arial" w:cs="Arial"/>
          <w:sz w:val="24"/>
          <w:szCs w:val="24"/>
        </w:rPr>
        <w:t xml:space="preserve">. This funding is part of the Coronavirus Aid, Relief and Economic Security (CARES) Act. OHA used the approved CLHO formula to allocate and distribute funds across all Part B </w:t>
      </w:r>
      <w:r w:rsidR="00A432FD">
        <w:rPr>
          <w:rFonts w:ascii="Arial" w:hAnsi="Arial" w:cs="Arial"/>
          <w:sz w:val="24"/>
          <w:szCs w:val="24"/>
        </w:rPr>
        <w:t xml:space="preserve">Case </w:t>
      </w:r>
      <w:r w:rsidRPr="00283755">
        <w:rPr>
          <w:rFonts w:ascii="Arial" w:hAnsi="Arial" w:cs="Arial"/>
          <w:sz w:val="24"/>
          <w:szCs w:val="24"/>
        </w:rPr>
        <w:t xml:space="preserve">Management </w:t>
      </w:r>
      <w:r w:rsidR="00A432FD">
        <w:rPr>
          <w:rFonts w:ascii="Arial" w:hAnsi="Arial" w:cs="Arial"/>
          <w:sz w:val="24"/>
          <w:szCs w:val="24"/>
        </w:rPr>
        <w:t>agencies.</w:t>
      </w:r>
    </w:p>
    <w:p w14:paraId="5F9E695A" w14:textId="72040801" w:rsidR="0003123B" w:rsidRDefault="00283755" w:rsidP="00283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Allowable services</w:t>
      </w:r>
      <w:r w:rsidR="00A702F8">
        <w:rPr>
          <w:rFonts w:ascii="Arial" w:hAnsi="Arial" w:cs="Arial"/>
          <w:sz w:val="24"/>
          <w:szCs w:val="24"/>
        </w:rPr>
        <w:t xml:space="preserve"> (contingent upon provider accepting funds)</w:t>
      </w:r>
      <w:r>
        <w:rPr>
          <w:rFonts w:ascii="Arial" w:hAnsi="Arial" w:cs="Arial"/>
          <w:sz w:val="24"/>
          <w:szCs w:val="24"/>
        </w:rPr>
        <w:t xml:space="preserve"> include</w:t>
      </w:r>
      <w:r w:rsidR="00A432FD">
        <w:rPr>
          <w:rFonts w:ascii="Arial" w:hAnsi="Arial" w:cs="Arial"/>
          <w:sz w:val="24"/>
          <w:szCs w:val="24"/>
        </w:rPr>
        <w:t xml:space="preserve"> the following. Additional examples can be found </w:t>
      </w:r>
      <w:hyperlink r:id="rId16" w:history="1">
        <w:r w:rsidR="00A432FD" w:rsidRPr="00A432FD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03123B">
        <w:rPr>
          <w:rFonts w:ascii="Arial" w:hAnsi="Arial" w:cs="Arial"/>
          <w:sz w:val="24"/>
          <w:szCs w:val="24"/>
        </w:rPr>
        <w:t>.</w:t>
      </w:r>
    </w:p>
    <w:p w14:paraId="51D21BED" w14:textId="500D647E" w:rsidR="00283755" w:rsidRPr="000C7003" w:rsidRDefault="00283755" w:rsidP="0028375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 w:rsidRPr="000C7003">
        <w:rPr>
          <w:rFonts w:ascii="Arial" w:hAnsi="Arial" w:cs="Arial"/>
          <w:sz w:val="24"/>
          <w:szCs w:val="24"/>
          <w:u w:val="single"/>
        </w:rPr>
        <w:t>COVID-related Supplies</w:t>
      </w:r>
    </w:p>
    <w:p w14:paraId="53394F0C" w14:textId="748AD4B1" w:rsidR="00A432FD" w:rsidRDefault="00A432FD" w:rsidP="00A432FD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Examples: Personal Protective Equipment (PPE) such as gloves or face coverings; cleaning supplies</w:t>
      </w:r>
    </w:p>
    <w:p w14:paraId="2CD50460" w14:textId="3570F563" w:rsidR="00A432FD" w:rsidRDefault="00A432FD" w:rsidP="00A432FD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are for agency use only; COVID-related client supplies must be charged to appropriate EFA in </w:t>
      </w:r>
      <w:proofErr w:type="spellStart"/>
      <w:r>
        <w:rPr>
          <w:rFonts w:ascii="Arial" w:hAnsi="Arial" w:cs="Arial"/>
          <w:sz w:val="24"/>
          <w:szCs w:val="24"/>
        </w:rPr>
        <w:t>CAREWare</w:t>
      </w:r>
      <w:proofErr w:type="spellEnd"/>
    </w:p>
    <w:p w14:paraId="1C3D4088" w14:textId="0C466341" w:rsidR="00283755" w:rsidRPr="000C7003" w:rsidRDefault="00283755" w:rsidP="0028375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 w:rsidRPr="000C7003">
        <w:rPr>
          <w:rFonts w:ascii="Arial" w:hAnsi="Arial" w:cs="Arial"/>
          <w:sz w:val="24"/>
          <w:szCs w:val="24"/>
          <w:u w:val="single"/>
        </w:rPr>
        <w:t>COVID-related Equipment</w:t>
      </w:r>
    </w:p>
    <w:p w14:paraId="035A5AFB" w14:textId="4189ED71" w:rsidR="00A432FD" w:rsidRPr="00260720" w:rsidRDefault="00A432FD" w:rsidP="00A432FD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Examples: laptops </w:t>
      </w:r>
      <w:r w:rsidRPr="00260720">
        <w:rPr>
          <w:rFonts w:ascii="Arial" w:hAnsi="Arial" w:cs="Arial"/>
          <w:sz w:val="24"/>
          <w:szCs w:val="24"/>
        </w:rPr>
        <w:t>or other IT items necessary to set staff up to telework</w:t>
      </w:r>
    </w:p>
    <w:p w14:paraId="2433E54F" w14:textId="30C3DBE4" w:rsidR="00260720" w:rsidRPr="000C7003" w:rsidRDefault="00283755" w:rsidP="0026072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 w:rsidRPr="000C7003">
        <w:rPr>
          <w:rFonts w:ascii="Arial" w:hAnsi="Arial" w:cs="Arial"/>
          <w:sz w:val="24"/>
          <w:szCs w:val="24"/>
          <w:u w:val="single"/>
        </w:rPr>
        <w:t>COVID-related E</w:t>
      </w:r>
      <w:r w:rsidR="00104984" w:rsidRPr="000C7003">
        <w:rPr>
          <w:rFonts w:ascii="Arial" w:hAnsi="Arial" w:cs="Arial"/>
          <w:sz w:val="24"/>
          <w:szCs w:val="24"/>
          <w:u w:val="single"/>
        </w:rPr>
        <w:t>mergency Financial Assistance (EFA)</w:t>
      </w:r>
    </w:p>
    <w:p w14:paraId="2064C38B" w14:textId="526143FE" w:rsidR="00260720" w:rsidRPr="00D26CF9" w:rsidRDefault="00260720" w:rsidP="00260720">
      <w:pPr>
        <w:pStyle w:val="ListParagraph"/>
        <w:numPr>
          <w:ilvl w:val="1"/>
          <w:numId w:val="6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Examples: EFA – Other may include tents, sleeping bags and tarps; EFA – Utilities may include pre-paid cell phones</w:t>
      </w:r>
    </w:p>
    <w:p w14:paraId="7BD9287D" w14:textId="0CD62680" w:rsidR="0003123B" w:rsidRPr="0003123B" w:rsidRDefault="00D26CF9" w:rsidP="0003123B">
      <w:pPr>
        <w:pStyle w:val="ListParagraph"/>
        <w:numPr>
          <w:ilvl w:val="1"/>
          <w:numId w:val="6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60720">
        <w:rPr>
          <w:rFonts w:ascii="Arial" w:hAnsi="Arial" w:cs="Arial"/>
          <w:sz w:val="24"/>
          <w:szCs w:val="24"/>
        </w:rPr>
        <w:t xml:space="preserve">These include all subcategories listed in the </w:t>
      </w:r>
      <w:hyperlink r:id="rId17" w:history="1">
        <w:r w:rsidRPr="00260720">
          <w:rPr>
            <w:rStyle w:val="Hyperlink"/>
            <w:rFonts w:ascii="Arial" w:eastAsia="Times New Roman" w:hAnsi="Arial" w:cs="Arial"/>
            <w:sz w:val="24"/>
            <w:szCs w:val="24"/>
          </w:rPr>
          <w:t>Support Services Guide</w:t>
        </w:r>
      </w:hyperlink>
      <w:r w:rsidRPr="00260720">
        <w:rPr>
          <w:rStyle w:val="Hyperlink"/>
          <w:rFonts w:ascii="Arial" w:eastAsia="Times New Roman" w:hAnsi="Arial" w:cs="Arial"/>
          <w:sz w:val="24"/>
          <w:szCs w:val="24"/>
        </w:rPr>
        <w:t xml:space="preserve"> </w:t>
      </w:r>
      <w:r w:rsidRPr="00260720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and must be entered as COVID EFA in </w:t>
      </w:r>
      <w:proofErr w:type="spellStart"/>
      <w:r w:rsidRPr="00260720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CAREWare</w:t>
      </w:r>
      <w:proofErr w:type="spellEnd"/>
      <w:r w:rsidRPr="00260720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.</w:t>
      </w:r>
    </w:p>
    <w:p w14:paraId="0E8FB706" w14:textId="724A78A5" w:rsidR="0003123B" w:rsidRPr="0003123B" w:rsidRDefault="0003123B" w:rsidP="0003123B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03123B">
        <w:rPr>
          <w:rFonts w:ascii="Arial" w:hAnsi="Arial" w:cs="Arial"/>
          <w:sz w:val="24"/>
          <w:szCs w:val="24"/>
        </w:rPr>
        <w:t xml:space="preserve">More information on these services can be found on our </w:t>
      </w:r>
      <w:hyperlink r:id="rId18" w:history="1">
        <w:r w:rsidRPr="0003123B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 w:rsidRPr="0003123B">
        <w:rPr>
          <w:rStyle w:val="Hyperlink"/>
          <w:rFonts w:ascii="Arial" w:hAnsi="Arial" w:cs="Arial"/>
          <w:sz w:val="24"/>
          <w:szCs w:val="24"/>
        </w:rPr>
        <w:t xml:space="preserve"> </w:t>
      </w:r>
      <w:r w:rsidRPr="0003123B">
        <w:rPr>
          <w:rFonts w:ascii="Arial" w:hAnsi="Arial" w:cs="Arial"/>
          <w:sz w:val="24"/>
          <w:szCs w:val="24"/>
        </w:rPr>
        <w:t>in the updated Quick Guides.</w:t>
      </w:r>
    </w:p>
    <w:p w14:paraId="106A5BF7" w14:textId="6B54C46A" w:rsidR="00104984" w:rsidRPr="000C7003" w:rsidRDefault="00104984" w:rsidP="0028375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 w:rsidRPr="000C7003">
        <w:rPr>
          <w:rFonts w:ascii="Arial" w:hAnsi="Arial" w:cs="Arial"/>
          <w:sz w:val="24"/>
          <w:szCs w:val="24"/>
          <w:u w:val="single"/>
        </w:rPr>
        <w:t>Administrative Costs (not to exceed 10% of above categories)</w:t>
      </w:r>
    </w:p>
    <w:p w14:paraId="3716B0F4" w14:textId="51135021" w:rsidR="00A702F8" w:rsidRDefault="00A702F8" w:rsidP="000C7003">
      <w:pPr>
        <w:spacing w:after="0"/>
        <w:rPr>
          <w:rStyle w:val="Hyperlink"/>
          <w:rFonts w:ascii="Arial" w:eastAsia="Times New Roman" w:hAnsi="Arial" w:cs="Arial"/>
          <w:color w:val="auto"/>
          <w:u w:val="none"/>
        </w:rPr>
      </w:pPr>
    </w:p>
    <w:p w14:paraId="242C70B9" w14:textId="3019BA58" w:rsidR="00972B17" w:rsidRPr="00112DE5" w:rsidRDefault="00972B17" w:rsidP="00972B1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OPHOP’s Hotel/Motel Assistance for COVID Response</w:t>
      </w:r>
    </w:p>
    <w:p w14:paraId="57ED3628" w14:textId="77777777" w:rsidR="00972B17" w:rsidRDefault="00972B17" w:rsidP="00972B17">
      <w:pPr>
        <w:spacing w:after="0"/>
        <w:rPr>
          <w:rFonts w:eastAsiaTheme="minorEastAsia"/>
          <w:noProof/>
          <w:color w:val="2F5496"/>
        </w:rPr>
      </w:pPr>
    </w:p>
    <w:p w14:paraId="1BFC0A1B" w14:textId="16646690" w:rsidR="00972B17" w:rsidRPr="00836FAD" w:rsidRDefault="00972B17" w:rsidP="000C7003">
      <w:pPr>
        <w:rPr>
          <w:rFonts w:ascii="Arial" w:hAnsi="Arial" w:cs="Arial"/>
          <w:sz w:val="24"/>
          <w:szCs w:val="24"/>
        </w:rPr>
      </w:pPr>
      <w:bookmarkStart w:id="2" w:name="_Hlk42094749"/>
      <w:r w:rsidRPr="00836FAD">
        <w:rPr>
          <w:rFonts w:ascii="Arial" w:hAnsi="Arial" w:cs="Arial"/>
          <w:color w:val="000000"/>
          <w:sz w:val="24"/>
          <w:szCs w:val="24"/>
          <w:lang w:val="en"/>
        </w:rPr>
        <w:t>O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regon </w:t>
      </w:r>
      <w:r w:rsidRPr="00836FAD">
        <w:rPr>
          <w:rFonts w:ascii="Arial" w:hAnsi="Arial" w:cs="Arial"/>
          <w:color w:val="000000"/>
          <w:sz w:val="24"/>
          <w:szCs w:val="24"/>
          <w:lang w:val="en"/>
        </w:rPr>
        <w:t>H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ousing </w:t>
      </w:r>
      <w:r w:rsidRPr="00836FAD">
        <w:rPr>
          <w:rFonts w:ascii="Arial" w:hAnsi="Arial" w:cs="Arial"/>
          <w:color w:val="000000"/>
          <w:sz w:val="24"/>
          <w:szCs w:val="24"/>
          <w:lang w:val="en"/>
        </w:rPr>
        <w:t>O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pportunities in </w:t>
      </w:r>
      <w:r w:rsidRPr="00836FAD">
        <w:rPr>
          <w:rFonts w:ascii="Arial" w:hAnsi="Arial" w:cs="Arial"/>
          <w:color w:val="000000"/>
          <w:sz w:val="24"/>
          <w:szCs w:val="24"/>
          <w:lang w:val="en"/>
        </w:rPr>
        <w:t>P</w:t>
      </w:r>
      <w:r>
        <w:rPr>
          <w:rFonts w:ascii="Arial" w:hAnsi="Arial" w:cs="Arial"/>
          <w:color w:val="000000"/>
          <w:sz w:val="24"/>
          <w:szCs w:val="24"/>
          <w:lang w:val="en"/>
        </w:rPr>
        <w:t>artnership (OHOP)</w:t>
      </w:r>
      <w:r w:rsidRPr="00836FAD">
        <w:rPr>
          <w:rFonts w:ascii="Arial" w:hAnsi="Arial" w:cs="Arial"/>
          <w:color w:val="000000"/>
          <w:sz w:val="24"/>
          <w:szCs w:val="24"/>
          <w:lang w:val="en"/>
        </w:rPr>
        <w:t xml:space="preserve"> is providing </w:t>
      </w:r>
      <w:r w:rsidRPr="00836FAD">
        <w:rPr>
          <w:rFonts w:ascii="Arial" w:hAnsi="Arial" w:cs="Arial"/>
          <w:sz w:val="24"/>
          <w:szCs w:val="24"/>
        </w:rPr>
        <w:t xml:space="preserve">relocation and temporary lodging services through hotel/motel stays or short-term rentals for COVID response. This assistance is for isolation, quarantine and/ or short-term stabilization to support the health of a person living with HIV who is vulnerable to </w:t>
      </w:r>
      <w:r w:rsidR="000C7003">
        <w:rPr>
          <w:rFonts w:ascii="Arial" w:hAnsi="Arial" w:cs="Arial"/>
          <w:sz w:val="24"/>
          <w:szCs w:val="24"/>
        </w:rPr>
        <w:t xml:space="preserve">or has been impacted by </w:t>
      </w:r>
      <w:r w:rsidRPr="00836FAD">
        <w:rPr>
          <w:rFonts w:ascii="Arial" w:hAnsi="Arial" w:cs="Arial"/>
          <w:sz w:val="24"/>
          <w:szCs w:val="24"/>
        </w:rPr>
        <w:t xml:space="preserve">COVID-19. </w:t>
      </w:r>
      <w:bookmarkEnd w:id="2"/>
    </w:p>
    <w:p w14:paraId="42D85C40" w14:textId="19F156DD" w:rsidR="00972B17" w:rsidRDefault="00972B17" w:rsidP="000C7003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</w:rPr>
      </w:pPr>
      <w:r w:rsidRPr="00836FAD">
        <w:rPr>
          <w:rFonts w:ascii="Arial" w:eastAsia="Times New Roman" w:hAnsi="Arial" w:cs="Arial"/>
          <w:sz w:val="24"/>
          <w:szCs w:val="24"/>
        </w:rPr>
        <w:t xml:space="preserve">Clients </w:t>
      </w:r>
      <w:r w:rsidR="000C7003">
        <w:rPr>
          <w:rFonts w:ascii="Arial" w:eastAsia="Times New Roman" w:hAnsi="Arial" w:cs="Arial"/>
          <w:sz w:val="24"/>
          <w:szCs w:val="24"/>
        </w:rPr>
        <w:t>may</w:t>
      </w:r>
      <w:r w:rsidRPr="00836FAD">
        <w:rPr>
          <w:rFonts w:ascii="Arial" w:eastAsia="Times New Roman" w:hAnsi="Arial" w:cs="Arial"/>
          <w:sz w:val="24"/>
          <w:szCs w:val="24"/>
        </w:rPr>
        <w:t xml:space="preserve"> be referred to this service by their Ryan White Provider or OHOP Housing Coordinator (HC) using the </w:t>
      </w:r>
      <w:r w:rsidRPr="00836FAD">
        <w:rPr>
          <w:rFonts w:ascii="Arial" w:eastAsia="Times New Roman" w:hAnsi="Arial" w:cs="Arial"/>
          <w:b/>
          <w:bCs/>
          <w:sz w:val="24"/>
          <w:szCs w:val="24"/>
        </w:rPr>
        <w:t>Hotel/Motel Client Referral</w:t>
      </w:r>
      <w:r w:rsidRPr="00836FAD">
        <w:rPr>
          <w:rFonts w:ascii="Arial" w:eastAsia="Times New Roman" w:hAnsi="Arial" w:cs="Arial"/>
          <w:sz w:val="24"/>
          <w:szCs w:val="24"/>
        </w:rPr>
        <w:t xml:space="preserve"> posted </w:t>
      </w:r>
      <w:hyperlink r:id="rId19" w:history="1">
        <w:r w:rsidRPr="00836FAD">
          <w:rPr>
            <w:rStyle w:val="Hyperlink"/>
            <w:rFonts w:ascii="Arial" w:eastAsia="Times New Roman" w:hAnsi="Arial" w:cs="Arial"/>
            <w:sz w:val="24"/>
            <w:szCs w:val="24"/>
          </w:rPr>
          <w:t>here</w:t>
        </w:r>
      </w:hyperlink>
      <w:r w:rsidRPr="00836FAD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A9E21F8" w14:textId="77777777" w:rsidR="000C7003" w:rsidRDefault="000C7003" w:rsidP="000C7003">
      <w:pPr>
        <w:pStyle w:val="ListParagraph"/>
        <w:rPr>
          <w:rFonts w:ascii="Arial" w:eastAsia="Times New Roman" w:hAnsi="Arial" w:cs="Arial"/>
          <w:sz w:val="24"/>
          <w:szCs w:val="24"/>
        </w:rPr>
      </w:pPr>
      <w:bookmarkStart w:id="3" w:name="_GoBack"/>
      <w:bookmarkEnd w:id="3"/>
    </w:p>
    <w:p w14:paraId="2C9A1829" w14:textId="0AA93F62" w:rsidR="000C7003" w:rsidRPr="000C7003" w:rsidRDefault="000C7003" w:rsidP="000C7003">
      <w:pPr>
        <w:pStyle w:val="ListParagraph"/>
        <w:numPr>
          <w:ilvl w:val="1"/>
          <w:numId w:val="10"/>
        </w:numPr>
        <w:rPr>
          <w:rFonts w:ascii="Arial" w:eastAsia="Times New Roman" w:hAnsi="Arial" w:cs="Arial"/>
          <w:sz w:val="24"/>
          <w:szCs w:val="24"/>
        </w:rPr>
      </w:pPr>
      <w:r w:rsidRPr="00836FAD">
        <w:rPr>
          <w:rFonts w:ascii="Arial" w:eastAsia="Times New Roman" w:hAnsi="Arial" w:cs="Arial"/>
          <w:sz w:val="24"/>
          <w:szCs w:val="24"/>
        </w:rPr>
        <w:t xml:space="preserve">Please thoroughly respond to the prompt in the middle of the referral form: </w:t>
      </w:r>
      <w:r w:rsidRPr="000C7003">
        <w:rPr>
          <w:rFonts w:ascii="Arial" w:eastAsia="Times New Roman" w:hAnsi="Arial" w:cs="Arial"/>
          <w:b/>
          <w:bCs/>
          <w:i/>
          <w:iCs/>
          <w:sz w:val="24"/>
          <w:szCs w:val="24"/>
        </w:rPr>
        <w:t>Explain client’s vulnerability to COVID-19 and urgent need to stabilize health and wellness.</w:t>
      </w:r>
      <w:r w:rsidRPr="00836FA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836FAD">
        <w:rPr>
          <w:rFonts w:ascii="Arial" w:eastAsia="Times New Roman" w:hAnsi="Arial" w:cs="Arial"/>
          <w:sz w:val="24"/>
          <w:szCs w:val="24"/>
        </w:rPr>
        <w:t>As this program is CARES Act-funded, we must have justification that funds are being used to prepare, prevent and respond to COVID-19.</w:t>
      </w:r>
    </w:p>
    <w:p w14:paraId="21BDE58B" w14:textId="77777777" w:rsidR="000C7003" w:rsidRPr="000C7003" w:rsidRDefault="000C7003" w:rsidP="000C7003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0157E064" w14:textId="33BBFEFF" w:rsidR="00972B17" w:rsidRDefault="00972B17" w:rsidP="00972B1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</w:rPr>
      </w:pPr>
      <w:r w:rsidRPr="00836FAD">
        <w:rPr>
          <w:rFonts w:ascii="Arial" w:eastAsia="Times New Roman" w:hAnsi="Arial" w:cs="Arial"/>
          <w:sz w:val="24"/>
          <w:szCs w:val="24"/>
        </w:rPr>
        <w:t xml:space="preserve">This program is intended to complement, rather than replace, existing Housing Assistance or EFA provided by Ryan White Part B programs. </w:t>
      </w:r>
    </w:p>
    <w:p w14:paraId="0EC24FDD" w14:textId="77777777" w:rsidR="00972B17" w:rsidRPr="00836FAD" w:rsidRDefault="00972B17" w:rsidP="00972B17">
      <w:pPr>
        <w:pStyle w:val="ListParagraph"/>
        <w:rPr>
          <w:rFonts w:ascii="Arial" w:hAnsi="Arial" w:cs="Arial"/>
          <w:sz w:val="24"/>
          <w:szCs w:val="24"/>
        </w:rPr>
      </w:pPr>
    </w:p>
    <w:p w14:paraId="4F7E856F" w14:textId="77777777" w:rsidR="00972B17" w:rsidRPr="00836FAD" w:rsidRDefault="00972B17" w:rsidP="00972B1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</w:rPr>
      </w:pPr>
      <w:r w:rsidRPr="00836FAD">
        <w:rPr>
          <w:rFonts w:ascii="Arial" w:eastAsia="Times New Roman" w:hAnsi="Arial" w:cs="Arial"/>
          <w:sz w:val="24"/>
          <w:szCs w:val="24"/>
        </w:rPr>
        <w:t xml:space="preserve">Clients who are ineligible for referral to OHOP rental subsidy assistance due to program termination will also be ineligible for hotel/motel assistance through OHOP. </w:t>
      </w:r>
    </w:p>
    <w:p w14:paraId="43D1DD59" w14:textId="77777777" w:rsidR="00972B17" w:rsidRPr="00836FAD" w:rsidRDefault="00972B17" w:rsidP="00972B17">
      <w:pPr>
        <w:pStyle w:val="ListParagraph"/>
        <w:rPr>
          <w:rFonts w:ascii="Arial" w:hAnsi="Arial" w:cs="Arial"/>
          <w:sz w:val="24"/>
          <w:szCs w:val="24"/>
        </w:rPr>
      </w:pPr>
    </w:p>
    <w:sectPr w:rsidR="00972B17" w:rsidRPr="00836FAD" w:rsidSect="000D2B82">
      <w:headerReference w:type="default" r:id="rId20"/>
      <w:headerReference w:type="first" r:id="rId21"/>
      <w:footerReference w:type="first" r:id="rId22"/>
      <w:pgSz w:w="12240" w:h="15840"/>
      <w:pgMar w:top="720" w:right="1008" w:bottom="720" w:left="1008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6EE17" w14:textId="77777777" w:rsidR="007C796B" w:rsidRDefault="007C796B" w:rsidP="007C796B">
      <w:pPr>
        <w:spacing w:after="0" w:line="240" w:lineRule="auto"/>
      </w:pPr>
      <w:r>
        <w:separator/>
      </w:r>
    </w:p>
  </w:endnote>
  <w:endnote w:type="continuationSeparator" w:id="0">
    <w:p w14:paraId="0BD6F339" w14:textId="77777777" w:rsidR="007C796B" w:rsidRDefault="007C796B" w:rsidP="007C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C48E4" w14:textId="344BCBAB" w:rsidR="00283755" w:rsidRDefault="00283755" w:rsidP="0028375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338C6" w14:textId="77777777" w:rsidR="007C796B" w:rsidRDefault="007C796B" w:rsidP="007C796B">
      <w:pPr>
        <w:spacing w:after="0" w:line="240" w:lineRule="auto"/>
      </w:pPr>
      <w:r>
        <w:separator/>
      </w:r>
    </w:p>
  </w:footnote>
  <w:footnote w:type="continuationSeparator" w:id="0">
    <w:p w14:paraId="1ADA79CA" w14:textId="77777777" w:rsidR="007C796B" w:rsidRDefault="007C796B" w:rsidP="007C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-158"/>
      <w:tblW w:w="11333" w:type="dxa"/>
      <w:tblBorders>
        <w:bottom w:val="single" w:sz="8" w:space="0" w:color="F79646"/>
        <w:insideH w:val="single" w:sz="4" w:space="0" w:color="F79646"/>
      </w:tblBorders>
      <w:tblLayout w:type="fixed"/>
      <w:tblLook w:val="00A0" w:firstRow="1" w:lastRow="0" w:firstColumn="1" w:lastColumn="0" w:noHBand="0" w:noVBand="0"/>
    </w:tblPr>
    <w:tblGrid>
      <w:gridCol w:w="1214"/>
      <w:gridCol w:w="6813"/>
      <w:gridCol w:w="3306"/>
    </w:tblGrid>
    <w:tr w:rsidR="007C796B" w14:paraId="7EF12560" w14:textId="77777777" w:rsidTr="006A0654">
      <w:trPr>
        <w:cantSplit/>
        <w:trHeight w:val="229"/>
      </w:trPr>
      <w:tc>
        <w:tcPr>
          <w:tcW w:w="1214" w:type="dxa"/>
          <w:vMerge w:val="restart"/>
          <w:tcBorders>
            <w:top w:val="nil"/>
          </w:tcBorders>
          <w:vAlign w:val="bottom"/>
        </w:tcPr>
        <w:p w14:paraId="6541D5B1" w14:textId="77777777" w:rsidR="007C796B" w:rsidRDefault="007C796B" w:rsidP="007C796B">
          <w:pPr>
            <w:ind w:left="-115"/>
            <w:jc w:val="right"/>
            <w:rPr>
              <w:color w:val="005595"/>
            </w:rPr>
          </w:pPr>
          <w:r>
            <w:rPr>
              <w:noProof/>
              <w:color w:val="005595"/>
            </w:rPr>
            <w:drawing>
              <wp:inline distT="0" distB="0" distL="0" distR="0" wp14:anchorId="3A621E1B" wp14:editId="6129BDDC">
                <wp:extent cx="564515" cy="564515"/>
                <wp:effectExtent l="19050" t="0" r="6985" b="0"/>
                <wp:docPr id="5" name="Picture 5" descr="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3" w:type="dxa"/>
          <w:tcBorders>
            <w:top w:val="nil"/>
            <w:bottom w:val="single" w:sz="12" w:space="0" w:color="F79646"/>
          </w:tcBorders>
          <w:vAlign w:val="center"/>
        </w:tcPr>
        <w:p w14:paraId="29AFC171" w14:textId="77777777" w:rsidR="007C796B" w:rsidRDefault="007C796B" w:rsidP="007C796B">
          <w:pPr>
            <w:pStyle w:val="Office"/>
            <w:ind w:left="-101"/>
            <w:rPr>
              <w:sz w:val="24"/>
            </w:rPr>
          </w:pPr>
          <w:r>
            <w:br/>
          </w:r>
        </w:p>
        <w:p w14:paraId="569CD33B" w14:textId="77777777" w:rsidR="007C796B" w:rsidRDefault="007C796B" w:rsidP="007C796B">
          <w:pPr>
            <w:pStyle w:val="Office"/>
            <w:ind w:left="-101"/>
            <w:rPr>
              <w:sz w:val="24"/>
            </w:rPr>
          </w:pPr>
          <w:r w:rsidRPr="002C0E65">
            <w:rPr>
              <w:sz w:val="24"/>
            </w:rPr>
            <w:t>OREGON PUBLIC HEALTH DIVISION</w:t>
          </w:r>
        </w:p>
        <w:p w14:paraId="59606DB3" w14:textId="77777777" w:rsidR="007C796B" w:rsidRDefault="007C796B" w:rsidP="007C796B">
          <w:pPr>
            <w:pStyle w:val="Office"/>
            <w:ind w:left="-101"/>
            <w:rPr>
              <w:sz w:val="24"/>
            </w:rPr>
          </w:pPr>
          <w:r>
            <w:rPr>
              <w:sz w:val="24"/>
            </w:rPr>
            <w:t>HIV/STD/TB</w:t>
          </w:r>
        </w:p>
        <w:p w14:paraId="635D621D" w14:textId="77777777" w:rsidR="007C796B" w:rsidRPr="00B23C5D" w:rsidRDefault="007C796B" w:rsidP="007C796B">
          <w:pPr>
            <w:pStyle w:val="Office"/>
            <w:ind w:left="-101"/>
          </w:pPr>
          <w:r>
            <w:rPr>
              <w:sz w:val="24"/>
            </w:rPr>
            <w:t>HIV Community Services Program</w:t>
          </w:r>
        </w:p>
      </w:tc>
      <w:tc>
        <w:tcPr>
          <w:tcW w:w="3306" w:type="dxa"/>
          <w:vMerge w:val="restart"/>
          <w:tcBorders>
            <w:top w:val="nil"/>
            <w:bottom w:val="single" w:sz="4" w:space="0" w:color="F79646"/>
          </w:tcBorders>
          <w:vAlign w:val="center"/>
        </w:tcPr>
        <w:p w14:paraId="1089D691" w14:textId="77777777" w:rsidR="007C796B" w:rsidRDefault="007C796B" w:rsidP="007C796B">
          <w:pPr>
            <w:spacing w:line="60" w:lineRule="exact"/>
          </w:pPr>
        </w:p>
        <w:p w14:paraId="12F93EF6" w14:textId="77777777" w:rsidR="007C796B" w:rsidRDefault="007C796B" w:rsidP="007C796B">
          <w:r>
            <w:rPr>
              <w:noProof/>
            </w:rPr>
            <w:drawing>
              <wp:inline distT="0" distB="0" distL="0" distR="0" wp14:anchorId="196588C6" wp14:editId="673CE453">
                <wp:extent cx="1868805" cy="707390"/>
                <wp:effectExtent l="1905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8805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796B" w14:paraId="503C12A0" w14:textId="77777777" w:rsidTr="006A0654">
      <w:trPr>
        <w:cantSplit/>
        <w:trHeight w:val="56"/>
      </w:trPr>
      <w:tc>
        <w:tcPr>
          <w:tcW w:w="1214" w:type="dxa"/>
          <w:vMerge/>
          <w:tcBorders>
            <w:bottom w:val="nil"/>
          </w:tcBorders>
        </w:tcPr>
        <w:p w14:paraId="0433D50E" w14:textId="77777777" w:rsidR="007C796B" w:rsidRDefault="007C796B" w:rsidP="007C796B">
          <w:pPr>
            <w:ind w:left="-108"/>
            <w:rPr>
              <w:color w:val="005595"/>
              <w:sz w:val="18"/>
            </w:rPr>
          </w:pPr>
        </w:p>
      </w:tc>
      <w:tc>
        <w:tcPr>
          <w:tcW w:w="6813" w:type="dxa"/>
          <w:tcBorders>
            <w:top w:val="single" w:sz="12" w:space="0" w:color="F79646"/>
            <w:bottom w:val="nil"/>
          </w:tcBorders>
        </w:tcPr>
        <w:p w14:paraId="53813341" w14:textId="77777777" w:rsidR="007C796B" w:rsidRDefault="007C796B" w:rsidP="007C796B">
          <w:pPr>
            <w:pStyle w:val="Governorname"/>
            <w:framePr w:hSpace="0" w:wrap="auto" w:vAnchor="margin" w:hAnchor="text" w:xAlign="left" w:yAlign="inline"/>
            <w:ind w:left="-101"/>
          </w:pPr>
          <w:r>
            <w:t>Kate Brown, Governor</w:t>
          </w:r>
        </w:p>
      </w:tc>
      <w:tc>
        <w:tcPr>
          <w:tcW w:w="3306" w:type="dxa"/>
          <w:vMerge/>
          <w:tcBorders>
            <w:top w:val="single" w:sz="4" w:space="0" w:color="F79646"/>
            <w:bottom w:val="nil"/>
          </w:tcBorders>
          <w:vAlign w:val="bottom"/>
        </w:tcPr>
        <w:p w14:paraId="1E983528" w14:textId="77777777" w:rsidR="007C796B" w:rsidRDefault="007C796B" w:rsidP="007C796B">
          <w:pPr>
            <w:jc w:val="right"/>
          </w:pPr>
        </w:p>
      </w:tc>
    </w:tr>
  </w:tbl>
  <w:p w14:paraId="2BA36ED3" w14:textId="77777777" w:rsidR="007C796B" w:rsidRDefault="007C796B" w:rsidP="007C7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-158"/>
      <w:tblW w:w="11333" w:type="dxa"/>
      <w:tblBorders>
        <w:bottom w:val="single" w:sz="8" w:space="0" w:color="F79646"/>
        <w:insideH w:val="single" w:sz="4" w:space="0" w:color="F79646"/>
      </w:tblBorders>
      <w:tblLayout w:type="fixed"/>
      <w:tblLook w:val="00A0" w:firstRow="1" w:lastRow="0" w:firstColumn="1" w:lastColumn="0" w:noHBand="0" w:noVBand="0"/>
    </w:tblPr>
    <w:tblGrid>
      <w:gridCol w:w="1214"/>
      <w:gridCol w:w="6813"/>
      <w:gridCol w:w="3306"/>
    </w:tblGrid>
    <w:tr w:rsidR="000D2B82" w14:paraId="5F4948E6" w14:textId="77777777" w:rsidTr="006A0654">
      <w:trPr>
        <w:cantSplit/>
        <w:trHeight w:val="229"/>
      </w:trPr>
      <w:tc>
        <w:tcPr>
          <w:tcW w:w="1214" w:type="dxa"/>
          <w:vMerge w:val="restart"/>
          <w:tcBorders>
            <w:top w:val="nil"/>
          </w:tcBorders>
          <w:vAlign w:val="bottom"/>
        </w:tcPr>
        <w:p w14:paraId="0FA4C036" w14:textId="77777777" w:rsidR="000D2B82" w:rsidRDefault="000D2B82" w:rsidP="000D2B82">
          <w:pPr>
            <w:ind w:left="-115"/>
            <w:jc w:val="right"/>
            <w:rPr>
              <w:color w:val="005595"/>
            </w:rPr>
          </w:pPr>
          <w:r>
            <w:rPr>
              <w:noProof/>
              <w:color w:val="005595"/>
            </w:rPr>
            <w:drawing>
              <wp:inline distT="0" distB="0" distL="0" distR="0" wp14:anchorId="26104089" wp14:editId="58888F53">
                <wp:extent cx="564515" cy="564515"/>
                <wp:effectExtent l="19050" t="0" r="6985" b="0"/>
                <wp:docPr id="7" name="Picture 7" descr="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3" w:type="dxa"/>
          <w:tcBorders>
            <w:top w:val="nil"/>
            <w:bottom w:val="single" w:sz="12" w:space="0" w:color="F79646"/>
          </w:tcBorders>
          <w:vAlign w:val="center"/>
        </w:tcPr>
        <w:p w14:paraId="3E6E870C" w14:textId="77777777" w:rsidR="000D2B82" w:rsidRDefault="000D2B82" w:rsidP="000D2B82">
          <w:pPr>
            <w:pStyle w:val="Office"/>
            <w:ind w:left="-101"/>
            <w:rPr>
              <w:sz w:val="24"/>
            </w:rPr>
          </w:pPr>
          <w:r>
            <w:br/>
          </w:r>
        </w:p>
        <w:p w14:paraId="313FB060" w14:textId="77777777" w:rsidR="000D2B82" w:rsidRDefault="000D2B82" w:rsidP="000D2B82">
          <w:pPr>
            <w:pStyle w:val="Office"/>
            <w:ind w:left="-101"/>
            <w:rPr>
              <w:sz w:val="24"/>
            </w:rPr>
          </w:pPr>
          <w:r w:rsidRPr="002C0E65">
            <w:rPr>
              <w:sz w:val="24"/>
            </w:rPr>
            <w:t>OREGON PUBLIC HEALTH DIVISION</w:t>
          </w:r>
        </w:p>
        <w:p w14:paraId="735E249E" w14:textId="77777777" w:rsidR="000D2B82" w:rsidRDefault="000D2B82" w:rsidP="000D2B82">
          <w:pPr>
            <w:pStyle w:val="Office"/>
            <w:ind w:left="-101"/>
            <w:rPr>
              <w:sz w:val="24"/>
            </w:rPr>
          </w:pPr>
          <w:r>
            <w:rPr>
              <w:sz w:val="24"/>
            </w:rPr>
            <w:t>HIV/STD/TB</w:t>
          </w:r>
        </w:p>
        <w:p w14:paraId="7DAFC81E" w14:textId="77777777" w:rsidR="000D2B82" w:rsidRPr="00B23C5D" w:rsidRDefault="000D2B82" w:rsidP="000D2B82">
          <w:pPr>
            <w:pStyle w:val="Office"/>
            <w:ind w:left="-101"/>
          </w:pPr>
          <w:r>
            <w:rPr>
              <w:sz w:val="24"/>
            </w:rPr>
            <w:t>HIV Community Services Program</w:t>
          </w:r>
        </w:p>
      </w:tc>
      <w:tc>
        <w:tcPr>
          <w:tcW w:w="3306" w:type="dxa"/>
          <w:vMerge w:val="restart"/>
          <w:tcBorders>
            <w:top w:val="nil"/>
            <w:bottom w:val="single" w:sz="4" w:space="0" w:color="F79646"/>
          </w:tcBorders>
          <w:vAlign w:val="center"/>
        </w:tcPr>
        <w:p w14:paraId="5B9D1784" w14:textId="77777777" w:rsidR="000D2B82" w:rsidRDefault="000D2B82" w:rsidP="000D2B82">
          <w:pPr>
            <w:spacing w:line="60" w:lineRule="exact"/>
          </w:pPr>
        </w:p>
        <w:p w14:paraId="349BFD18" w14:textId="77777777" w:rsidR="000D2B82" w:rsidRDefault="000D2B82" w:rsidP="000D2B82">
          <w:r>
            <w:rPr>
              <w:noProof/>
            </w:rPr>
            <w:drawing>
              <wp:inline distT="0" distB="0" distL="0" distR="0" wp14:anchorId="09EF4EE7" wp14:editId="3CB2AF09">
                <wp:extent cx="1868805" cy="707390"/>
                <wp:effectExtent l="1905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8805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D2B82" w14:paraId="1DFD1C91" w14:textId="77777777" w:rsidTr="006A0654">
      <w:trPr>
        <w:cantSplit/>
        <w:trHeight w:val="56"/>
      </w:trPr>
      <w:tc>
        <w:tcPr>
          <w:tcW w:w="1214" w:type="dxa"/>
          <w:vMerge/>
          <w:tcBorders>
            <w:bottom w:val="nil"/>
          </w:tcBorders>
        </w:tcPr>
        <w:p w14:paraId="197E8ED3" w14:textId="77777777" w:rsidR="000D2B82" w:rsidRDefault="000D2B82" w:rsidP="000D2B82">
          <w:pPr>
            <w:ind w:left="-108"/>
            <w:rPr>
              <w:color w:val="005595"/>
              <w:sz w:val="18"/>
            </w:rPr>
          </w:pPr>
        </w:p>
      </w:tc>
      <w:tc>
        <w:tcPr>
          <w:tcW w:w="6813" w:type="dxa"/>
          <w:tcBorders>
            <w:top w:val="single" w:sz="12" w:space="0" w:color="F79646"/>
            <w:bottom w:val="nil"/>
          </w:tcBorders>
        </w:tcPr>
        <w:p w14:paraId="273A0461" w14:textId="77777777" w:rsidR="000D2B82" w:rsidRDefault="000D2B82" w:rsidP="000D2B82">
          <w:pPr>
            <w:pStyle w:val="Governorname"/>
            <w:framePr w:hSpace="0" w:wrap="auto" w:vAnchor="margin" w:hAnchor="text" w:xAlign="left" w:yAlign="inline"/>
            <w:ind w:left="-101"/>
          </w:pPr>
          <w:r>
            <w:t>Kate Brown, Governor</w:t>
          </w:r>
        </w:p>
      </w:tc>
      <w:tc>
        <w:tcPr>
          <w:tcW w:w="3306" w:type="dxa"/>
          <w:vMerge/>
          <w:tcBorders>
            <w:top w:val="single" w:sz="4" w:space="0" w:color="F79646"/>
            <w:bottom w:val="nil"/>
          </w:tcBorders>
          <w:vAlign w:val="bottom"/>
        </w:tcPr>
        <w:p w14:paraId="77C6BAE7" w14:textId="77777777" w:rsidR="000D2B82" w:rsidRDefault="000D2B82" w:rsidP="000D2B82">
          <w:pPr>
            <w:jc w:val="right"/>
          </w:pPr>
        </w:p>
      </w:tc>
    </w:tr>
  </w:tbl>
  <w:p w14:paraId="123DA8D7" w14:textId="77777777" w:rsidR="000D2B82" w:rsidRDefault="000D2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2D64"/>
    <w:multiLevelType w:val="hybridMultilevel"/>
    <w:tmpl w:val="2E68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76B3"/>
    <w:multiLevelType w:val="hybridMultilevel"/>
    <w:tmpl w:val="21FA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C202F"/>
    <w:multiLevelType w:val="hybridMultilevel"/>
    <w:tmpl w:val="D39E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B6092"/>
    <w:multiLevelType w:val="hybridMultilevel"/>
    <w:tmpl w:val="278C88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12414"/>
    <w:multiLevelType w:val="hybridMultilevel"/>
    <w:tmpl w:val="8258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C2E89"/>
    <w:multiLevelType w:val="hybridMultilevel"/>
    <w:tmpl w:val="EF0078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05E05"/>
    <w:multiLevelType w:val="hybridMultilevel"/>
    <w:tmpl w:val="A268F756"/>
    <w:lvl w:ilvl="0" w:tplc="60D67C3E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65D2B"/>
    <w:multiLevelType w:val="hybridMultilevel"/>
    <w:tmpl w:val="E51A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F58BC"/>
    <w:multiLevelType w:val="hybridMultilevel"/>
    <w:tmpl w:val="C04C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6B"/>
    <w:rsid w:val="0003123B"/>
    <w:rsid w:val="0007441E"/>
    <w:rsid w:val="0007482E"/>
    <w:rsid w:val="000C7003"/>
    <w:rsid w:val="000D2B82"/>
    <w:rsid w:val="00104984"/>
    <w:rsid w:val="001C150E"/>
    <w:rsid w:val="00207B7D"/>
    <w:rsid w:val="00260720"/>
    <w:rsid w:val="00283755"/>
    <w:rsid w:val="004C01E2"/>
    <w:rsid w:val="00565C75"/>
    <w:rsid w:val="00651B78"/>
    <w:rsid w:val="006D3F26"/>
    <w:rsid w:val="0070795B"/>
    <w:rsid w:val="0072216E"/>
    <w:rsid w:val="00746A71"/>
    <w:rsid w:val="007C796B"/>
    <w:rsid w:val="00817439"/>
    <w:rsid w:val="00841083"/>
    <w:rsid w:val="00854BF3"/>
    <w:rsid w:val="00893CDF"/>
    <w:rsid w:val="009002E9"/>
    <w:rsid w:val="00972B17"/>
    <w:rsid w:val="00975C32"/>
    <w:rsid w:val="00A432FD"/>
    <w:rsid w:val="00A702F8"/>
    <w:rsid w:val="00C2202D"/>
    <w:rsid w:val="00C83AA3"/>
    <w:rsid w:val="00D26CF9"/>
    <w:rsid w:val="00E20E9E"/>
    <w:rsid w:val="00E83F50"/>
    <w:rsid w:val="00EE3497"/>
    <w:rsid w:val="00EF1E6A"/>
    <w:rsid w:val="00EF4F6F"/>
    <w:rsid w:val="00F2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8BD06"/>
  <w15:chartTrackingRefBased/>
  <w15:docId w15:val="{9D2458F6-10FF-4802-B353-AAAB88F2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96B"/>
  </w:style>
  <w:style w:type="paragraph" w:styleId="Footer">
    <w:name w:val="footer"/>
    <w:basedOn w:val="Normal"/>
    <w:link w:val="FooterChar"/>
    <w:uiPriority w:val="99"/>
    <w:unhideWhenUsed/>
    <w:rsid w:val="007C7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96B"/>
  </w:style>
  <w:style w:type="paragraph" w:customStyle="1" w:styleId="Office">
    <w:name w:val="Office"/>
    <w:aliases w:val="section or unit name"/>
    <w:qFormat/>
    <w:rsid w:val="007C796B"/>
    <w:pPr>
      <w:spacing w:after="0" w:line="240" w:lineRule="auto"/>
      <w:ind w:left="-126"/>
    </w:pPr>
    <w:rPr>
      <w:rFonts w:ascii="Arial" w:eastAsia="Times New Roman" w:hAnsi="Arial" w:cs="Times New Roman"/>
      <w:color w:val="005595"/>
      <w:w w:val="90"/>
      <w:szCs w:val="24"/>
    </w:rPr>
  </w:style>
  <w:style w:type="paragraph" w:customStyle="1" w:styleId="Governorname">
    <w:name w:val="Governor name"/>
    <w:qFormat/>
    <w:rsid w:val="007C796B"/>
    <w:pPr>
      <w:framePr w:hSpace="180" w:wrap="around" w:vAnchor="text" w:hAnchor="margin" w:x="-306" w:y="-158"/>
      <w:spacing w:before="60" w:after="0" w:line="240" w:lineRule="auto"/>
      <w:ind w:left="-115"/>
    </w:pPr>
    <w:rPr>
      <w:rFonts w:ascii="Arial" w:eastAsia="Times New Roman" w:hAnsi="Arial" w:cs="Times New Roman"/>
      <w:color w:val="005595"/>
      <w:w w:val="90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854BF3"/>
    <w:rPr>
      <w:color w:val="0563C1"/>
      <w:u w:val="single"/>
    </w:rPr>
  </w:style>
  <w:style w:type="paragraph" w:styleId="ListParagraph">
    <w:name w:val="List Paragraph"/>
    <w:basedOn w:val="Normal"/>
    <w:uiPriority w:val="1"/>
    <w:qFormat/>
    <w:rsid w:val="00854BF3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basedOn w:val="Normal"/>
    <w:rsid w:val="00854BF3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8375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0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2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F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432F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72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E.Camerato@dhsoha.state.or.us" TargetMode="External"/><Relationship Id="rId13" Type="http://schemas.openxmlformats.org/officeDocument/2006/relationships/hyperlink" Target="mailto:LAURA.Y.LITTLE@dhsoha.state.or.us" TargetMode="External"/><Relationship Id="rId18" Type="http://schemas.openxmlformats.org/officeDocument/2006/relationships/hyperlink" Target="https://www.oregon.gov/oha/PH/DISEASESCONDITIONS/HIVSTDVIRALHEPATITIS/HIVCARETREATMENT/Pages/careware.aspx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oregon.gov/oha/PH/DISEASESCONDITIONS/HIVSTDVIRALHEPATITIS/HIVCARETREATMENT/Pages/cmstdrds.aspx" TargetMode="External"/><Relationship Id="rId17" Type="http://schemas.openxmlformats.org/officeDocument/2006/relationships/hyperlink" Target="https://www.oregon.gov/oha/PH/DISEASESCONDITIONS/HIVSTDVIRALHEPATITIS/HIVCARETREATMENT/Documents/Reporting/Support%20Services%20Guide_July%202019%20to%20Jan%202020%20Final.pdf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s://hab.hrsa.gov/program-grants-management/coronavirus-covid-19-response/funding-use-exampl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a.E.Camerato@dhsoha.state.or.u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EANNA.P.KREIDLER@dhsoha.state.or.u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aura.E.Camerato@dhsoha.state.or.us" TargetMode="External"/><Relationship Id="rId19" Type="http://schemas.openxmlformats.org/officeDocument/2006/relationships/hyperlink" Target="https://www.oregon.gov/oha/ph/diseasesconditions/hivstdviralhepatitis/hivcaretreatment/pages/housing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egon.gov/oha/PH/DISEASESCONDITIONS/HIVSTDVIRALHEPATITIS/HIVCARETREATMENT/Pages/cmstdrds.aspx" TargetMode="External"/><Relationship Id="rId14" Type="http://schemas.openxmlformats.org/officeDocument/2006/relationships/hyperlink" Target="https://www.oregon.gov/oha/PH/DISEASESCONDITIONS/HIVSTDVIRALHEPATITIS/HIVCARETREATMENT/Documents/Reporting/Support%20Services%20Guide_July%202019%20to%20Jan%202020%20Final.pdf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5AA17C4179C4CAFB600CA9BA4F000" ma:contentTypeVersion="18" ma:contentTypeDescription="Create a new document." ma:contentTypeScope="" ma:versionID="3c0cfb41b5481023ec279f6db725cbd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434b9de-157f-44f8-817c-54b48456f471" targetNamespace="http://schemas.microsoft.com/office/2006/metadata/properties" ma:root="true" ma:fieldsID="1217d6ab6a7c4c0f32268b6c9b5c1e4b" ns1:_="" ns2:_="" ns3:_="">
    <xsd:import namespace="http://schemas.microsoft.com/sharepoint/v3"/>
    <xsd:import namespace="59da1016-2a1b-4f8a-9768-d7a4932f6f16"/>
    <xsd:import namespace="0434b9de-157f-44f8-817c-54b48456f47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4b9de-157f-44f8-817c-54b48456f47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0434b9de-157f-44f8-817c-54b48456f471">part b covid guidance</Meta_x0020_Keywords>
    <DocumentExpirationDate xmlns="59da1016-2a1b-4f8a-9768-d7a4932f6f16">2021-07-31T07:00:00+00:00</DocumentExpirationDate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Description xmlns="0434b9de-157f-44f8-817c-54b48456f47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493A59-1C86-4EBE-802A-7E91D9F5A9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53FE82-4838-4480-A4D2-F43B3C7185EC}"/>
</file>

<file path=customXml/itemProps3.xml><?xml version="1.0" encoding="utf-8"?>
<ds:datastoreItem xmlns:ds="http://schemas.openxmlformats.org/officeDocument/2006/customXml" ds:itemID="{FDA4DA51-1C08-4AB3-9177-FA1AE97C685D}"/>
</file>

<file path=customXml/itemProps4.xml><?xml version="1.0" encoding="utf-8"?>
<ds:datastoreItem xmlns:ds="http://schemas.openxmlformats.org/officeDocument/2006/customXml" ds:itemID="{9893993F-C3E9-4201-B9DD-4FA53634A7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B COVID Guidance</dc:title>
  <dc:subject/>
  <dc:creator>Kreidler Deanna P</dc:creator>
  <cp:keywords/>
  <dc:description/>
  <cp:lastModifiedBy>Hargraves Heather A</cp:lastModifiedBy>
  <cp:revision>3</cp:revision>
  <cp:lastPrinted>2020-05-15T21:02:00Z</cp:lastPrinted>
  <dcterms:created xsi:type="dcterms:W3CDTF">2020-07-31T15:42:00Z</dcterms:created>
  <dcterms:modified xsi:type="dcterms:W3CDTF">2020-07-31T16:00:00Z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0x0101005CF5AA17C4179C4CAFB600CA9BA4F000</vt:lpwstr>
  </property>
</Properties>
</file>