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B5B4" w14:textId="49970AAD" w:rsidR="005150B7" w:rsidRPr="00737AAE" w:rsidRDefault="005150B7" w:rsidP="008F1DD7">
      <w:pPr>
        <w:jc w:val="center"/>
        <w:rPr>
          <w:b/>
          <w:bCs/>
          <w:sz w:val="24"/>
          <w:szCs w:val="24"/>
        </w:rPr>
      </w:pPr>
      <w:r w:rsidRPr="00737AAE">
        <w:rPr>
          <w:b/>
          <w:bCs/>
          <w:sz w:val="24"/>
          <w:szCs w:val="24"/>
        </w:rPr>
        <w:t>Oregon Housing Opportunities (OHOP) in Partnership</w:t>
      </w:r>
      <w:r w:rsidR="00810995" w:rsidRPr="00737AAE">
        <w:rPr>
          <w:b/>
          <w:bCs/>
          <w:sz w:val="24"/>
          <w:szCs w:val="24"/>
        </w:rPr>
        <w:t xml:space="preserve"> Temporary </w:t>
      </w:r>
      <w:r w:rsidRPr="00737AAE">
        <w:rPr>
          <w:b/>
          <w:bCs/>
          <w:sz w:val="24"/>
          <w:szCs w:val="24"/>
        </w:rPr>
        <w:t xml:space="preserve">Policies </w:t>
      </w:r>
    </w:p>
    <w:p w14:paraId="4C3F9BCC" w14:textId="3BFD02A8" w:rsidR="00810995" w:rsidRPr="00737AAE" w:rsidRDefault="005150B7" w:rsidP="008F1DD7">
      <w:pPr>
        <w:jc w:val="center"/>
        <w:rPr>
          <w:b/>
          <w:bCs/>
          <w:sz w:val="24"/>
          <w:szCs w:val="24"/>
        </w:rPr>
      </w:pPr>
      <w:r w:rsidRPr="00737AAE">
        <w:rPr>
          <w:b/>
          <w:bCs/>
          <w:sz w:val="24"/>
          <w:szCs w:val="24"/>
        </w:rPr>
        <w:t>related to COVID-19 Response</w:t>
      </w:r>
      <w:r w:rsidR="00763987">
        <w:rPr>
          <w:b/>
          <w:bCs/>
          <w:sz w:val="24"/>
          <w:szCs w:val="24"/>
        </w:rPr>
        <w:t xml:space="preserve"> – </w:t>
      </w:r>
      <w:r w:rsidR="000B75B3" w:rsidRPr="000B75B3">
        <w:rPr>
          <w:b/>
          <w:bCs/>
          <w:i/>
          <w:iCs/>
          <w:sz w:val="24"/>
          <w:szCs w:val="24"/>
        </w:rPr>
        <w:t>effective</w:t>
      </w:r>
      <w:r w:rsidR="00763987" w:rsidRPr="000B75B3">
        <w:rPr>
          <w:b/>
          <w:bCs/>
          <w:i/>
          <w:iCs/>
          <w:sz w:val="24"/>
          <w:szCs w:val="24"/>
        </w:rPr>
        <w:t xml:space="preserve"> 4/15/20</w:t>
      </w:r>
      <w:r w:rsidR="000B75B3" w:rsidRPr="000B75B3">
        <w:rPr>
          <w:b/>
          <w:bCs/>
          <w:i/>
          <w:iCs/>
          <w:sz w:val="24"/>
          <w:szCs w:val="24"/>
        </w:rPr>
        <w:t xml:space="preserve"> unless otherwise noted</w:t>
      </w:r>
    </w:p>
    <w:p w14:paraId="3F48B9C0" w14:textId="77777777" w:rsidR="00810995" w:rsidRPr="00737AAE" w:rsidRDefault="00810995" w:rsidP="008F1DD7">
      <w:pPr>
        <w:jc w:val="center"/>
        <w:rPr>
          <w:b/>
          <w:bCs/>
          <w:sz w:val="24"/>
          <w:szCs w:val="24"/>
        </w:rPr>
      </w:pPr>
    </w:p>
    <w:p w14:paraId="43BF3E2E" w14:textId="7E0C6AC1" w:rsidR="00810995" w:rsidRPr="00737AAE" w:rsidRDefault="005150B7" w:rsidP="008F1DD7">
      <w:pPr>
        <w:jc w:val="both"/>
        <w:rPr>
          <w:sz w:val="24"/>
          <w:szCs w:val="24"/>
        </w:rPr>
      </w:pPr>
      <w:r w:rsidRPr="00737AAE">
        <w:rPr>
          <w:sz w:val="24"/>
          <w:szCs w:val="24"/>
        </w:rPr>
        <w:t>Federal</w:t>
      </w:r>
      <w:r w:rsidR="00810995" w:rsidRPr="00737AAE">
        <w:rPr>
          <w:sz w:val="24"/>
          <w:szCs w:val="24"/>
        </w:rPr>
        <w:t xml:space="preserve"> and </w:t>
      </w:r>
      <w:r w:rsidRPr="00737AAE">
        <w:rPr>
          <w:sz w:val="24"/>
          <w:szCs w:val="24"/>
        </w:rPr>
        <w:t>S</w:t>
      </w:r>
      <w:r w:rsidR="00810995" w:rsidRPr="00737AAE">
        <w:rPr>
          <w:sz w:val="24"/>
          <w:szCs w:val="24"/>
        </w:rPr>
        <w:t xml:space="preserve">tate guidance, as well as community needs are constantly evolving. As needs for </w:t>
      </w:r>
      <w:r w:rsidRPr="00737AAE">
        <w:rPr>
          <w:sz w:val="24"/>
          <w:szCs w:val="24"/>
        </w:rPr>
        <w:t>policy</w:t>
      </w:r>
      <w:r w:rsidR="00810995" w:rsidRPr="00737AAE">
        <w:rPr>
          <w:sz w:val="24"/>
          <w:szCs w:val="24"/>
        </w:rPr>
        <w:t xml:space="preserve"> revisions arise, </w:t>
      </w:r>
      <w:r w:rsidR="0008330B">
        <w:rPr>
          <w:sz w:val="24"/>
          <w:szCs w:val="24"/>
        </w:rPr>
        <w:t>OHOP and HIV Community Services</w:t>
      </w:r>
      <w:r w:rsidR="00810995" w:rsidRPr="00737AAE">
        <w:rPr>
          <w:sz w:val="24"/>
          <w:szCs w:val="24"/>
        </w:rPr>
        <w:t xml:space="preserve"> will respond as quickly as possible. </w:t>
      </w:r>
    </w:p>
    <w:p w14:paraId="3CB0C773" w14:textId="77777777" w:rsidR="00CA5EDA" w:rsidRDefault="00CA5EDA" w:rsidP="008F1DD7">
      <w:pPr>
        <w:jc w:val="center"/>
        <w:rPr>
          <w:sz w:val="24"/>
          <w:szCs w:val="24"/>
        </w:rPr>
      </w:pPr>
    </w:p>
    <w:p w14:paraId="6450E40B" w14:textId="54C437B2" w:rsidR="00CA5EDA" w:rsidRPr="00CA5EDA" w:rsidRDefault="00CA5EDA" w:rsidP="008F1DD7">
      <w:pPr>
        <w:jc w:val="center"/>
        <w:rPr>
          <w:b/>
          <w:bCs/>
          <w:sz w:val="24"/>
          <w:szCs w:val="24"/>
        </w:rPr>
      </w:pPr>
      <w:r w:rsidRPr="00CA5EDA">
        <w:rPr>
          <w:b/>
          <w:bCs/>
          <w:sz w:val="24"/>
          <w:szCs w:val="24"/>
        </w:rPr>
        <w:t>Initial</w:t>
      </w:r>
      <w:r w:rsidRPr="00737AAE">
        <w:rPr>
          <w:b/>
          <w:bCs/>
          <w:sz w:val="24"/>
          <w:szCs w:val="24"/>
        </w:rPr>
        <w:t xml:space="preserve"> HQS Inspections</w:t>
      </w:r>
    </w:p>
    <w:p w14:paraId="708C4C3E" w14:textId="77777777" w:rsidR="00CA5EDA" w:rsidRPr="00737AAE" w:rsidRDefault="00CA5EDA" w:rsidP="008F1DD7">
      <w:pPr>
        <w:rPr>
          <w:sz w:val="24"/>
          <w:szCs w:val="24"/>
        </w:rPr>
      </w:pPr>
    </w:p>
    <w:p w14:paraId="69A5DC78" w14:textId="77777777" w:rsidR="00684F23" w:rsidRDefault="00CA5EDA" w:rsidP="00684F23">
      <w:pPr>
        <w:rPr>
          <w:rFonts w:eastAsia="Times New Roman"/>
          <w:sz w:val="24"/>
          <w:szCs w:val="24"/>
        </w:rPr>
      </w:pPr>
      <w:r>
        <w:rPr>
          <w:rFonts w:eastAsia="Times New Roman"/>
          <w:sz w:val="24"/>
          <w:szCs w:val="24"/>
        </w:rPr>
        <w:t>W</w:t>
      </w:r>
      <w:r w:rsidR="00A07144">
        <w:rPr>
          <w:rFonts w:eastAsia="Times New Roman"/>
          <w:sz w:val="24"/>
          <w:szCs w:val="24"/>
        </w:rPr>
        <w:t>hile in-person inspections are inadvisable due to social distancing measures</w:t>
      </w:r>
      <w:r>
        <w:rPr>
          <w:rFonts w:eastAsia="Times New Roman"/>
          <w:sz w:val="24"/>
          <w:szCs w:val="24"/>
        </w:rPr>
        <w:t xml:space="preserve">, </w:t>
      </w:r>
      <w:r w:rsidR="00D743DC">
        <w:rPr>
          <w:rFonts w:eastAsia="Times New Roman"/>
          <w:sz w:val="24"/>
          <w:szCs w:val="24"/>
        </w:rPr>
        <w:t xml:space="preserve">or until </w:t>
      </w:r>
      <w:r w:rsidR="00BB3296">
        <w:rPr>
          <w:rFonts w:eastAsia="Times New Roman"/>
          <w:sz w:val="24"/>
          <w:szCs w:val="24"/>
        </w:rPr>
        <w:t>6/30</w:t>
      </w:r>
      <w:r w:rsidR="00D743DC">
        <w:rPr>
          <w:rFonts w:eastAsia="Times New Roman"/>
          <w:sz w:val="24"/>
          <w:szCs w:val="24"/>
        </w:rPr>
        <w:t xml:space="preserve">/21 (whichever comes first), </w:t>
      </w:r>
      <w:r>
        <w:rPr>
          <w:rFonts w:eastAsia="Times New Roman"/>
          <w:sz w:val="24"/>
          <w:szCs w:val="24"/>
        </w:rPr>
        <w:t>initial inspections must be conducted virtually</w:t>
      </w:r>
      <w:bookmarkStart w:id="0" w:name="_Hlk38449597"/>
      <w:r w:rsidR="00684F23">
        <w:rPr>
          <w:rFonts w:eastAsia="Times New Roman"/>
          <w:sz w:val="24"/>
          <w:szCs w:val="24"/>
        </w:rPr>
        <w:t>.</w:t>
      </w:r>
    </w:p>
    <w:p w14:paraId="5D538A99" w14:textId="6546D6A8" w:rsidR="006D5136" w:rsidRPr="00684F23" w:rsidRDefault="00CA5EDA" w:rsidP="00684F23">
      <w:pPr>
        <w:pStyle w:val="ListParagraph"/>
        <w:numPr>
          <w:ilvl w:val="0"/>
          <w:numId w:val="20"/>
        </w:numPr>
        <w:rPr>
          <w:rFonts w:eastAsia="Times New Roman"/>
          <w:sz w:val="24"/>
          <w:szCs w:val="24"/>
        </w:rPr>
      </w:pPr>
      <w:r w:rsidRPr="00684F23">
        <w:rPr>
          <w:rFonts w:eastAsia="Times New Roman"/>
          <w:sz w:val="24"/>
          <w:szCs w:val="24"/>
        </w:rPr>
        <w:t>Live stream video</w:t>
      </w:r>
      <w:r w:rsidR="00086A6F" w:rsidRPr="00684F23">
        <w:rPr>
          <w:rFonts w:eastAsia="Times New Roman"/>
          <w:sz w:val="24"/>
          <w:szCs w:val="24"/>
        </w:rPr>
        <w:t xml:space="preserve"> will</w:t>
      </w:r>
      <w:r w:rsidRPr="00684F23">
        <w:rPr>
          <w:rFonts w:eastAsia="Times New Roman"/>
          <w:sz w:val="24"/>
          <w:szCs w:val="24"/>
        </w:rPr>
        <w:t xml:space="preserve"> be utilized when possible; a combination of photos and phone check-ins are acceptable when live video is not an option; photos</w:t>
      </w:r>
      <w:r w:rsidR="006D5136" w:rsidRPr="00684F23">
        <w:rPr>
          <w:rFonts w:eastAsia="Times New Roman"/>
          <w:sz w:val="24"/>
          <w:szCs w:val="24"/>
        </w:rPr>
        <w:t xml:space="preserve"> </w:t>
      </w:r>
      <w:r w:rsidR="00BE3CA3" w:rsidRPr="00684F23">
        <w:rPr>
          <w:rFonts w:eastAsia="Times New Roman"/>
          <w:sz w:val="24"/>
          <w:szCs w:val="24"/>
        </w:rPr>
        <w:t>and videos will be deleted, as inspection is provisional</w:t>
      </w:r>
      <w:r w:rsidR="004449F6" w:rsidRPr="00684F23">
        <w:rPr>
          <w:rFonts w:eastAsia="Times New Roman"/>
          <w:sz w:val="24"/>
          <w:szCs w:val="24"/>
        </w:rPr>
        <w:t>.</w:t>
      </w:r>
    </w:p>
    <w:p w14:paraId="02404D0C" w14:textId="6EDEBD66" w:rsidR="001D3D18" w:rsidRPr="00BB3296" w:rsidRDefault="001D3D18" w:rsidP="001D3D18">
      <w:pPr>
        <w:pStyle w:val="ListParagraph"/>
        <w:numPr>
          <w:ilvl w:val="1"/>
          <w:numId w:val="15"/>
        </w:numPr>
        <w:rPr>
          <w:rFonts w:eastAsia="Times New Roman"/>
          <w:sz w:val="24"/>
          <w:szCs w:val="24"/>
        </w:rPr>
      </w:pPr>
      <w:r w:rsidRPr="00BB3296">
        <w:rPr>
          <w:rFonts w:eastAsia="Times New Roman"/>
          <w:sz w:val="24"/>
          <w:szCs w:val="24"/>
        </w:rPr>
        <w:t xml:space="preserve">If visual inspection is not available, HCs can conduct inspections by phone only, ensuring that all HQS questions are answered to the best of the HC and client’s ability. </w:t>
      </w:r>
    </w:p>
    <w:bookmarkEnd w:id="0"/>
    <w:p w14:paraId="52C4DCDE" w14:textId="4AE8FF1C" w:rsidR="006D5136" w:rsidRPr="00763987" w:rsidRDefault="00C57295" w:rsidP="008F1DD7">
      <w:pPr>
        <w:pStyle w:val="ListParagraph"/>
        <w:numPr>
          <w:ilvl w:val="0"/>
          <w:numId w:val="15"/>
        </w:numPr>
        <w:rPr>
          <w:rFonts w:eastAsia="Times New Roman"/>
          <w:sz w:val="24"/>
          <w:szCs w:val="24"/>
        </w:rPr>
      </w:pPr>
      <w:r w:rsidRPr="00763987">
        <w:rPr>
          <w:rFonts w:eastAsia="Times New Roman"/>
          <w:sz w:val="24"/>
          <w:szCs w:val="24"/>
        </w:rPr>
        <w:t xml:space="preserve">When </w:t>
      </w:r>
      <w:r w:rsidR="006D5136" w:rsidRPr="00763987">
        <w:rPr>
          <w:sz w:val="24"/>
        </w:rPr>
        <w:t>health officials determine special measures to prevent the spread of COVID-19 are no longer necessary</w:t>
      </w:r>
      <w:r w:rsidRPr="00763987">
        <w:rPr>
          <w:rFonts w:eastAsia="Times New Roman"/>
          <w:sz w:val="24"/>
          <w:szCs w:val="24"/>
        </w:rPr>
        <w:t xml:space="preserve">, </w:t>
      </w:r>
      <w:r w:rsidR="006D5136" w:rsidRPr="00763987">
        <w:rPr>
          <w:rFonts w:eastAsia="Times New Roman"/>
          <w:sz w:val="24"/>
          <w:szCs w:val="24"/>
        </w:rPr>
        <w:t xml:space="preserve">the Housing Coordinator will schedule a time to </w:t>
      </w:r>
      <w:r w:rsidR="00205A4A">
        <w:rPr>
          <w:rFonts w:eastAsia="Times New Roman"/>
          <w:sz w:val="24"/>
          <w:szCs w:val="24"/>
        </w:rPr>
        <w:t xml:space="preserve">physically </w:t>
      </w:r>
      <w:r w:rsidR="006D5136" w:rsidRPr="00763987">
        <w:rPr>
          <w:rFonts w:eastAsia="Times New Roman"/>
          <w:sz w:val="24"/>
          <w:szCs w:val="24"/>
        </w:rPr>
        <w:t>inspect the unit</w:t>
      </w:r>
      <w:r w:rsidR="00205A4A">
        <w:rPr>
          <w:rFonts w:eastAsia="Times New Roman"/>
          <w:sz w:val="24"/>
          <w:szCs w:val="24"/>
        </w:rPr>
        <w:t xml:space="preserve"> within </w:t>
      </w:r>
      <w:r w:rsidR="0008330B">
        <w:rPr>
          <w:rFonts w:eastAsia="Times New Roman"/>
          <w:sz w:val="24"/>
          <w:szCs w:val="24"/>
        </w:rPr>
        <w:t>90</w:t>
      </w:r>
      <w:r w:rsidR="004449F6">
        <w:rPr>
          <w:rFonts w:eastAsia="Times New Roman"/>
          <w:sz w:val="24"/>
          <w:szCs w:val="24"/>
        </w:rPr>
        <w:t xml:space="preserve"> </w:t>
      </w:r>
      <w:r w:rsidR="00350B16">
        <w:rPr>
          <w:rFonts w:eastAsia="Times New Roman"/>
          <w:sz w:val="24"/>
          <w:szCs w:val="24"/>
        </w:rPr>
        <w:t>days</w:t>
      </w:r>
      <w:r w:rsidRPr="00763987">
        <w:rPr>
          <w:rFonts w:eastAsia="Times New Roman"/>
          <w:sz w:val="24"/>
          <w:szCs w:val="24"/>
        </w:rPr>
        <w:t>.</w:t>
      </w:r>
    </w:p>
    <w:p w14:paraId="3EEE33E8" w14:textId="7214EAFC" w:rsidR="006D5136" w:rsidRDefault="006D5136" w:rsidP="008F1DD7">
      <w:pPr>
        <w:pStyle w:val="ListParagraph"/>
        <w:numPr>
          <w:ilvl w:val="1"/>
          <w:numId w:val="15"/>
        </w:numPr>
        <w:rPr>
          <w:rFonts w:eastAsia="Times New Roman"/>
          <w:sz w:val="24"/>
          <w:szCs w:val="24"/>
        </w:rPr>
      </w:pPr>
      <w:r>
        <w:rPr>
          <w:rFonts w:eastAsia="Times New Roman"/>
          <w:sz w:val="24"/>
          <w:szCs w:val="24"/>
        </w:rPr>
        <w:t>At physical re-inspection, Housing Coordinator will revise as necessary and re-sign HQS with physical inspection date.</w:t>
      </w:r>
    </w:p>
    <w:p w14:paraId="2787CC58" w14:textId="4E38E0B5" w:rsidR="00DE1070" w:rsidRPr="00CD2CD0" w:rsidRDefault="00DE1070" w:rsidP="008F1DD7">
      <w:pPr>
        <w:pStyle w:val="ListParagraph"/>
        <w:numPr>
          <w:ilvl w:val="1"/>
          <w:numId w:val="15"/>
        </w:numPr>
        <w:rPr>
          <w:rFonts w:eastAsia="Times New Roman"/>
          <w:sz w:val="24"/>
          <w:szCs w:val="24"/>
        </w:rPr>
      </w:pPr>
      <w:r w:rsidRPr="00CD2CD0">
        <w:rPr>
          <w:rFonts w:eastAsia="Times New Roman"/>
          <w:sz w:val="24"/>
          <w:szCs w:val="24"/>
        </w:rPr>
        <w:t>Inspections which were conducted via phone only, with no visual documentation will be prioritized.</w:t>
      </w:r>
    </w:p>
    <w:p w14:paraId="7346638A" w14:textId="777D66EE" w:rsidR="00A07144" w:rsidRDefault="00A07144" w:rsidP="008F1DD7">
      <w:pPr>
        <w:rPr>
          <w:rFonts w:eastAsia="Times New Roman"/>
          <w:sz w:val="24"/>
          <w:szCs w:val="24"/>
        </w:rPr>
      </w:pPr>
    </w:p>
    <w:p w14:paraId="3377533B" w14:textId="2E3679D2" w:rsidR="00CA5EDA" w:rsidRDefault="00CA5EDA" w:rsidP="008F1DD7">
      <w:pPr>
        <w:jc w:val="center"/>
        <w:rPr>
          <w:b/>
          <w:bCs/>
          <w:sz w:val="24"/>
          <w:szCs w:val="24"/>
        </w:rPr>
      </w:pPr>
      <w:r w:rsidRPr="00737AAE">
        <w:rPr>
          <w:b/>
          <w:bCs/>
          <w:sz w:val="24"/>
          <w:szCs w:val="24"/>
        </w:rPr>
        <w:t>Annual HQS Inspections</w:t>
      </w:r>
    </w:p>
    <w:p w14:paraId="7AEC415B" w14:textId="77777777" w:rsidR="004449F6" w:rsidRPr="00737AAE" w:rsidRDefault="004449F6" w:rsidP="008F1DD7">
      <w:pPr>
        <w:jc w:val="center"/>
        <w:rPr>
          <w:b/>
          <w:bCs/>
          <w:sz w:val="24"/>
          <w:szCs w:val="24"/>
        </w:rPr>
      </w:pPr>
    </w:p>
    <w:p w14:paraId="7E32027B" w14:textId="38EE3E1B" w:rsidR="00810995" w:rsidRPr="00737AAE" w:rsidRDefault="00763987" w:rsidP="008F1DD7">
      <w:pPr>
        <w:rPr>
          <w:rFonts w:eastAsia="Times New Roman"/>
          <w:sz w:val="24"/>
          <w:szCs w:val="24"/>
        </w:rPr>
      </w:pPr>
      <w:r>
        <w:rPr>
          <w:rFonts w:eastAsia="Times New Roman"/>
          <w:sz w:val="24"/>
          <w:szCs w:val="24"/>
        </w:rPr>
        <w:t>Annual inspections</w:t>
      </w:r>
      <w:r w:rsidR="00AD58D1" w:rsidRPr="00737AAE">
        <w:rPr>
          <w:rFonts w:eastAsia="Times New Roman"/>
          <w:sz w:val="24"/>
          <w:szCs w:val="24"/>
        </w:rPr>
        <w:t xml:space="preserve"> </w:t>
      </w:r>
      <w:r w:rsidR="00C57295">
        <w:rPr>
          <w:rFonts w:eastAsia="Times New Roman"/>
          <w:sz w:val="24"/>
          <w:szCs w:val="24"/>
        </w:rPr>
        <w:t>wi</w:t>
      </w:r>
      <w:r>
        <w:rPr>
          <w:rFonts w:eastAsia="Times New Roman"/>
          <w:sz w:val="24"/>
          <w:szCs w:val="24"/>
        </w:rPr>
        <w:t xml:space="preserve">ll </w:t>
      </w:r>
      <w:r w:rsidR="00AD58D1" w:rsidRPr="00737AAE">
        <w:rPr>
          <w:rFonts w:eastAsia="Times New Roman"/>
          <w:sz w:val="24"/>
          <w:szCs w:val="24"/>
        </w:rPr>
        <w:t>be postponed during COVID-19 response. When inspections are due:</w:t>
      </w:r>
    </w:p>
    <w:p w14:paraId="46C5C5DB" w14:textId="63E5F34D" w:rsidR="00AD58D1" w:rsidRPr="00737AAE" w:rsidRDefault="00AD58D1" w:rsidP="008F1DD7">
      <w:pPr>
        <w:pStyle w:val="ListParagraph"/>
        <w:numPr>
          <w:ilvl w:val="0"/>
          <w:numId w:val="8"/>
        </w:numPr>
        <w:rPr>
          <w:rFonts w:eastAsia="Times New Roman"/>
          <w:sz w:val="24"/>
          <w:szCs w:val="24"/>
        </w:rPr>
      </w:pPr>
      <w:r w:rsidRPr="00737AAE">
        <w:rPr>
          <w:rFonts w:eastAsia="Times New Roman"/>
          <w:sz w:val="24"/>
          <w:szCs w:val="24"/>
        </w:rPr>
        <w:t xml:space="preserve">Housing Coordinator </w:t>
      </w:r>
      <w:r w:rsidR="00203F71" w:rsidRPr="00737AAE">
        <w:rPr>
          <w:rFonts w:eastAsia="Times New Roman"/>
          <w:sz w:val="24"/>
          <w:szCs w:val="24"/>
        </w:rPr>
        <w:t xml:space="preserve">will </w:t>
      </w:r>
      <w:r w:rsidRPr="00737AAE">
        <w:rPr>
          <w:rFonts w:eastAsia="Times New Roman"/>
          <w:sz w:val="24"/>
          <w:szCs w:val="24"/>
        </w:rPr>
        <w:t xml:space="preserve">call or otherwise connect with client to inform them of postponed inspection and ask about immediate needs; </w:t>
      </w:r>
      <w:r w:rsidR="0008330B">
        <w:rPr>
          <w:rFonts w:eastAsia="Times New Roman"/>
          <w:sz w:val="24"/>
          <w:szCs w:val="24"/>
        </w:rPr>
        <w:t xml:space="preserve">will </w:t>
      </w:r>
      <w:r w:rsidRPr="00737AAE">
        <w:rPr>
          <w:rFonts w:eastAsia="Times New Roman"/>
          <w:sz w:val="24"/>
          <w:szCs w:val="24"/>
        </w:rPr>
        <w:t>follow-up with supervisor and team and/ or case managers</w:t>
      </w:r>
      <w:r w:rsidR="00203F71" w:rsidRPr="00737AAE">
        <w:rPr>
          <w:rFonts w:eastAsia="Times New Roman"/>
          <w:sz w:val="24"/>
          <w:szCs w:val="24"/>
        </w:rPr>
        <w:t xml:space="preserve"> and/ or landlords</w:t>
      </w:r>
      <w:r w:rsidRPr="00737AAE">
        <w:rPr>
          <w:rFonts w:eastAsia="Times New Roman"/>
          <w:sz w:val="24"/>
          <w:szCs w:val="24"/>
        </w:rPr>
        <w:t xml:space="preserve"> about needs as necessary.</w:t>
      </w:r>
    </w:p>
    <w:p w14:paraId="65C0CDAB" w14:textId="77777777" w:rsidR="00810995" w:rsidRPr="00737AAE" w:rsidRDefault="00810995" w:rsidP="008F1DD7">
      <w:pPr>
        <w:pStyle w:val="ListParagraph"/>
        <w:jc w:val="center"/>
        <w:rPr>
          <w:sz w:val="24"/>
          <w:szCs w:val="24"/>
        </w:rPr>
      </w:pPr>
    </w:p>
    <w:p w14:paraId="72547D15" w14:textId="29A13069" w:rsidR="0086427A" w:rsidRDefault="003D3E9D" w:rsidP="008F1DD7">
      <w:pPr>
        <w:jc w:val="center"/>
        <w:rPr>
          <w:rFonts w:eastAsia="Times New Roman"/>
          <w:b/>
          <w:bCs/>
          <w:sz w:val="24"/>
          <w:szCs w:val="24"/>
        </w:rPr>
      </w:pPr>
      <w:r w:rsidRPr="00737AAE">
        <w:rPr>
          <w:b/>
          <w:bCs/>
          <w:sz w:val="24"/>
          <w:szCs w:val="24"/>
        </w:rPr>
        <w:t xml:space="preserve">Initial </w:t>
      </w:r>
      <w:r w:rsidR="006F1FA2" w:rsidRPr="00737AAE">
        <w:rPr>
          <w:b/>
          <w:bCs/>
          <w:sz w:val="24"/>
          <w:szCs w:val="24"/>
        </w:rPr>
        <w:t>Certifications</w:t>
      </w:r>
      <w:r w:rsidRPr="00737AAE">
        <w:rPr>
          <w:b/>
          <w:bCs/>
          <w:sz w:val="24"/>
          <w:szCs w:val="24"/>
        </w:rPr>
        <w:t xml:space="preserve"> and Annual Recertifications</w:t>
      </w:r>
    </w:p>
    <w:p w14:paraId="27CAE817" w14:textId="77777777" w:rsidR="004449F6" w:rsidRPr="004449F6" w:rsidRDefault="004449F6" w:rsidP="008F1DD7">
      <w:pPr>
        <w:jc w:val="center"/>
        <w:rPr>
          <w:rFonts w:eastAsia="Times New Roman"/>
          <w:b/>
          <w:bCs/>
          <w:sz w:val="24"/>
          <w:szCs w:val="24"/>
        </w:rPr>
      </w:pPr>
    </w:p>
    <w:p w14:paraId="1CC26A53" w14:textId="48AD82F1" w:rsidR="00E80FD4" w:rsidRPr="00737AAE" w:rsidRDefault="0086427A" w:rsidP="008F1DD7">
      <w:pPr>
        <w:pStyle w:val="BodyText"/>
        <w:tabs>
          <w:tab w:val="left" w:pos="2262"/>
        </w:tabs>
        <w:spacing w:before="1"/>
        <w:ind w:hanging="1803"/>
        <w:rPr>
          <w:rFonts w:ascii="Calibri" w:hAnsi="Calibri" w:cs="Calibri"/>
        </w:rPr>
      </w:pPr>
      <w:r w:rsidRPr="00737AAE">
        <w:rPr>
          <w:rFonts w:ascii="Calibri" w:hAnsi="Calibri" w:cs="Calibri"/>
        </w:rPr>
        <w:t xml:space="preserve">Housing </w:t>
      </w:r>
      <w:r w:rsidR="00737AAE">
        <w:rPr>
          <w:rFonts w:ascii="Calibri" w:hAnsi="Calibri" w:cs="Calibri"/>
        </w:rPr>
        <w:tab/>
        <w:t xml:space="preserve">Housing </w:t>
      </w:r>
      <w:r w:rsidRPr="00737AAE">
        <w:rPr>
          <w:rFonts w:ascii="Calibri" w:hAnsi="Calibri" w:cs="Calibri"/>
        </w:rPr>
        <w:t xml:space="preserve">Coordinator will mail certifications to clients who </w:t>
      </w:r>
      <w:r w:rsidR="00737AAE">
        <w:rPr>
          <w:rFonts w:ascii="Calibri" w:hAnsi="Calibri" w:cs="Calibri"/>
        </w:rPr>
        <w:t>will f</w:t>
      </w:r>
      <w:r w:rsidRPr="00737AAE">
        <w:rPr>
          <w:rFonts w:ascii="Calibri" w:hAnsi="Calibri" w:cs="Calibri"/>
        </w:rPr>
        <w:t>ill out, sign, and mail</w:t>
      </w:r>
      <w:r w:rsidR="00737AAE">
        <w:rPr>
          <w:rFonts w:ascii="Calibri" w:hAnsi="Calibri" w:cs="Calibri"/>
        </w:rPr>
        <w:t xml:space="preserve"> </w:t>
      </w:r>
      <w:r w:rsidRPr="00737AAE">
        <w:rPr>
          <w:rFonts w:ascii="Calibri" w:hAnsi="Calibri" w:cs="Calibri"/>
        </w:rPr>
        <w:t>back i</w:t>
      </w:r>
      <w:r w:rsidR="00737AAE">
        <w:rPr>
          <w:rFonts w:ascii="Calibri" w:hAnsi="Calibri" w:cs="Calibri"/>
        </w:rPr>
        <w:t xml:space="preserve">n </w:t>
      </w:r>
      <w:r w:rsidRPr="00737AAE">
        <w:rPr>
          <w:rFonts w:ascii="Calibri" w:hAnsi="Calibri" w:cs="Calibri"/>
        </w:rPr>
        <w:t>enclosed self-addressed envelope.</w:t>
      </w:r>
    </w:p>
    <w:p w14:paraId="62F810CB" w14:textId="77777777" w:rsidR="00E80FD4" w:rsidRPr="00737AAE" w:rsidRDefault="00E80FD4" w:rsidP="008F1DD7">
      <w:pPr>
        <w:pStyle w:val="BodyText"/>
        <w:tabs>
          <w:tab w:val="left" w:pos="2262"/>
        </w:tabs>
        <w:spacing w:before="1"/>
        <w:ind w:left="1803" w:right="683" w:hanging="1803"/>
        <w:rPr>
          <w:rFonts w:ascii="Calibri" w:hAnsi="Calibri" w:cs="Calibri"/>
        </w:rPr>
      </w:pPr>
    </w:p>
    <w:p w14:paraId="2522CC1E" w14:textId="77777777" w:rsidR="00E80FD4" w:rsidRPr="00737AAE" w:rsidRDefault="00E80FD4" w:rsidP="008F1DD7">
      <w:pPr>
        <w:pStyle w:val="BodyText"/>
        <w:tabs>
          <w:tab w:val="left" w:pos="2262"/>
        </w:tabs>
        <w:spacing w:before="1"/>
        <w:ind w:left="1803" w:right="683" w:hanging="1803"/>
        <w:rPr>
          <w:rFonts w:ascii="Calibri" w:hAnsi="Calibri" w:cs="Calibri"/>
        </w:rPr>
      </w:pPr>
      <w:r w:rsidRPr="00737AAE">
        <w:rPr>
          <w:rFonts w:ascii="Calibri" w:hAnsi="Calibri" w:cs="Calibri"/>
        </w:rPr>
        <w:t xml:space="preserve">If </w:t>
      </w:r>
      <w:r w:rsidRPr="002C1726">
        <w:rPr>
          <w:rFonts w:ascii="Calibri" w:hAnsi="Calibri" w:cs="Calibri"/>
          <w:b/>
          <w:bCs/>
        </w:rPr>
        <w:t>income documentation</w:t>
      </w:r>
      <w:r w:rsidRPr="00737AAE">
        <w:rPr>
          <w:rFonts w:ascii="Calibri" w:hAnsi="Calibri" w:cs="Calibri"/>
        </w:rPr>
        <w:t xml:space="preserve"> is not available, households may self-certify their income.</w:t>
      </w:r>
    </w:p>
    <w:p w14:paraId="6EE7AC93" w14:textId="45868BDA" w:rsidR="00E80FD4" w:rsidRPr="00763987" w:rsidRDefault="00E80FD4" w:rsidP="008F1DD7">
      <w:pPr>
        <w:pStyle w:val="BodyText"/>
        <w:numPr>
          <w:ilvl w:val="0"/>
          <w:numId w:val="13"/>
        </w:numPr>
        <w:tabs>
          <w:tab w:val="left" w:pos="2262"/>
        </w:tabs>
        <w:spacing w:before="1"/>
        <w:ind w:right="683"/>
        <w:rPr>
          <w:rFonts w:ascii="Calibri" w:hAnsi="Calibri" w:cs="Calibri"/>
        </w:rPr>
      </w:pPr>
      <w:r w:rsidRPr="00737AAE">
        <w:rPr>
          <w:rFonts w:ascii="Calibri" w:hAnsi="Calibri" w:cs="Calibri"/>
        </w:rPr>
        <w:t xml:space="preserve">If households self-certify, they must </w:t>
      </w:r>
      <w:r w:rsidR="00737AAE">
        <w:rPr>
          <w:rFonts w:ascii="Calibri" w:hAnsi="Calibri" w:cs="Calibri"/>
        </w:rPr>
        <w:t>provide</w:t>
      </w:r>
      <w:r w:rsidRPr="00737AAE">
        <w:rPr>
          <w:rFonts w:ascii="Calibri" w:hAnsi="Calibri" w:cs="Calibri"/>
          <w:spacing w:val="-4"/>
        </w:rPr>
        <w:t xml:space="preserve"> </w:t>
      </w:r>
      <w:r w:rsidRPr="00737AAE">
        <w:rPr>
          <w:rFonts w:ascii="Calibri" w:hAnsi="Calibri" w:cs="Calibri"/>
          <w:spacing w:val="-3"/>
        </w:rPr>
        <w:t xml:space="preserve">source </w:t>
      </w:r>
      <w:r w:rsidRPr="00737AAE">
        <w:rPr>
          <w:rFonts w:ascii="Calibri" w:hAnsi="Calibri" w:cs="Calibri"/>
          <w:spacing w:val="-4"/>
        </w:rPr>
        <w:t xml:space="preserve">documentation </w:t>
      </w:r>
      <w:r w:rsidRPr="00737AAE">
        <w:rPr>
          <w:rFonts w:ascii="Calibri" w:hAnsi="Calibri" w:cs="Calibri"/>
        </w:rPr>
        <w:t xml:space="preserve">of </w:t>
      </w:r>
      <w:r w:rsidRPr="00737AAE">
        <w:rPr>
          <w:rFonts w:ascii="Calibri" w:hAnsi="Calibri" w:cs="Calibri"/>
          <w:spacing w:val="-3"/>
        </w:rPr>
        <w:t xml:space="preserve">income </w:t>
      </w:r>
      <w:r w:rsidRPr="00737AAE">
        <w:rPr>
          <w:rFonts w:ascii="Calibri" w:hAnsi="Calibri" w:cs="Calibri"/>
          <w:spacing w:val="-4"/>
        </w:rPr>
        <w:t xml:space="preserve">eligibility </w:t>
      </w:r>
      <w:r w:rsidRPr="00737AAE">
        <w:rPr>
          <w:rFonts w:ascii="Calibri" w:hAnsi="Calibri" w:cs="Calibri"/>
          <w:spacing w:val="-3"/>
        </w:rPr>
        <w:t xml:space="preserve">within </w:t>
      </w:r>
      <w:r w:rsidR="004F7785">
        <w:rPr>
          <w:rFonts w:ascii="Calibri" w:hAnsi="Calibri" w:cs="Calibri"/>
        </w:rPr>
        <w:t>90 days</w:t>
      </w:r>
      <w:r w:rsidRPr="00737AAE">
        <w:rPr>
          <w:rFonts w:ascii="Calibri" w:hAnsi="Calibri" w:cs="Calibri"/>
          <w:spacing w:val="-3"/>
        </w:rPr>
        <w:t xml:space="preserve"> </w:t>
      </w:r>
      <w:r w:rsidRPr="00737AAE">
        <w:rPr>
          <w:rFonts w:ascii="Calibri" w:hAnsi="Calibri" w:cs="Calibri"/>
        </w:rPr>
        <w:t xml:space="preserve">of </w:t>
      </w:r>
      <w:r w:rsidRPr="00737AAE">
        <w:rPr>
          <w:rFonts w:ascii="Calibri" w:hAnsi="Calibri" w:cs="Calibri"/>
          <w:spacing w:val="-3"/>
        </w:rPr>
        <w:t xml:space="preserve">public </w:t>
      </w:r>
      <w:r w:rsidRPr="00737AAE">
        <w:rPr>
          <w:rFonts w:ascii="Calibri" w:hAnsi="Calibri" w:cs="Calibri"/>
          <w:spacing w:val="-4"/>
        </w:rPr>
        <w:t xml:space="preserve">health officials determining </w:t>
      </w:r>
      <w:r w:rsidRPr="00737AAE">
        <w:rPr>
          <w:rFonts w:ascii="Calibri" w:hAnsi="Calibri" w:cs="Calibri"/>
          <w:spacing w:val="-3"/>
        </w:rPr>
        <w:t xml:space="preserve">no </w:t>
      </w:r>
      <w:r w:rsidRPr="00737AAE">
        <w:rPr>
          <w:rFonts w:ascii="Calibri" w:hAnsi="Calibri" w:cs="Calibri"/>
          <w:spacing w:val="-4"/>
        </w:rPr>
        <w:t xml:space="preserve">additional </w:t>
      </w:r>
      <w:r w:rsidRPr="00737AAE">
        <w:rPr>
          <w:rFonts w:ascii="Calibri" w:hAnsi="Calibri" w:cs="Calibri"/>
          <w:spacing w:val="-3"/>
        </w:rPr>
        <w:t xml:space="preserve">special </w:t>
      </w:r>
      <w:r w:rsidRPr="00737AAE">
        <w:rPr>
          <w:rFonts w:ascii="Calibri" w:hAnsi="Calibri" w:cs="Calibri"/>
          <w:spacing w:val="-4"/>
        </w:rPr>
        <w:t xml:space="preserve">measures </w:t>
      </w:r>
      <w:r w:rsidRPr="00737AAE">
        <w:rPr>
          <w:rFonts w:ascii="Calibri" w:hAnsi="Calibri" w:cs="Calibri"/>
          <w:spacing w:val="-3"/>
        </w:rPr>
        <w:t xml:space="preserve">are </w:t>
      </w:r>
      <w:r w:rsidRPr="00737AAE">
        <w:rPr>
          <w:rFonts w:ascii="Calibri" w:hAnsi="Calibri" w:cs="Calibri"/>
          <w:spacing w:val="-4"/>
        </w:rPr>
        <w:t xml:space="preserve">necessary </w:t>
      </w:r>
      <w:r w:rsidRPr="00737AAE">
        <w:rPr>
          <w:rFonts w:ascii="Calibri" w:hAnsi="Calibri" w:cs="Calibri"/>
        </w:rPr>
        <w:t xml:space="preserve">to </w:t>
      </w:r>
      <w:r w:rsidRPr="00737AAE">
        <w:rPr>
          <w:rFonts w:ascii="Calibri" w:hAnsi="Calibri" w:cs="Calibri"/>
          <w:spacing w:val="-4"/>
        </w:rPr>
        <w:t xml:space="preserve">prevent </w:t>
      </w:r>
      <w:r w:rsidRPr="00737AAE">
        <w:rPr>
          <w:rFonts w:ascii="Calibri" w:hAnsi="Calibri" w:cs="Calibri"/>
          <w:spacing w:val="-3"/>
        </w:rPr>
        <w:t xml:space="preserve">the spread </w:t>
      </w:r>
      <w:r w:rsidRPr="00737AAE">
        <w:rPr>
          <w:rFonts w:ascii="Calibri" w:hAnsi="Calibri" w:cs="Calibri"/>
        </w:rPr>
        <w:t>of</w:t>
      </w:r>
      <w:r w:rsidRPr="00737AAE">
        <w:rPr>
          <w:rFonts w:ascii="Calibri" w:hAnsi="Calibri" w:cs="Calibri"/>
          <w:spacing w:val="-11"/>
        </w:rPr>
        <w:t xml:space="preserve"> </w:t>
      </w:r>
      <w:r w:rsidRPr="00737AAE">
        <w:rPr>
          <w:rFonts w:ascii="Calibri" w:hAnsi="Calibri" w:cs="Calibri"/>
          <w:spacing w:val="-3"/>
        </w:rPr>
        <w:t>COVID-19.</w:t>
      </w:r>
    </w:p>
    <w:p w14:paraId="4FA80BC6" w14:textId="41510A77" w:rsidR="00810995" w:rsidRDefault="00810995" w:rsidP="008F1DD7">
      <w:pPr>
        <w:rPr>
          <w:sz w:val="24"/>
          <w:szCs w:val="24"/>
        </w:rPr>
      </w:pPr>
    </w:p>
    <w:p w14:paraId="7B203727" w14:textId="739A7FED" w:rsidR="0008330B" w:rsidRPr="0008330B" w:rsidRDefault="002C1726" w:rsidP="008F1DD7">
      <w:pPr>
        <w:widowControl w:val="0"/>
        <w:tabs>
          <w:tab w:val="left" w:pos="1188"/>
          <w:tab w:val="left" w:pos="1189"/>
        </w:tabs>
        <w:autoSpaceDE w:val="0"/>
        <w:autoSpaceDN w:val="0"/>
        <w:ind w:right="633"/>
        <w:rPr>
          <w:sz w:val="24"/>
        </w:rPr>
      </w:pPr>
      <w:r w:rsidRPr="0008330B">
        <w:rPr>
          <w:sz w:val="24"/>
          <w:szCs w:val="24"/>
        </w:rPr>
        <w:t xml:space="preserve">If physical or electronic </w:t>
      </w:r>
      <w:r w:rsidRPr="0008330B">
        <w:rPr>
          <w:b/>
          <w:bCs/>
          <w:sz w:val="24"/>
          <w:szCs w:val="24"/>
        </w:rPr>
        <w:t>signatures</w:t>
      </w:r>
      <w:r w:rsidRPr="0008330B">
        <w:rPr>
          <w:sz w:val="24"/>
          <w:szCs w:val="24"/>
        </w:rPr>
        <w:t xml:space="preserve"> cannot be obtained, </w:t>
      </w:r>
      <w:r w:rsidR="001A0E68" w:rsidRPr="0008330B">
        <w:rPr>
          <w:sz w:val="24"/>
          <w:szCs w:val="24"/>
        </w:rPr>
        <w:t>Housing Coordinator ma</w:t>
      </w:r>
      <w:r w:rsidR="0008330B" w:rsidRPr="0008330B">
        <w:rPr>
          <w:sz w:val="24"/>
        </w:rPr>
        <w:t>y sign on client’s behalf, noting client agreement over the phone or</w:t>
      </w:r>
      <w:r w:rsidR="0008330B" w:rsidRPr="0008330B">
        <w:rPr>
          <w:spacing w:val="-20"/>
          <w:sz w:val="24"/>
        </w:rPr>
        <w:t xml:space="preserve"> </w:t>
      </w:r>
      <w:r w:rsidR="0008330B" w:rsidRPr="0008330B">
        <w:rPr>
          <w:sz w:val="24"/>
        </w:rPr>
        <w:t>email.</w:t>
      </w:r>
    </w:p>
    <w:p w14:paraId="25720970" w14:textId="1E7B4C06" w:rsidR="002C1726" w:rsidRPr="00737AAE" w:rsidRDefault="002C1726" w:rsidP="008F1DD7">
      <w:pPr>
        <w:rPr>
          <w:sz w:val="24"/>
          <w:szCs w:val="24"/>
        </w:rPr>
      </w:pPr>
    </w:p>
    <w:p w14:paraId="1BFC8DA0" w14:textId="35500E9D" w:rsidR="00810995" w:rsidRPr="00737AAE" w:rsidRDefault="003D3E9D" w:rsidP="008F1DD7">
      <w:pPr>
        <w:jc w:val="center"/>
        <w:rPr>
          <w:b/>
          <w:bCs/>
          <w:sz w:val="24"/>
          <w:szCs w:val="24"/>
        </w:rPr>
      </w:pPr>
      <w:r w:rsidRPr="00737AAE">
        <w:rPr>
          <w:b/>
          <w:bCs/>
          <w:sz w:val="24"/>
          <w:szCs w:val="24"/>
        </w:rPr>
        <w:lastRenderedPageBreak/>
        <w:t xml:space="preserve">Initial </w:t>
      </w:r>
      <w:r w:rsidR="00FE5707" w:rsidRPr="00737AAE">
        <w:rPr>
          <w:b/>
          <w:bCs/>
          <w:sz w:val="24"/>
          <w:szCs w:val="24"/>
        </w:rPr>
        <w:t>Assessment</w:t>
      </w:r>
    </w:p>
    <w:p w14:paraId="42D1F596" w14:textId="77777777" w:rsidR="00810995" w:rsidRPr="00737AAE" w:rsidRDefault="00810995" w:rsidP="008F1DD7">
      <w:pPr>
        <w:jc w:val="center"/>
        <w:rPr>
          <w:b/>
          <w:bCs/>
          <w:sz w:val="24"/>
          <w:szCs w:val="24"/>
        </w:rPr>
      </w:pPr>
    </w:p>
    <w:p w14:paraId="4597CEF0" w14:textId="6965780C" w:rsidR="00AB2E3D" w:rsidRPr="00E9226E" w:rsidRDefault="00FE5707" w:rsidP="008F1DD7">
      <w:pPr>
        <w:rPr>
          <w:rFonts w:eastAsia="Times New Roman"/>
          <w:sz w:val="24"/>
          <w:szCs w:val="24"/>
        </w:rPr>
      </w:pPr>
      <w:r w:rsidRPr="00737AAE">
        <w:rPr>
          <w:rFonts w:eastAsia="Times New Roman"/>
          <w:sz w:val="24"/>
          <w:szCs w:val="24"/>
        </w:rPr>
        <w:t xml:space="preserve">From date of referral, Housing Coordinators </w:t>
      </w:r>
      <w:r w:rsidR="00763987">
        <w:rPr>
          <w:rFonts w:eastAsia="Times New Roman"/>
          <w:sz w:val="24"/>
          <w:szCs w:val="24"/>
        </w:rPr>
        <w:t>will</w:t>
      </w:r>
      <w:r w:rsidRPr="00737AAE">
        <w:rPr>
          <w:rFonts w:eastAsia="Times New Roman"/>
          <w:sz w:val="24"/>
          <w:szCs w:val="24"/>
        </w:rPr>
        <w:t xml:space="preserve"> complete an initial assessment and send to the Central </w:t>
      </w:r>
      <w:r w:rsidR="003D3E9D" w:rsidRPr="00737AAE">
        <w:rPr>
          <w:rFonts w:eastAsia="Times New Roman"/>
          <w:sz w:val="24"/>
          <w:szCs w:val="24"/>
        </w:rPr>
        <w:t>Wait</w:t>
      </w:r>
      <w:r w:rsidRPr="00737AAE">
        <w:rPr>
          <w:rFonts w:eastAsia="Times New Roman"/>
          <w:sz w:val="24"/>
          <w:szCs w:val="24"/>
        </w:rPr>
        <w:t>l</w:t>
      </w:r>
      <w:r w:rsidR="003D3E9D" w:rsidRPr="00737AAE">
        <w:rPr>
          <w:rFonts w:eastAsia="Times New Roman"/>
          <w:sz w:val="24"/>
          <w:szCs w:val="24"/>
        </w:rPr>
        <w:t xml:space="preserve">ist </w:t>
      </w:r>
      <w:r w:rsidRPr="00737AAE">
        <w:rPr>
          <w:rFonts w:eastAsia="Times New Roman"/>
          <w:sz w:val="24"/>
          <w:szCs w:val="24"/>
        </w:rPr>
        <w:t>within</w:t>
      </w:r>
      <w:r w:rsidR="003D3E9D" w:rsidRPr="00737AAE">
        <w:rPr>
          <w:rFonts w:eastAsia="Times New Roman"/>
          <w:sz w:val="24"/>
          <w:szCs w:val="24"/>
        </w:rPr>
        <w:t xml:space="preserve"> </w:t>
      </w:r>
      <w:r w:rsidRPr="00737AAE">
        <w:rPr>
          <w:rFonts w:eastAsia="Times New Roman"/>
          <w:sz w:val="24"/>
          <w:szCs w:val="24"/>
        </w:rPr>
        <w:t>one</w:t>
      </w:r>
      <w:r w:rsidR="003D3E9D" w:rsidRPr="00737AAE">
        <w:rPr>
          <w:rFonts w:eastAsia="Times New Roman"/>
          <w:sz w:val="24"/>
          <w:szCs w:val="24"/>
        </w:rPr>
        <w:t xml:space="preserve"> month</w:t>
      </w:r>
      <w:r w:rsidRPr="00737AAE">
        <w:rPr>
          <w:rFonts w:eastAsia="Times New Roman"/>
          <w:sz w:val="24"/>
          <w:szCs w:val="24"/>
        </w:rPr>
        <w:t xml:space="preserve"> (extended from two weeks).</w:t>
      </w:r>
      <w:r w:rsidR="00AD58D1" w:rsidRPr="00737AAE">
        <w:rPr>
          <w:rFonts w:eastAsia="Times New Roman"/>
          <w:sz w:val="24"/>
          <w:szCs w:val="24"/>
        </w:rPr>
        <w:t xml:space="preserve"> No Policy Exception is needed.</w:t>
      </w:r>
      <w:r w:rsidR="00737AAE">
        <w:rPr>
          <w:rFonts w:eastAsia="Times New Roman"/>
          <w:sz w:val="24"/>
          <w:szCs w:val="24"/>
        </w:rPr>
        <w:t xml:space="preserve"> If longer than one month is needed, Housing Coordinator will submit a Policy Exception.</w:t>
      </w:r>
    </w:p>
    <w:p w14:paraId="58DD0FDF" w14:textId="77777777" w:rsidR="00367608" w:rsidRDefault="00367608" w:rsidP="008F1DD7">
      <w:pPr>
        <w:jc w:val="center"/>
        <w:rPr>
          <w:b/>
          <w:bCs/>
          <w:sz w:val="24"/>
          <w:szCs w:val="24"/>
        </w:rPr>
      </w:pPr>
    </w:p>
    <w:p w14:paraId="70E914C2" w14:textId="39C515AB" w:rsidR="00DB459E" w:rsidRPr="00737AAE" w:rsidRDefault="00DB459E" w:rsidP="008F1DD7">
      <w:pPr>
        <w:jc w:val="center"/>
        <w:rPr>
          <w:b/>
          <w:bCs/>
          <w:sz w:val="24"/>
          <w:szCs w:val="24"/>
        </w:rPr>
      </w:pPr>
      <w:r w:rsidRPr="00737AAE">
        <w:rPr>
          <w:b/>
          <w:bCs/>
          <w:sz w:val="24"/>
          <w:szCs w:val="24"/>
        </w:rPr>
        <w:t>Housing Search</w:t>
      </w:r>
    </w:p>
    <w:p w14:paraId="38CE4CF0" w14:textId="77777777" w:rsidR="00DB459E" w:rsidRPr="00737AAE" w:rsidRDefault="00DB459E" w:rsidP="008F1DD7">
      <w:pPr>
        <w:jc w:val="center"/>
        <w:rPr>
          <w:b/>
          <w:bCs/>
          <w:sz w:val="24"/>
          <w:szCs w:val="24"/>
        </w:rPr>
      </w:pPr>
    </w:p>
    <w:p w14:paraId="5D6A73C5" w14:textId="61118D99" w:rsidR="00DB459E" w:rsidRPr="00737AAE" w:rsidRDefault="00DB459E" w:rsidP="008F1DD7">
      <w:pPr>
        <w:rPr>
          <w:rFonts w:eastAsia="Times New Roman"/>
          <w:sz w:val="24"/>
          <w:szCs w:val="24"/>
        </w:rPr>
      </w:pPr>
      <w:r w:rsidRPr="00737AAE">
        <w:rPr>
          <w:rFonts w:eastAsia="Times New Roman"/>
          <w:sz w:val="24"/>
          <w:szCs w:val="24"/>
        </w:rPr>
        <w:t>Housing Searches will be extended beyond the 120-day limit per Policy Exception submitted by Housing Coordinator, in 30- to 60-</w:t>
      </w:r>
      <w:r w:rsidR="00CE0BE9" w:rsidRPr="00737AAE">
        <w:rPr>
          <w:rFonts w:eastAsia="Times New Roman"/>
          <w:sz w:val="24"/>
          <w:szCs w:val="24"/>
        </w:rPr>
        <w:t xml:space="preserve"> </w:t>
      </w:r>
      <w:r w:rsidRPr="00737AAE">
        <w:rPr>
          <w:rFonts w:eastAsia="Times New Roman"/>
          <w:sz w:val="24"/>
          <w:szCs w:val="24"/>
        </w:rPr>
        <w:t>day increments.</w:t>
      </w:r>
    </w:p>
    <w:p w14:paraId="2A218BE2" w14:textId="25CCE6A1" w:rsidR="00CE0BE9" w:rsidRPr="00737AAE" w:rsidRDefault="00CE0BE9" w:rsidP="008F1DD7">
      <w:pPr>
        <w:rPr>
          <w:rFonts w:eastAsia="Times New Roman"/>
          <w:sz w:val="24"/>
          <w:szCs w:val="24"/>
        </w:rPr>
      </w:pPr>
    </w:p>
    <w:p w14:paraId="7014BEF4" w14:textId="21E88851" w:rsidR="00763987" w:rsidRDefault="00CE0BE9" w:rsidP="008F1DD7">
      <w:pPr>
        <w:rPr>
          <w:rFonts w:eastAsia="Times New Roman"/>
          <w:sz w:val="24"/>
          <w:szCs w:val="24"/>
        </w:rPr>
      </w:pPr>
      <w:r w:rsidRPr="00737AAE">
        <w:rPr>
          <w:rFonts w:eastAsia="Times New Roman"/>
          <w:sz w:val="24"/>
          <w:szCs w:val="24"/>
        </w:rPr>
        <w:t xml:space="preserve">Housing Coordinators will </w:t>
      </w:r>
      <w:r w:rsidR="00AD58D1" w:rsidRPr="00737AAE">
        <w:rPr>
          <w:rFonts w:eastAsia="Times New Roman"/>
          <w:sz w:val="24"/>
          <w:szCs w:val="24"/>
        </w:rPr>
        <w:t>remain in contact with</w:t>
      </w:r>
      <w:r w:rsidRPr="00737AAE">
        <w:rPr>
          <w:rFonts w:eastAsia="Times New Roman"/>
          <w:sz w:val="24"/>
          <w:szCs w:val="24"/>
        </w:rPr>
        <w:t xml:space="preserve"> landlords and property management companies to stay abreast of available units and move-in abilities</w:t>
      </w:r>
      <w:r w:rsidR="00AD58D1" w:rsidRPr="00737AAE">
        <w:rPr>
          <w:rFonts w:eastAsia="Times New Roman"/>
          <w:sz w:val="24"/>
          <w:szCs w:val="24"/>
        </w:rPr>
        <w:t>. They will also remain in contact with clients throughout their search,</w:t>
      </w:r>
      <w:r w:rsidRPr="00737AAE">
        <w:rPr>
          <w:rFonts w:eastAsia="Times New Roman"/>
          <w:sz w:val="24"/>
          <w:szCs w:val="24"/>
        </w:rPr>
        <w:t xml:space="preserve"> especially </w:t>
      </w:r>
      <w:r w:rsidR="00AD58D1" w:rsidRPr="00737AAE">
        <w:rPr>
          <w:rFonts w:eastAsia="Times New Roman"/>
          <w:sz w:val="24"/>
          <w:szCs w:val="24"/>
        </w:rPr>
        <w:t xml:space="preserve">with </w:t>
      </w:r>
      <w:r w:rsidRPr="00737AAE">
        <w:rPr>
          <w:rFonts w:eastAsia="Times New Roman"/>
          <w:sz w:val="24"/>
          <w:szCs w:val="24"/>
        </w:rPr>
        <w:t xml:space="preserve">clients who are unsheltered or in unsafe </w:t>
      </w:r>
      <w:r w:rsidR="00AD58D1" w:rsidRPr="00737AAE">
        <w:rPr>
          <w:rFonts w:eastAsia="Times New Roman"/>
          <w:sz w:val="24"/>
          <w:szCs w:val="24"/>
        </w:rPr>
        <w:t xml:space="preserve">or unhealthy </w:t>
      </w:r>
      <w:r w:rsidRPr="00737AAE">
        <w:rPr>
          <w:rFonts w:eastAsia="Times New Roman"/>
          <w:sz w:val="24"/>
          <w:szCs w:val="24"/>
        </w:rPr>
        <w:t xml:space="preserve">living </w:t>
      </w:r>
      <w:r w:rsidR="00AD58D1" w:rsidRPr="00737AAE">
        <w:rPr>
          <w:rFonts w:eastAsia="Times New Roman"/>
          <w:sz w:val="24"/>
          <w:szCs w:val="24"/>
        </w:rPr>
        <w:t>situations.</w:t>
      </w:r>
      <w:r w:rsidRPr="00737AAE">
        <w:rPr>
          <w:rFonts w:eastAsia="Times New Roman"/>
          <w:sz w:val="24"/>
          <w:szCs w:val="24"/>
        </w:rPr>
        <w:t xml:space="preserve"> </w:t>
      </w:r>
    </w:p>
    <w:p w14:paraId="696B763B" w14:textId="77777777" w:rsidR="00763987" w:rsidRDefault="00763987" w:rsidP="008F1DD7">
      <w:pPr>
        <w:rPr>
          <w:rFonts w:eastAsia="Times New Roman"/>
          <w:sz w:val="24"/>
          <w:szCs w:val="24"/>
        </w:rPr>
      </w:pPr>
    </w:p>
    <w:p w14:paraId="631D6857" w14:textId="3E75810A" w:rsidR="00BD154A" w:rsidRPr="00142CFF" w:rsidRDefault="00763987" w:rsidP="008F1DD7">
      <w:pPr>
        <w:jc w:val="center"/>
        <w:rPr>
          <w:b/>
          <w:bCs/>
          <w:sz w:val="24"/>
          <w:szCs w:val="24"/>
        </w:rPr>
      </w:pPr>
      <w:r w:rsidRPr="00142CFF">
        <w:rPr>
          <w:b/>
          <w:bCs/>
          <w:sz w:val="24"/>
          <w:szCs w:val="24"/>
        </w:rPr>
        <w:t>Rent Reasonableness</w:t>
      </w:r>
      <w:r w:rsidR="00142CFF" w:rsidRPr="00142CFF">
        <w:rPr>
          <w:b/>
          <w:bCs/>
          <w:sz w:val="24"/>
          <w:szCs w:val="24"/>
        </w:rPr>
        <w:t xml:space="preserve"> Standard</w:t>
      </w:r>
    </w:p>
    <w:p w14:paraId="7B7A6C53" w14:textId="229AB93F" w:rsidR="00763987" w:rsidRDefault="00763987" w:rsidP="008F1DD7">
      <w:pPr>
        <w:rPr>
          <w:sz w:val="24"/>
          <w:szCs w:val="24"/>
        </w:rPr>
      </w:pPr>
    </w:p>
    <w:p w14:paraId="56A5CFD9" w14:textId="77813D1F" w:rsidR="00142CFF" w:rsidRDefault="00142CFF" w:rsidP="008F1DD7">
      <w:pPr>
        <w:rPr>
          <w:rFonts w:asciiTheme="minorHAnsi" w:hAnsiTheme="minorHAnsi" w:cstheme="minorHAnsi"/>
          <w:color w:val="000000"/>
          <w:sz w:val="24"/>
          <w:szCs w:val="24"/>
          <w:lang w:val="en"/>
        </w:rPr>
      </w:pPr>
      <w:r w:rsidRPr="00142CFF">
        <w:rPr>
          <w:rFonts w:asciiTheme="minorHAnsi" w:hAnsiTheme="minorHAnsi" w:cstheme="minorHAnsi"/>
          <w:color w:val="000000"/>
          <w:sz w:val="24"/>
          <w:szCs w:val="24"/>
          <w:lang w:val="en"/>
        </w:rPr>
        <w:t xml:space="preserve">For OHOP clients </w:t>
      </w:r>
      <w:r>
        <w:rPr>
          <w:rFonts w:asciiTheme="minorHAnsi" w:hAnsiTheme="minorHAnsi" w:cstheme="minorHAnsi"/>
          <w:color w:val="000000"/>
          <w:sz w:val="24"/>
          <w:szCs w:val="24"/>
          <w:lang w:val="en"/>
        </w:rPr>
        <w:t xml:space="preserve">in or </w:t>
      </w:r>
      <w:r w:rsidRPr="00142CFF">
        <w:rPr>
          <w:rFonts w:asciiTheme="minorHAnsi" w:hAnsiTheme="minorHAnsi" w:cstheme="minorHAnsi"/>
          <w:color w:val="000000"/>
          <w:sz w:val="24"/>
          <w:szCs w:val="24"/>
          <w:lang w:val="en"/>
        </w:rPr>
        <w:t xml:space="preserve">entering the housing search </w:t>
      </w:r>
      <w:r>
        <w:rPr>
          <w:rFonts w:asciiTheme="minorHAnsi" w:hAnsiTheme="minorHAnsi" w:cstheme="minorHAnsi"/>
          <w:color w:val="000000"/>
          <w:sz w:val="24"/>
          <w:szCs w:val="24"/>
          <w:lang w:val="en"/>
        </w:rPr>
        <w:t xml:space="preserve">as of 4/15/20, </w:t>
      </w:r>
      <w:r w:rsidRPr="00142CFF">
        <w:rPr>
          <w:rFonts w:asciiTheme="minorHAnsi" w:hAnsiTheme="minorHAnsi" w:cstheme="minorHAnsi"/>
          <w:color w:val="000000"/>
          <w:sz w:val="24"/>
          <w:szCs w:val="24"/>
          <w:lang w:val="en"/>
        </w:rPr>
        <w:t xml:space="preserve">or </w:t>
      </w:r>
      <w:r>
        <w:rPr>
          <w:rFonts w:asciiTheme="minorHAnsi" w:hAnsiTheme="minorHAnsi" w:cstheme="minorHAnsi"/>
          <w:color w:val="000000"/>
          <w:sz w:val="24"/>
          <w:szCs w:val="24"/>
          <w:lang w:val="en"/>
        </w:rPr>
        <w:t>for whom rent is increased above FMR after this date, the rent reasonableness standard may be used rather than FMR</w:t>
      </w:r>
      <w:r w:rsidR="00A37276">
        <w:rPr>
          <w:rFonts w:asciiTheme="minorHAnsi" w:hAnsiTheme="minorHAnsi" w:cstheme="minorHAnsi"/>
          <w:color w:val="000000"/>
          <w:sz w:val="24"/>
          <w:szCs w:val="24"/>
          <w:lang w:val="en"/>
        </w:rPr>
        <w:t xml:space="preserve"> and paid by eligible HUD grant funds</w:t>
      </w:r>
      <w:r w:rsidR="001C79C9">
        <w:rPr>
          <w:rFonts w:asciiTheme="minorHAnsi" w:hAnsiTheme="minorHAnsi" w:cstheme="minorHAnsi"/>
          <w:color w:val="000000"/>
          <w:sz w:val="24"/>
          <w:szCs w:val="24"/>
          <w:lang w:val="en"/>
        </w:rPr>
        <w:t xml:space="preserve"> until </w:t>
      </w:r>
      <w:r w:rsidR="003B4853">
        <w:rPr>
          <w:rFonts w:asciiTheme="minorHAnsi" w:hAnsiTheme="minorHAnsi" w:cstheme="minorHAnsi"/>
          <w:color w:val="000000"/>
          <w:sz w:val="24"/>
          <w:szCs w:val="24"/>
          <w:lang w:val="en"/>
        </w:rPr>
        <w:t>6</w:t>
      </w:r>
      <w:r w:rsidR="00D24C37">
        <w:rPr>
          <w:rFonts w:asciiTheme="minorHAnsi" w:hAnsiTheme="minorHAnsi" w:cstheme="minorHAnsi"/>
          <w:color w:val="000000"/>
          <w:sz w:val="24"/>
          <w:szCs w:val="24"/>
          <w:lang w:val="en"/>
        </w:rPr>
        <w:t>/30</w:t>
      </w:r>
      <w:r w:rsidR="001C79C9">
        <w:rPr>
          <w:rFonts w:asciiTheme="minorHAnsi" w:hAnsiTheme="minorHAnsi" w:cstheme="minorHAnsi"/>
          <w:color w:val="000000"/>
          <w:sz w:val="24"/>
          <w:szCs w:val="24"/>
          <w:lang w:val="en"/>
        </w:rPr>
        <w:t>/21</w:t>
      </w:r>
      <w:r>
        <w:rPr>
          <w:rFonts w:asciiTheme="minorHAnsi" w:hAnsiTheme="minorHAnsi" w:cstheme="minorHAnsi"/>
          <w:color w:val="000000"/>
          <w:sz w:val="24"/>
          <w:szCs w:val="24"/>
          <w:lang w:val="en"/>
        </w:rPr>
        <w:t xml:space="preserve">, per approval from Housing Coordinators </w:t>
      </w:r>
      <w:r w:rsidR="001C79C9">
        <w:rPr>
          <w:rFonts w:asciiTheme="minorHAnsi" w:hAnsiTheme="minorHAnsi" w:cstheme="minorHAnsi"/>
          <w:color w:val="000000"/>
          <w:sz w:val="24"/>
          <w:szCs w:val="24"/>
          <w:lang w:val="en"/>
        </w:rPr>
        <w:t xml:space="preserve">majority </w:t>
      </w:r>
      <w:r>
        <w:rPr>
          <w:rFonts w:asciiTheme="minorHAnsi" w:hAnsiTheme="minorHAnsi" w:cstheme="minorHAnsi"/>
          <w:color w:val="000000"/>
          <w:sz w:val="24"/>
          <w:szCs w:val="24"/>
          <w:lang w:val="en"/>
        </w:rPr>
        <w:t>and Program Manager.</w:t>
      </w:r>
    </w:p>
    <w:p w14:paraId="1B97EE24" w14:textId="77777777" w:rsidR="00142CFF" w:rsidRDefault="00142CFF" w:rsidP="008F1DD7">
      <w:pPr>
        <w:rPr>
          <w:rFonts w:asciiTheme="minorHAnsi" w:hAnsiTheme="minorHAnsi" w:cstheme="minorHAnsi"/>
          <w:color w:val="000000"/>
          <w:sz w:val="24"/>
          <w:szCs w:val="24"/>
          <w:lang w:val="en"/>
        </w:rPr>
      </w:pPr>
    </w:p>
    <w:p w14:paraId="4DB21A50" w14:textId="71A55EFE" w:rsidR="00A37276" w:rsidRDefault="00142CFF" w:rsidP="008F1DD7">
      <w:pPr>
        <w:rPr>
          <w:rFonts w:asciiTheme="minorHAnsi" w:eastAsia="Times New Roman" w:hAnsiTheme="minorHAnsi" w:cstheme="minorHAnsi"/>
          <w:sz w:val="24"/>
          <w:szCs w:val="24"/>
        </w:rPr>
      </w:pPr>
      <w:r>
        <w:rPr>
          <w:rFonts w:asciiTheme="minorHAnsi" w:hAnsiTheme="minorHAnsi" w:cstheme="minorHAnsi"/>
          <w:color w:val="000000"/>
          <w:sz w:val="24"/>
          <w:szCs w:val="24"/>
          <w:lang w:val="en"/>
        </w:rPr>
        <w:t>Note that per HUD</w:t>
      </w:r>
      <w:r w:rsidR="00A37276">
        <w:rPr>
          <w:rFonts w:asciiTheme="minorHAnsi" w:hAnsiTheme="minorHAnsi" w:cstheme="minorHAnsi"/>
          <w:color w:val="000000"/>
          <w:sz w:val="24"/>
          <w:szCs w:val="24"/>
          <w:lang w:val="en"/>
        </w:rPr>
        <w:t xml:space="preserve"> </w:t>
      </w:r>
      <w:r>
        <w:rPr>
          <w:rFonts w:asciiTheme="minorHAnsi" w:hAnsiTheme="minorHAnsi" w:cstheme="minorHAnsi"/>
          <w:color w:val="000000"/>
          <w:sz w:val="24"/>
          <w:szCs w:val="24"/>
          <w:lang w:val="en"/>
        </w:rPr>
        <w:t>rent reasonableness</w:t>
      </w:r>
      <w:r w:rsidRPr="00142CFF">
        <w:rPr>
          <w:rFonts w:asciiTheme="minorHAnsi" w:hAnsiTheme="minorHAnsi" w:cstheme="minorHAnsi"/>
          <w:color w:val="000000"/>
          <w:sz w:val="24"/>
          <w:szCs w:val="24"/>
          <w:lang w:val="en"/>
        </w:rPr>
        <w:t xml:space="preserve"> </w:t>
      </w:r>
      <w:r>
        <w:rPr>
          <w:rFonts w:asciiTheme="minorHAnsi" w:hAnsiTheme="minorHAnsi" w:cstheme="minorHAnsi"/>
          <w:color w:val="000000"/>
          <w:sz w:val="24"/>
          <w:szCs w:val="24"/>
          <w:lang w:val="en"/>
        </w:rPr>
        <w:t xml:space="preserve">policy, </w:t>
      </w:r>
      <w:r w:rsidRPr="00142CFF">
        <w:rPr>
          <w:rFonts w:asciiTheme="minorHAnsi" w:hAnsiTheme="minorHAnsi" w:cstheme="minorHAnsi"/>
          <w:color w:val="000000"/>
          <w:sz w:val="24"/>
          <w:szCs w:val="24"/>
          <w:lang w:val="en"/>
        </w:rPr>
        <w:t>rent charged for a unit must be reasonable in relation to rents currently being charged for comparable units in the private unassisted market and must not be in excess of rents currently being charged by the owner for comparable unassisted units</w:t>
      </w:r>
      <w:r>
        <w:rPr>
          <w:rFonts w:asciiTheme="minorHAnsi" w:hAnsiTheme="minorHAnsi" w:cstheme="minorHAnsi"/>
          <w:color w:val="000000"/>
          <w:sz w:val="24"/>
          <w:szCs w:val="24"/>
          <w:lang w:val="en"/>
        </w:rPr>
        <w:t xml:space="preserve">. </w:t>
      </w:r>
    </w:p>
    <w:p w14:paraId="29DB8228" w14:textId="77777777" w:rsidR="000C1519" w:rsidRDefault="000C1519" w:rsidP="0099401E">
      <w:pPr>
        <w:jc w:val="center"/>
        <w:rPr>
          <w:b/>
          <w:bCs/>
          <w:sz w:val="24"/>
          <w:szCs w:val="24"/>
        </w:rPr>
      </w:pPr>
      <w:bookmarkStart w:id="1" w:name="_Hlk42095824"/>
    </w:p>
    <w:p w14:paraId="3F3CF7AC" w14:textId="70D80242" w:rsidR="00C73A63" w:rsidRDefault="00C73A63" w:rsidP="0099401E">
      <w:pPr>
        <w:jc w:val="center"/>
        <w:rPr>
          <w:b/>
          <w:bCs/>
          <w:sz w:val="24"/>
          <w:szCs w:val="24"/>
        </w:rPr>
      </w:pPr>
      <w:r>
        <w:rPr>
          <w:b/>
          <w:bCs/>
          <w:sz w:val="24"/>
          <w:szCs w:val="24"/>
        </w:rPr>
        <w:t>Hotel/Motel Stays – Effective 6/1/20</w:t>
      </w:r>
    </w:p>
    <w:p w14:paraId="372554D0" w14:textId="77777777" w:rsidR="0099401E" w:rsidRPr="0099401E" w:rsidRDefault="0099401E" w:rsidP="0099401E">
      <w:pPr>
        <w:jc w:val="center"/>
        <w:rPr>
          <w:b/>
          <w:bCs/>
          <w:sz w:val="24"/>
          <w:szCs w:val="24"/>
        </w:rPr>
      </w:pPr>
    </w:p>
    <w:p w14:paraId="217E077D" w14:textId="6254241A" w:rsidR="00350B16" w:rsidRDefault="00E91D30" w:rsidP="008F1DD7">
      <w:pPr>
        <w:spacing w:after="160"/>
        <w:rPr>
          <w:sz w:val="24"/>
          <w:szCs w:val="24"/>
        </w:rPr>
      </w:pPr>
      <w:bookmarkStart w:id="2" w:name="_Hlk42094749"/>
      <w:r w:rsidRPr="00350B16">
        <w:rPr>
          <w:rFonts w:asciiTheme="minorHAnsi" w:hAnsiTheme="minorHAnsi" w:cstheme="minorHAnsi"/>
          <w:color w:val="000000"/>
          <w:sz w:val="24"/>
          <w:szCs w:val="24"/>
          <w:lang w:val="en"/>
        </w:rPr>
        <w:t xml:space="preserve">OHOP will </w:t>
      </w:r>
      <w:r w:rsidR="00350B16" w:rsidRPr="00350B16">
        <w:rPr>
          <w:rFonts w:asciiTheme="minorHAnsi" w:hAnsiTheme="minorHAnsi" w:cstheme="minorHAnsi"/>
          <w:color w:val="000000"/>
          <w:sz w:val="24"/>
          <w:szCs w:val="24"/>
          <w:lang w:val="en"/>
        </w:rPr>
        <w:t xml:space="preserve">provide </w:t>
      </w:r>
      <w:r w:rsidR="00350B16" w:rsidRPr="00350B16">
        <w:rPr>
          <w:sz w:val="24"/>
          <w:szCs w:val="24"/>
        </w:rPr>
        <w:t xml:space="preserve">relocation and temporary lodging services through hotel/motel stays </w:t>
      </w:r>
      <w:r w:rsidR="00B355F3">
        <w:rPr>
          <w:sz w:val="24"/>
          <w:szCs w:val="24"/>
        </w:rPr>
        <w:t xml:space="preserve">or short-term rentals </w:t>
      </w:r>
      <w:r w:rsidR="00350B16" w:rsidRPr="00350B16">
        <w:rPr>
          <w:sz w:val="24"/>
          <w:szCs w:val="24"/>
        </w:rPr>
        <w:t xml:space="preserve">for COVID response. </w:t>
      </w:r>
      <w:r w:rsidR="00C023A3">
        <w:rPr>
          <w:sz w:val="24"/>
          <w:szCs w:val="24"/>
        </w:rPr>
        <w:t xml:space="preserve">Vacation rentals Airbnb and VRBO are also permitted. </w:t>
      </w:r>
      <w:r w:rsidR="00350B16" w:rsidRPr="00350B16">
        <w:rPr>
          <w:sz w:val="24"/>
          <w:szCs w:val="24"/>
        </w:rPr>
        <w:t xml:space="preserve">Payment for hotel/motel stays will be for the purpose of isolation and quarantine to support the health of a PLWH who is vulnerable to COVID-19. </w:t>
      </w:r>
    </w:p>
    <w:p w14:paraId="50F9DF92" w14:textId="693744DC" w:rsidR="00955F31" w:rsidRDefault="00955F31" w:rsidP="008F1DD7">
      <w:pPr>
        <w:spacing w:after="160"/>
        <w:rPr>
          <w:sz w:val="24"/>
          <w:szCs w:val="24"/>
        </w:rPr>
      </w:pPr>
      <w:bookmarkStart w:id="3" w:name="_Hlk69742114"/>
      <w:r>
        <w:rPr>
          <w:sz w:val="24"/>
          <w:szCs w:val="24"/>
        </w:rPr>
        <w:t>Services are funded through CARES Act grant and will be available until funds are expended.</w:t>
      </w:r>
    </w:p>
    <w:bookmarkEnd w:id="3"/>
    <w:p w14:paraId="06238D18" w14:textId="3D66311E" w:rsidR="00350B16" w:rsidRDefault="00350B16" w:rsidP="008F1DD7">
      <w:pPr>
        <w:spacing w:after="160"/>
        <w:rPr>
          <w:sz w:val="24"/>
          <w:szCs w:val="24"/>
        </w:rPr>
      </w:pPr>
      <w:r w:rsidRPr="00350B16">
        <w:rPr>
          <w:sz w:val="24"/>
          <w:szCs w:val="24"/>
        </w:rPr>
        <w:t>OH</w:t>
      </w:r>
      <w:r w:rsidR="00D82E38">
        <w:rPr>
          <w:sz w:val="24"/>
          <w:szCs w:val="24"/>
        </w:rPr>
        <w:t>OP</w:t>
      </w:r>
      <w:r w:rsidRPr="00350B16">
        <w:rPr>
          <w:sz w:val="24"/>
          <w:szCs w:val="24"/>
        </w:rPr>
        <w:t xml:space="preserve"> will fund short term hotel/motel stays for: </w:t>
      </w:r>
    </w:p>
    <w:p w14:paraId="356A4D52" w14:textId="312144E5" w:rsidR="00350B16" w:rsidRDefault="00350B16" w:rsidP="008F1DD7">
      <w:pPr>
        <w:spacing w:after="160"/>
        <w:ind w:left="720"/>
        <w:rPr>
          <w:sz w:val="24"/>
          <w:szCs w:val="24"/>
        </w:rPr>
      </w:pPr>
      <w:r w:rsidRPr="00350B16">
        <w:rPr>
          <w:sz w:val="24"/>
          <w:szCs w:val="24"/>
        </w:rPr>
        <w:t xml:space="preserve">a) </w:t>
      </w:r>
      <w:bookmarkStart w:id="4" w:name="_Hlk42062867"/>
      <w:r w:rsidRPr="00350B16">
        <w:rPr>
          <w:sz w:val="24"/>
          <w:szCs w:val="24"/>
        </w:rPr>
        <w:t xml:space="preserve">unhoused HOPWA-eligible individuals or households </w:t>
      </w:r>
      <w:r w:rsidR="006C3FE6">
        <w:rPr>
          <w:sz w:val="24"/>
          <w:szCs w:val="24"/>
        </w:rPr>
        <w:t>with an urgent need</w:t>
      </w:r>
      <w:r w:rsidRPr="00350B16">
        <w:rPr>
          <w:sz w:val="24"/>
          <w:szCs w:val="24"/>
        </w:rPr>
        <w:t xml:space="preserve"> to stabilize their health and wellness</w:t>
      </w:r>
      <w:bookmarkEnd w:id="4"/>
      <w:r w:rsidRPr="00350B16">
        <w:rPr>
          <w:sz w:val="24"/>
          <w:szCs w:val="24"/>
        </w:rPr>
        <w:t xml:space="preserve">, </w:t>
      </w:r>
      <w:r w:rsidRPr="00350B16">
        <w:rPr>
          <w:i/>
          <w:iCs/>
          <w:sz w:val="24"/>
          <w:szCs w:val="24"/>
        </w:rPr>
        <w:t>or</w:t>
      </w:r>
      <w:r w:rsidRPr="00350B16">
        <w:rPr>
          <w:sz w:val="24"/>
          <w:szCs w:val="24"/>
        </w:rPr>
        <w:t xml:space="preserve"> </w:t>
      </w:r>
    </w:p>
    <w:p w14:paraId="0AB735F6" w14:textId="35BE6156" w:rsidR="00350B16" w:rsidRDefault="00350B16" w:rsidP="008F1DD7">
      <w:pPr>
        <w:spacing w:after="160"/>
        <w:ind w:left="720"/>
        <w:rPr>
          <w:i/>
          <w:iCs/>
          <w:sz w:val="24"/>
          <w:szCs w:val="24"/>
        </w:rPr>
      </w:pPr>
      <w:r w:rsidRPr="00350B16">
        <w:rPr>
          <w:sz w:val="24"/>
          <w:szCs w:val="24"/>
        </w:rPr>
        <w:t xml:space="preserve">b) </w:t>
      </w:r>
      <w:bookmarkStart w:id="5" w:name="_Hlk42062909"/>
      <w:r w:rsidRPr="00350B16">
        <w:rPr>
          <w:sz w:val="24"/>
          <w:szCs w:val="24"/>
        </w:rPr>
        <w:t>current OHOP clients (receiving TBRA) or their household member, regardless of HIV status, who need to quarantine separately from their household per the recommendation of their medical provider</w:t>
      </w:r>
      <w:bookmarkEnd w:id="5"/>
      <w:r>
        <w:rPr>
          <w:sz w:val="24"/>
          <w:szCs w:val="24"/>
        </w:rPr>
        <w:t xml:space="preserve">, </w:t>
      </w:r>
      <w:r w:rsidRPr="00350B16">
        <w:rPr>
          <w:i/>
          <w:iCs/>
          <w:sz w:val="24"/>
          <w:szCs w:val="24"/>
        </w:rPr>
        <w:t>or</w:t>
      </w:r>
    </w:p>
    <w:p w14:paraId="6D26DD67" w14:textId="1BCEC6B7" w:rsidR="006C3FE6" w:rsidRDefault="00350B16" w:rsidP="008F1DD7">
      <w:pPr>
        <w:spacing w:after="160"/>
        <w:ind w:left="720"/>
        <w:rPr>
          <w:sz w:val="24"/>
          <w:szCs w:val="24"/>
        </w:rPr>
      </w:pPr>
      <w:r w:rsidRPr="00350B16">
        <w:rPr>
          <w:sz w:val="24"/>
          <w:szCs w:val="24"/>
        </w:rPr>
        <w:lastRenderedPageBreak/>
        <w:t xml:space="preserve">c) </w:t>
      </w:r>
      <w:r w:rsidR="006C3FE6" w:rsidRPr="00350B16">
        <w:rPr>
          <w:sz w:val="24"/>
          <w:szCs w:val="24"/>
        </w:rPr>
        <w:t xml:space="preserve">unhoused individuals or households </w:t>
      </w:r>
      <w:r w:rsidR="006C3FE6">
        <w:rPr>
          <w:sz w:val="24"/>
          <w:szCs w:val="24"/>
        </w:rPr>
        <w:t>with an urgent need</w:t>
      </w:r>
      <w:r w:rsidR="006C3FE6" w:rsidRPr="00350B16">
        <w:rPr>
          <w:sz w:val="24"/>
          <w:szCs w:val="24"/>
        </w:rPr>
        <w:t xml:space="preserve"> to stabilize their health and wellness</w:t>
      </w:r>
      <w:r w:rsidR="006C3FE6">
        <w:rPr>
          <w:sz w:val="24"/>
          <w:szCs w:val="24"/>
        </w:rPr>
        <w:t xml:space="preserve">, or who need to quarantine </w:t>
      </w:r>
      <w:r w:rsidR="006C3FE6" w:rsidRPr="00350B16">
        <w:rPr>
          <w:sz w:val="24"/>
          <w:szCs w:val="24"/>
        </w:rPr>
        <w:t>separately from their household per the recommendation of their medical provider</w:t>
      </w:r>
      <w:r w:rsidR="006C3FE6">
        <w:rPr>
          <w:sz w:val="24"/>
          <w:szCs w:val="24"/>
        </w:rPr>
        <w:t xml:space="preserve">, who are HOPWA-ineligible but Ryan White eligible. </w:t>
      </w:r>
    </w:p>
    <w:p w14:paraId="57B29C54" w14:textId="77777777" w:rsidR="00013FCB" w:rsidRDefault="00013FCB" w:rsidP="00FA076F">
      <w:pPr>
        <w:ind w:left="360"/>
        <w:jc w:val="center"/>
        <w:rPr>
          <w:b/>
          <w:bCs/>
          <w:sz w:val="24"/>
          <w:szCs w:val="24"/>
        </w:rPr>
      </w:pPr>
      <w:bookmarkStart w:id="6" w:name="_Hlk53747587"/>
      <w:bookmarkEnd w:id="2"/>
      <w:bookmarkEnd w:id="1"/>
    </w:p>
    <w:p w14:paraId="665A578C" w14:textId="5AF081DB" w:rsidR="00FA076F" w:rsidRDefault="00FA076F" w:rsidP="00FA076F">
      <w:pPr>
        <w:ind w:left="360"/>
        <w:jc w:val="center"/>
        <w:rPr>
          <w:b/>
          <w:bCs/>
          <w:sz w:val="24"/>
          <w:szCs w:val="24"/>
        </w:rPr>
      </w:pPr>
      <w:r>
        <w:rPr>
          <w:b/>
          <w:bCs/>
          <w:sz w:val="24"/>
          <w:szCs w:val="24"/>
        </w:rPr>
        <w:t>OHOP Eligibility – Effective 11/15/20</w:t>
      </w:r>
    </w:p>
    <w:p w14:paraId="32DD7ACA" w14:textId="77777777" w:rsidR="00FA076F" w:rsidRDefault="00FA076F" w:rsidP="00FA076F">
      <w:pPr>
        <w:ind w:left="360"/>
        <w:jc w:val="center"/>
        <w:rPr>
          <w:b/>
          <w:bCs/>
          <w:sz w:val="24"/>
          <w:szCs w:val="24"/>
        </w:rPr>
      </w:pPr>
    </w:p>
    <w:bookmarkEnd w:id="6"/>
    <w:p w14:paraId="30EEC5D7" w14:textId="60F03B36" w:rsidR="00630FDB" w:rsidRPr="00630FDB" w:rsidRDefault="00630FDB" w:rsidP="00630FDB">
      <w:pPr>
        <w:rPr>
          <w:sz w:val="24"/>
          <w:szCs w:val="24"/>
        </w:rPr>
      </w:pPr>
      <w:r w:rsidRPr="00630FDB">
        <w:rPr>
          <w:sz w:val="24"/>
          <w:szCs w:val="24"/>
          <w:lang w:val="en"/>
        </w:rPr>
        <w:t xml:space="preserve">OHOP eligibility is extended </w:t>
      </w:r>
      <w:r w:rsidRPr="00630FDB">
        <w:rPr>
          <w:sz w:val="24"/>
          <w:szCs w:val="24"/>
        </w:rPr>
        <w:t>to all clients and households who are HOPWA-ineligible but Ryan White eligible, with income at or below 80% AMI. HOPWA-</w:t>
      </w:r>
      <w:r>
        <w:rPr>
          <w:sz w:val="24"/>
          <w:szCs w:val="24"/>
        </w:rPr>
        <w:t>in</w:t>
      </w:r>
      <w:r w:rsidRPr="00630FDB">
        <w:rPr>
          <w:sz w:val="24"/>
          <w:szCs w:val="24"/>
        </w:rPr>
        <w:t>eligible clients will be placed in OHOP’s Secure program</w:t>
      </w:r>
      <w:r w:rsidR="00955F31">
        <w:rPr>
          <w:sz w:val="24"/>
          <w:szCs w:val="24"/>
        </w:rPr>
        <w:t>.</w:t>
      </w:r>
      <w:r w:rsidRPr="00630FDB">
        <w:rPr>
          <w:sz w:val="24"/>
          <w:szCs w:val="24"/>
        </w:rPr>
        <w:t xml:space="preserve"> </w:t>
      </w:r>
    </w:p>
    <w:p w14:paraId="00A2C318" w14:textId="77777777" w:rsidR="00FA076F" w:rsidRPr="00FA076F" w:rsidRDefault="00FA076F" w:rsidP="00FA076F">
      <w:pPr>
        <w:spacing w:after="160"/>
        <w:rPr>
          <w:sz w:val="24"/>
          <w:szCs w:val="24"/>
        </w:rPr>
      </w:pPr>
    </w:p>
    <w:p w14:paraId="28FD40B0" w14:textId="54F9E9C7" w:rsidR="00945E99" w:rsidRPr="000C1519" w:rsidRDefault="00945E99" w:rsidP="00945E99">
      <w:pPr>
        <w:ind w:left="360"/>
        <w:jc w:val="center"/>
        <w:rPr>
          <w:b/>
          <w:bCs/>
          <w:sz w:val="24"/>
          <w:szCs w:val="24"/>
        </w:rPr>
      </w:pPr>
      <w:r w:rsidRPr="000C1519">
        <w:rPr>
          <w:b/>
          <w:bCs/>
          <w:sz w:val="24"/>
          <w:szCs w:val="24"/>
        </w:rPr>
        <w:t>OHOP Re-referral Eligibility – Effective 11/15/20</w:t>
      </w:r>
    </w:p>
    <w:p w14:paraId="16A771B0" w14:textId="77777777" w:rsidR="00945E99" w:rsidRPr="000C1519" w:rsidRDefault="00945E99" w:rsidP="00945E99">
      <w:pPr>
        <w:ind w:left="360"/>
        <w:jc w:val="center"/>
        <w:rPr>
          <w:b/>
          <w:bCs/>
          <w:sz w:val="24"/>
          <w:szCs w:val="24"/>
        </w:rPr>
      </w:pPr>
    </w:p>
    <w:p w14:paraId="36B5F9FA" w14:textId="1DACE752" w:rsidR="00FA076F" w:rsidRDefault="00013FCB" w:rsidP="00945E99">
      <w:pPr>
        <w:spacing w:after="160" w:line="259" w:lineRule="auto"/>
        <w:rPr>
          <w:rFonts w:ascii="Arial" w:hAnsi="Arial" w:cs="Arial"/>
          <w:b/>
          <w:bCs/>
          <w:sz w:val="24"/>
          <w:szCs w:val="24"/>
        </w:rPr>
      </w:pPr>
      <w:r w:rsidRPr="000C1519">
        <w:rPr>
          <w:sz w:val="24"/>
          <w:szCs w:val="24"/>
          <w:lang w:val="en"/>
        </w:rPr>
        <w:t xml:space="preserve">All </w:t>
      </w:r>
      <w:r w:rsidR="00945E99" w:rsidRPr="000C1519">
        <w:rPr>
          <w:sz w:val="24"/>
          <w:szCs w:val="24"/>
          <w:lang w:val="en"/>
        </w:rPr>
        <w:t xml:space="preserve">OHOP </w:t>
      </w:r>
      <w:r w:rsidRPr="000C1519">
        <w:rPr>
          <w:sz w:val="24"/>
          <w:szCs w:val="24"/>
          <w:lang w:val="en"/>
        </w:rPr>
        <w:t xml:space="preserve">clients who have been terminated from services </w:t>
      </w:r>
      <w:r w:rsidR="004C369B" w:rsidRPr="000C1519">
        <w:rPr>
          <w:sz w:val="24"/>
          <w:szCs w:val="24"/>
          <w:lang w:val="en"/>
        </w:rPr>
        <w:t xml:space="preserve">due to program violations </w:t>
      </w:r>
      <w:r w:rsidRPr="000C1519">
        <w:rPr>
          <w:sz w:val="24"/>
          <w:szCs w:val="24"/>
          <w:lang w:val="en"/>
        </w:rPr>
        <w:t>will be eligible for re-referral after a period of 6 months from date of termination. If clients have received two terminations</w:t>
      </w:r>
      <w:r w:rsidR="004C369B" w:rsidRPr="000C1519">
        <w:rPr>
          <w:sz w:val="24"/>
          <w:szCs w:val="24"/>
          <w:lang w:val="en"/>
        </w:rPr>
        <w:t xml:space="preserve"> due to program violations</w:t>
      </w:r>
      <w:r w:rsidRPr="000C1519">
        <w:rPr>
          <w:sz w:val="24"/>
          <w:szCs w:val="24"/>
          <w:lang w:val="en"/>
        </w:rPr>
        <w:t>, they will be eligible for re-referral after a period of 12 months (1 year). Under no circumstances will a terminated client be in-eligible for re-referral.</w:t>
      </w:r>
      <w:r w:rsidR="004C369B" w:rsidRPr="000C1519">
        <w:rPr>
          <w:sz w:val="24"/>
          <w:szCs w:val="24"/>
          <w:lang w:val="en"/>
        </w:rPr>
        <w:t xml:space="preserve"> Referrals must meet requirements outl</w:t>
      </w:r>
      <w:r w:rsidR="00955F31">
        <w:rPr>
          <w:sz w:val="24"/>
          <w:szCs w:val="24"/>
          <w:lang w:val="en"/>
        </w:rPr>
        <w:t>i</w:t>
      </w:r>
      <w:r w:rsidR="004C369B" w:rsidRPr="000C1519">
        <w:rPr>
          <w:sz w:val="24"/>
          <w:szCs w:val="24"/>
          <w:lang w:val="en"/>
        </w:rPr>
        <w:t>ned in OHOP Policies &amp; Procedures.</w:t>
      </w:r>
    </w:p>
    <w:p w14:paraId="5791442C" w14:textId="77777777" w:rsidR="00867C96" w:rsidRPr="004866B8" w:rsidRDefault="00867C96" w:rsidP="00B13E34">
      <w:pPr>
        <w:rPr>
          <w:sz w:val="24"/>
          <w:szCs w:val="24"/>
        </w:rPr>
      </w:pPr>
    </w:p>
    <w:sectPr w:rsidR="00867C96" w:rsidRPr="004866B8" w:rsidSect="00814975">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18593" w14:textId="77777777" w:rsidR="00672B4F" w:rsidRDefault="00672B4F" w:rsidP="007C796B">
      <w:r>
        <w:separator/>
      </w:r>
    </w:p>
  </w:endnote>
  <w:endnote w:type="continuationSeparator" w:id="0">
    <w:p w14:paraId="4E6972CC" w14:textId="77777777" w:rsidR="00672B4F" w:rsidRDefault="00672B4F" w:rsidP="007C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2881" w14:textId="77777777" w:rsidR="00743BA3" w:rsidRDefault="00743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064372"/>
      <w:docPartObj>
        <w:docPartGallery w:val="Page Numbers (Bottom of Page)"/>
        <w:docPartUnique/>
      </w:docPartObj>
    </w:sdtPr>
    <w:sdtEndPr>
      <w:rPr>
        <w:noProof/>
      </w:rPr>
    </w:sdtEndPr>
    <w:sdtContent>
      <w:p w14:paraId="1B9747E5" w14:textId="4CAAAF40" w:rsidR="00594191" w:rsidRDefault="005941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C36F" w14:textId="282831AD" w:rsidR="000275EA" w:rsidRPr="00415566" w:rsidRDefault="00415566" w:rsidP="00814975">
    <w:pPr>
      <w:pStyle w:val="Footer"/>
      <w:jc w:val="right"/>
      <w:rPr>
        <w:i/>
        <w:iCs/>
      </w:rPr>
    </w:pPr>
    <w:r w:rsidRPr="00415566">
      <w:rPr>
        <w:i/>
        <w:iCs/>
      </w:rPr>
      <w:t xml:space="preserve">Updated </w:t>
    </w:r>
    <w:r w:rsidR="000C1519">
      <w:rPr>
        <w:i/>
        <w:iCs/>
      </w:rPr>
      <w:t>4</w:t>
    </w:r>
    <w:r w:rsidRPr="00415566">
      <w:rPr>
        <w:i/>
        <w:iCs/>
      </w:rPr>
      <w:t>/</w:t>
    </w:r>
    <w:r w:rsidR="000C1519">
      <w:rPr>
        <w:i/>
        <w:iCs/>
      </w:rPr>
      <w:t>1</w:t>
    </w:r>
    <w:r w:rsidRPr="00415566">
      <w:rPr>
        <w:i/>
        <w:iCs/>
      </w:rPr>
      <w:t>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5B46" w14:textId="51492A69" w:rsidR="00CA5EDA" w:rsidRPr="00CA5EDA" w:rsidRDefault="00814975" w:rsidP="00CA5EDA">
    <w:pPr>
      <w:pStyle w:val="Footer"/>
      <w:jc w:val="right"/>
      <w:rPr>
        <w:i/>
        <w:iCs/>
      </w:rPr>
    </w:pPr>
    <w:r>
      <w:rPr>
        <w:i/>
        <w:iCs/>
      </w:rPr>
      <w:t xml:space="preserve">                                                                  </w:t>
    </w:r>
    <w:r w:rsidR="00CA5EDA" w:rsidRPr="00CA5EDA">
      <w:rPr>
        <w:i/>
        <w:iCs/>
      </w:rPr>
      <w:t xml:space="preserve">Updated: </w:t>
    </w:r>
    <w:r w:rsidR="009A1207">
      <w:rPr>
        <w:i/>
        <w:iCs/>
      </w:rPr>
      <w:t>4/1</w:t>
    </w:r>
    <w:r w:rsidR="00743BA3">
      <w:rPr>
        <w:i/>
        <w:iCs/>
      </w:rPr>
      <w:t>6</w:t>
    </w:r>
    <w:r w:rsidR="009A1207">
      <w:rPr>
        <w:i/>
        <w:i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7F0A" w14:textId="77777777" w:rsidR="00672B4F" w:rsidRDefault="00672B4F" w:rsidP="007C796B">
      <w:r>
        <w:separator/>
      </w:r>
    </w:p>
  </w:footnote>
  <w:footnote w:type="continuationSeparator" w:id="0">
    <w:p w14:paraId="50801A79" w14:textId="77777777" w:rsidR="00672B4F" w:rsidRDefault="00672B4F" w:rsidP="007C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9825" w14:textId="77777777" w:rsidR="00743BA3" w:rsidRDefault="00743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158"/>
      <w:tblW w:w="11333" w:type="dxa"/>
      <w:tblBorders>
        <w:bottom w:val="single" w:sz="8" w:space="0" w:color="F79646"/>
        <w:insideH w:val="single" w:sz="4" w:space="0" w:color="F79646"/>
      </w:tblBorders>
      <w:tblLayout w:type="fixed"/>
      <w:tblLook w:val="00A0" w:firstRow="1" w:lastRow="0" w:firstColumn="1" w:lastColumn="0" w:noHBand="0" w:noVBand="0"/>
    </w:tblPr>
    <w:tblGrid>
      <w:gridCol w:w="1214"/>
      <w:gridCol w:w="6813"/>
      <w:gridCol w:w="3306"/>
    </w:tblGrid>
    <w:tr w:rsidR="007C796B" w14:paraId="2B8AF580" w14:textId="77777777" w:rsidTr="006A0654">
      <w:trPr>
        <w:cantSplit/>
        <w:trHeight w:val="229"/>
      </w:trPr>
      <w:tc>
        <w:tcPr>
          <w:tcW w:w="1214" w:type="dxa"/>
          <w:vMerge w:val="restart"/>
          <w:tcBorders>
            <w:top w:val="nil"/>
          </w:tcBorders>
          <w:vAlign w:val="bottom"/>
        </w:tcPr>
        <w:p w14:paraId="62013BDE" w14:textId="77777777" w:rsidR="007C796B" w:rsidRDefault="007C796B" w:rsidP="007C796B">
          <w:pPr>
            <w:ind w:left="-115"/>
            <w:jc w:val="right"/>
            <w:rPr>
              <w:color w:val="005595"/>
            </w:rPr>
          </w:pPr>
          <w:bookmarkStart w:id="7" w:name="_Hlk42094620"/>
          <w:r>
            <w:rPr>
              <w:noProof/>
              <w:color w:val="005595"/>
            </w:rPr>
            <w:drawing>
              <wp:inline distT="0" distB="0" distL="0" distR="0" wp14:anchorId="377F1462" wp14:editId="213DC7AC">
                <wp:extent cx="564515" cy="564515"/>
                <wp:effectExtent l="19050" t="0" r="6985" b="0"/>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813" w:type="dxa"/>
          <w:tcBorders>
            <w:top w:val="nil"/>
            <w:bottom w:val="single" w:sz="12" w:space="0" w:color="F79646"/>
          </w:tcBorders>
          <w:vAlign w:val="center"/>
        </w:tcPr>
        <w:p w14:paraId="6462A2EA" w14:textId="77777777" w:rsidR="007C796B" w:rsidRDefault="007C796B" w:rsidP="007C796B">
          <w:pPr>
            <w:pStyle w:val="Office"/>
            <w:ind w:left="-101"/>
            <w:rPr>
              <w:sz w:val="24"/>
            </w:rPr>
          </w:pPr>
          <w:r>
            <w:br/>
          </w:r>
        </w:p>
        <w:p w14:paraId="3710E118" w14:textId="77777777" w:rsidR="007C796B" w:rsidRDefault="007C796B" w:rsidP="007C796B">
          <w:pPr>
            <w:pStyle w:val="Office"/>
            <w:ind w:left="-101"/>
            <w:rPr>
              <w:sz w:val="24"/>
            </w:rPr>
          </w:pPr>
          <w:r w:rsidRPr="002C0E65">
            <w:rPr>
              <w:sz w:val="24"/>
            </w:rPr>
            <w:t>OREGON PUBLIC HEALTH DIVISION</w:t>
          </w:r>
        </w:p>
        <w:p w14:paraId="1D9839C0" w14:textId="77777777" w:rsidR="007C796B" w:rsidRDefault="007C796B" w:rsidP="007C796B">
          <w:pPr>
            <w:pStyle w:val="Office"/>
            <w:ind w:left="-101"/>
            <w:rPr>
              <w:sz w:val="24"/>
            </w:rPr>
          </w:pPr>
          <w:r>
            <w:rPr>
              <w:sz w:val="24"/>
            </w:rPr>
            <w:t>HIV/STD/TB</w:t>
          </w:r>
        </w:p>
        <w:p w14:paraId="73EC4108" w14:textId="77777777" w:rsidR="007C796B" w:rsidRPr="00B23C5D" w:rsidRDefault="007C796B" w:rsidP="007C796B">
          <w:pPr>
            <w:pStyle w:val="Office"/>
            <w:ind w:left="-101"/>
          </w:pPr>
          <w:r>
            <w:rPr>
              <w:sz w:val="24"/>
            </w:rPr>
            <w:t>HIV Community Services Program</w:t>
          </w:r>
        </w:p>
      </w:tc>
      <w:tc>
        <w:tcPr>
          <w:tcW w:w="3306" w:type="dxa"/>
          <w:vMerge w:val="restart"/>
          <w:tcBorders>
            <w:top w:val="nil"/>
            <w:bottom w:val="single" w:sz="4" w:space="0" w:color="F79646"/>
          </w:tcBorders>
          <w:vAlign w:val="center"/>
        </w:tcPr>
        <w:p w14:paraId="4987B848" w14:textId="77777777" w:rsidR="007C796B" w:rsidRDefault="007C796B" w:rsidP="007C796B">
          <w:pPr>
            <w:spacing w:line="60" w:lineRule="exact"/>
          </w:pPr>
        </w:p>
        <w:p w14:paraId="76B57D0B" w14:textId="77777777" w:rsidR="007C796B" w:rsidRDefault="007C796B" w:rsidP="007C796B">
          <w:r>
            <w:rPr>
              <w:noProof/>
            </w:rPr>
            <w:drawing>
              <wp:inline distT="0" distB="0" distL="0" distR="0" wp14:anchorId="5A21E3AE" wp14:editId="61286E04">
                <wp:extent cx="1868805" cy="7073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7C796B" w14:paraId="0658ACC6" w14:textId="77777777" w:rsidTr="006A0654">
      <w:trPr>
        <w:cantSplit/>
        <w:trHeight w:val="56"/>
      </w:trPr>
      <w:tc>
        <w:tcPr>
          <w:tcW w:w="1214" w:type="dxa"/>
          <w:vMerge/>
          <w:tcBorders>
            <w:bottom w:val="nil"/>
          </w:tcBorders>
        </w:tcPr>
        <w:p w14:paraId="0CF8F590" w14:textId="77777777" w:rsidR="007C796B" w:rsidRDefault="007C796B" w:rsidP="007C796B">
          <w:pPr>
            <w:ind w:left="-108"/>
            <w:rPr>
              <w:color w:val="005595"/>
              <w:sz w:val="18"/>
            </w:rPr>
          </w:pPr>
        </w:p>
      </w:tc>
      <w:tc>
        <w:tcPr>
          <w:tcW w:w="6813" w:type="dxa"/>
          <w:tcBorders>
            <w:top w:val="single" w:sz="12" w:space="0" w:color="F79646"/>
            <w:bottom w:val="nil"/>
          </w:tcBorders>
        </w:tcPr>
        <w:p w14:paraId="45F1426B" w14:textId="77777777" w:rsidR="007C796B" w:rsidRDefault="007C796B" w:rsidP="007C796B">
          <w:pPr>
            <w:pStyle w:val="Governorname"/>
            <w:framePr w:hSpace="0" w:wrap="auto" w:vAnchor="margin" w:hAnchor="text" w:xAlign="left" w:yAlign="inline"/>
            <w:ind w:left="-101"/>
          </w:pPr>
          <w:r>
            <w:t>Kate Brown, Governor</w:t>
          </w:r>
        </w:p>
      </w:tc>
      <w:tc>
        <w:tcPr>
          <w:tcW w:w="3306" w:type="dxa"/>
          <w:vMerge/>
          <w:tcBorders>
            <w:top w:val="single" w:sz="4" w:space="0" w:color="F79646"/>
            <w:bottom w:val="nil"/>
          </w:tcBorders>
          <w:vAlign w:val="bottom"/>
        </w:tcPr>
        <w:p w14:paraId="538DEA0C" w14:textId="77777777" w:rsidR="007C796B" w:rsidRDefault="007C796B" w:rsidP="007C796B">
          <w:pPr>
            <w:jc w:val="right"/>
          </w:pPr>
        </w:p>
      </w:tc>
    </w:tr>
    <w:bookmarkEnd w:id="7"/>
  </w:tbl>
  <w:p w14:paraId="12E8D650" w14:textId="77777777" w:rsidR="007C796B" w:rsidRDefault="007C796B" w:rsidP="007C7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158"/>
      <w:tblW w:w="11333" w:type="dxa"/>
      <w:tblBorders>
        <w:bottom w:val="single" w:sz="8" w:space="0" w:color="F79646"/>
        <w:insideH w:val="single" w:sz="4" w:space="0" w:color="F79646"/>
      </w:tblBorders>
      <w:tblLayout w:type="fixed"/>
      <w:tblLook w:val="00A0" w:firstRow="1" w:lastRow="0" w:firstColumn="1" w:lastColumn="0" w:noHBand="0" w:noVBand="0"/>
    </w:tblPr>
    <w:tblGrid>
      <w:gridCol w:w="1214"/>
      <w:gridCol w:w="6813"/>
      <w:gridCol w:w="3306"/>
    </w:tblGrid>
    <w:tr w:rsidR="000D2B82" w14:paraId="4FCDBD7F" w14:textId="77777777" w:rsidTr="006A0654">
      <w:trPr>
        <w:cantSplit/>
        <w:trHeight w:val="229"/>
      </w:trPr>
      <w:tc>
        <w:tcPr>
          <w:tcW w:w="1214" w:type="dxa"/>
          <w:vMerge w:val="restart"/>
          <w:tcBorders>
            <w:top w:val="nil"/>
          </w:tcBorders>
          <w:vAlign w:val="bottom"/>
        </w:tcPr>
        <w:p w14:paraId="088878F8" w14:textId="77777777" w:rsidR="000D2B82" w:rsidRDefault="000D2B82" w:rsidP="000D2B82">
          <w:pPr>
            <w:ind w:left="-115"/>
            <w:jc w:val="right"/>
            <w:rPr>
              <w:color w:val="005595"/>
            </w:rPr>
          </w:pPr>
          <w:r>
            <w:rPr>
              <w:noProof/>
              <w:color w:val="005595"/>
            </w:rPr>
            <w:drawing>
              <wp:inline distT="0" distB="0" distL="0" distR="0" wp14:anchorId="67116731" wp14:editId="21B0B78B">
                <wp:extent cx="564515" cy="564515"/>
                <wp:effectExtent l="19050" t="0" r="6985" b="0"/>
                <wp:docPr id="7" name="Picture 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813" w:type="dxa"/>
          <w:tcBorders>
            <w:top w:val="nil"/>
            <w:bottom w:val="single" w:sz="12" w:space="0" w:color="F79646"/>
          </w:tcBorders>
          <w:vAlign w:val="center"/>
        </w:tcPr>
        <w:p w14:paraId="769576D7" w14:textId="77777777" w:rsidR="000D2B82" w:rsidRDefault="000D2B82" w:rsidP="000D2B82">
          <w:pPr>
            <w:pStyle w:val="Office"/>
            <w:ind w:left="-101"/>
            <w:rPr>
              <w:sz w:val="24"/>
            </w:rPr>
          </w:pPr>
          <w:r>
            <w:br/>
          </w:r>
        </w:p>
        <w:p w14:paraId="5EFD1183" w14:textId="77777777" w:rsidR="000D2B82" w:rsidRDefault="000D2B82" w:rsidP="000D2B82">
          <w:pPr>
            <w:pStyle w:val="Office"/>
            <w:ind w:left="-101"/>
            <w:rPr>
              <w:sz w:val="24"/>
            </w:rPr>
          </w:pPr>
          <w:r w:rsidRPr="002C0E65">
            <w:rPr>
              <w:sz w:val="24"/>
            </w:rPr>
            <w:t>OREGON PUBLIC HEALTH DIVISION</w:t>
          </w:r>
        </w:p>
        <w:p w14:paraId="2D95AEB9" w14:textId="77777777" w:rsidR="000D2B82" w:rsidRDefault="000D2B82" w:rsidP="000D2B82">
          <w:pPr>
            <w:pStyle w:val="Office"/>
            <w:ind w:left="-101"/>
            <w:rPr>
              <w:sz w:val="24"/>
            </w:rPr>
          </w:pPr>
          <w:r>
            <w:rPr>
              <w:sz w:val="24"/>
            </w:rPr>
            <w:t>HIV/STD/TB</w:t>
          </w:r>
        </w:p>
        <w:p w14:paraId="625CCAC5" w14:textId="77777777" w:rsidR="000D2B82" w:rsidRPr="00B23C5D" w:rsidRDefault="000D2B82" w:rsidP="000D2B82">
          <w:pPr>
            <w:pStyle w:val="Office"/>
            <w:ind w:left="-101"/>
          </w:pPr>
          <w:r>
            <w:rPr>
              <w:sz w:val="24"/>
            </w:rPr>
            <w:t>HIV Community Services Program</w:t>
          </w:r>
        </w:p>
      </w:tc>
      <w:tc>
        <w:tcPr>
          <w:tcW w:w="3306" w:type="dxa"/>
          <w:vMerge w:val="restart"/>
          <w:tcBorders>
            <w:top w:val="nil"/>
            <w:bottom w:val="single" w:sz="4" w:space="0" w:color="F79646"/>
          </w:tcBorders>
          <w:vAlign w:val="center"/>
        </w:tcPr>
        <w:p w14:paraId="1CDBC00F" w14:textId="77777777" w:rsidR="000D2B82" w:rsidRDefault="000D2B82" w:rsidP="000D2B82">
          <w:pPr>
            <w:spacing w:line="60" w:lineRule="exact"/>
          </w:pPr>
        </w:p>
        <w:p w14:paraId="3563C6C8" w14:textId="77777777" w:rsidR="000D2B82" w:rsidRDefault="000D2B82" w:rsidP="000D2B82">
          <w:r>
            <w:rPr>
              <w:noProof/>
            </w:rPr>
            <w:drawing>
              <wp:inline distT="0" distB="0" distL="0" distR="0" wp14:anchorId="137E02D3" wp14:editId="643F1C63">
                <wp:extent cx="1868805" cy="70739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0D2B82" w14:paraId="3DFFE89F" w14:textId="77777777" w:rsidTr="006A0654">
      <w:trPr>
        <w:cantSplit/>
        <w:trHeight w:val="56"/>
      </w:trPr>
      <w:tc>
        <w:tcPr>
          <w:tcW w:w="1214" w:type="dxa"/>
          <w:vMerge/>
          <w:tcBorders>
            <w:bottom w:val="nil"/>
          </w:tcBorders>
        </w:tcPr>
        <w:p w14:paraId="22EB9EFC" w14:textId="77777777" w:rsidR="000D2B82" w:rsidRDefault="000D2B82" w:rsidP="000D2B82">
          <w:pPr>
            <w:ind w:left="-108"/>
            <w:rPr>
              <w:color w:val="005595"/>
              <w:sz w:val="18"/>
            </w:rPr>
          </w:pPr>
        </w:p>
      </w:tc>
      <w:tc>
        <w:tcPr>
          <w:tcW w:w="6813" w:type="dxa"/>
          <w:tcBorders>
            <w:top w:val="single" w:sz="12" w:space="0" w:color="F79646"/>
            <w:bottom w:val="nil"/>
          </w:tcBorders>
        </w:tcPr>
        <w:p w14:paraId="443EE7F6" w14:textId="77777777" w:rsidR="000D2B82" w:rsidRDefault="000D2B82" w:rsidP="000D2B82">
          <w:pPr>
            <w:pStyle w:val="Governorname"/>
            <w:framePr w:hSpace="0" w:wrap="auto" w:vAnchor="margin" w:hAnchor="text" w:xAlign="left" w:yAlign="inline"/>
            <w:ind w:left="-101"/>
          </w:pPr>
          <w:r>
            <w:t>Kate Brown, Governor</w:t>
          </w:r>
        </w:p>
      </w:tc>
      <w:tc>
        <w:tcPr>
          <w:tcW w:w="3306" w:type="dxa"/>
          <w:vMerge/>
          <w:tcBorders>
            <w:top w:val="single" w:sz="4" w:space="0" w:color="F79646"/>
            <w:bottom w:val="nil"/>
          </w:tcBorders>
          <w:vAlign w:val="bottom"/>
        </w:tcPr>
        <w:p w14:paraId="3C55ADF8" w14:textId="77777777" w:rsidR="000D2B82" w:rsidRDefault="000D2B82" w:rsidP="000D2B82">
          <w:pPr>
            <w:jc w:val="right"/>
          </w:pPr>
        </w:p>
      </w:tc>
    </w:tr>
  </w:tbl>
  <w:p w14:paraId="1D8BFA53" w14:textId="77777777" w:rsidR="000D2B82" w:rsidRDefault="000D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76B3"/>
    <w:multiLevelType w:val="hybridMultilevel"/>
    <w:tmpl w:val="21FA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2E20"/>
    <w:multiLevelType w:val="hybridMultilevel"/>
    <w:tmpl w:val="88DE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3AFE"/>
    <w:multiLevelType w:val="hybridMultilevel"/>
    <w:tmpl w:val="9E8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959"/>
    <w:multiLevelType w:val="hybridMultilevel"/>
    <w:tmpl w:val="5DD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614B7"/>
    <w:multiLevelType w:val="hybridMultilevel"/>
    <w:tmpl w:val="AE2C5930"/>
    <w:lvl w:ilvl="0" w:tplc="74508F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12414"/>
    <w:multiLevelType w:val="hybridMultilevel"/>
    <w:tmpl w:val="8258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C2E89"/>
    <w:multiLevelType w:val="hybridMultilevel"/>
    <w:tmpl w:val="EF0078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434F7F"/>
    <w:multiLevelType w:val="hybridMultilevel"/>
    <w:tmpl w:val="1C6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14C3D"/>
    <w:multiLevelType w:val="hybridMultilevel"/>
    <w:tmpl w:val="FAAA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FC0B86"/>
    <w:multiLevelType w:val="hybridMultilevel"/>
    <w:tmpl w:val="7A8E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56E6D"/>
    <w:multiLevelType w:val="hybridMultilevel"/>
    <w:tmpl w:val="39EC8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69381E"/>
    <w:multiLevelType w:val="hybridMultilevel"/>
    <w:tmpl w:val="05AC1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495EA9"/>
    <w:multiLevelType w:val="hybridMultilevel"/>
    <w:tmpl w:val="7768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07079"/>
    <w:multiLevelType w:val="hybridMultilevel"/>
    <w:tmpl w:val="552A8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91208"/>
    <w:multiLevelType w:val="hybridMultilevel"/>
    <w:tmpl w:val="F94C86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60038B"/>
    <w:multiLevelType w:val="hybridMultilevel"/>
    <w:tmpl w:val="1B4CA682"/>
    <w:lvl w:ilvl="0" w:tplc="74508F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65D2B"/>
    <w:multiLevelType w:val="hybridMultilevel"/>
    <w:tmpl w:val="E51A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63998"/>
    <w:multiLevelType w:val="hybridMultilevel"/>
    <w:tmpl w:val="8B64F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B3733C6"/>
    <w:multiLevelType w:val="hybridMultilevel"/>
    <w:tmpl w:val="EF88F3A2"/>
    <w:lvl w:ilvl="0" w:tplc="4E8489D4">
      <w:numFmt w:val="bullet"/>
      <w:lvlText w:val=""/>
      <w:lvlJc w:val="left"/>
      <w:pPr>
        <w:ind w:left="1188" w:hanging="360"/>
      </w:pPr>
      <w:rPr>
        <w:rFonts w:ascii="Symbol" w:eastAsia="Symbol" w:hAnsi="Symbol" w:cs="Symbol" w:hint="default"/>
        <w:w w:val="100"/>
        <w:sz w:val="24"/>
        <w:szCs w:val="24"/>
      </w:rPr>
    </w:lvl>
    <w:lvl w:ilvl="1" w:tplc="1862A57C">
      <w:start w:val="1"/>
      <w:numFmt w:val="lowerLetter"/>
      <w:lvlText w:val="%2."/>
      <w:lvlJc w:val="left"/>
      <w:pPr>
        <w:ind w:left="1908" w:hanging="360"/>
        <w:jc w:val="left"/>
      </w:pPr>
      <w:rPr>
        <w:rFonts w:ascii="Arial" w:eastAsia="Arial" w:hAnsi="Arial" w:cs="Arial" w:hint="default"/>
        <w:spacing w:val="-2"/>
        <w:w w:val="99"/>
        <w:sz w:val="24"/>
        <w:szCs w:val="24"/>
      </w:rPr>
    </w:lvl>
    <w:lvl w:ilvl="2" w:tplc="1D6634F2">
      <w:numFmt w:val="bullet"/>
      <w:lvlText w:val="•"/>
      <w:lvlJc w:val="left"/>
      <w:pPr>
        <w:ind w:left="2924" w:hanging="360"/>
      </w:pPr>
      <w:rPr>
        <w:rFonts w:hint="default"/>
      </w:rPr>
    </w:lvl>
    <w:lvl w:ilvl="3" w:tplc="744E55A2">
      <w:numFmt w:val="bullet"/>
      <w:lvlText w:val="•"/>
      <w:lvlJc w:val="left"/>
      <w:pPr>
        <w:ind w:left="3948" w:hanging="360"/>
      </w:pPr>
      <w:rPr>
        <w:rFonts w:hint="default"/>
      </w:rPr>
    </w:lvl>
    <w:lvl w:ilvl="4" w:tplc="C04495C0">
      <w:numFmt w:val="bullet"/>
      <w:lvlText w:val="•"/>
      <w:lvlJc w:val="left"/>
      <w:pPr>
        <w:ind w:left="4973" w:hanging="360"/>
      </w:pPr>
      <w:rPr>
        <w:rFonts w:hint="default"/>
      </w:rPr>
    </w:lvl>
    <w:lvl w:ilvl="5" w:tplc="950EE708">
      <w:numFmt w:val="bullet"/>
      <w:lvlText w:val="•"/>
      <w:lvlJc w:val="left"/>
      <w:pPr>
        <w:ind w:left="5997" w:hanging="360"/>
      </w:pPr>
      <w:rPr>
        <w:rFonts w:hint="default"/>
      </w:rPr>
    </w:lvl>
    <w:lvl w:ilvl="6" w:tplc="E5CA322C">
      <w:numFmt w:val="bullet"/>
      <w:lvlText w:val="•"/>
      <w:lvlJc w:val="left"/>
      <w:pPr>
        <w:ind w:left="7022" w:hanging="360"/>
      </w:pPr>
      <w:rPr>
        <w:rFonts w:hint="default"/>
      </w:rPr>
    </w:lvl>
    <w:lvl w:ilvl="7" w:tplc="176027F2">
      <w:numFmt w:val="bullet"/>
      <w:lvlText w:val="•"/>
      <w:lvlJc w:val="left"/>
      <w:pPr>
        <w:ind w:left="8046" w:hanging="360"/>
      </w:pPr>
      <w:rPr>
        <w:rFonts w:hint="default"/>
      </w:rPr>
    </w:lvl>
    <w:lvl w:ilvl="8" w:tplc="BE869176">
      <w:numFmt w:val="bullet"/>
      <w:lvlText w:val="•"/>
      <w:lvlJc w:val="left"/>
      <w:pPr>
        <w:ind w:left="9071" w:hanging="360"/>
      </w:pPr>
      <w:rPr>
        <w:rFonts w:hint="default"/>
      </w:rPr>
    </w:lvl>
  </w:abstractNum>
  <w:num w:numId="1">
    <w:abstractNumId w:val="16"/>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7"/>
  </w:num>
  <w:num w:numId="9">
    <w:abstractNumId w:val="17"/>
  </w:num>
  <w:num w:numId="10">
    <w:abstractNumId w:val="4"/>
  </w:num>
  <w:num w:numId="11">
    <w:abstractNumId w:val="15"/>
  </w:num>
  <w:num w:numId="12">
    <w:abstractNumId w:val="2"/>
  </w:num>
  <w:num w:numId="13">
    <w:abstractNumId w:val="9"/>
  </w:num>
  <w:num w:numId="14">
    <w:abstractNumId w:val="10"/>
  </w:num>
  <w:num w:numId="15">
    <w:abstractNumId w:val="12"/>
  </w:num>
  <w:num w:numId="16">
    <w:abstractNumId w:val="18"/>
  </w:num>
  <w:num w:numId="17">
    <w:abstractNumId w:val="13"/>
  </w:num>
  <w:num w:numId="18">
    <w:abstractNumId w:val="11"/>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6B"/>
    <w:rsid w:val="00010520"/>
    <w:rsid w:val="00013FCB"/>
    <w:rsid w:val="0002568B"/>
    <w:rsid w:val="000275EA"/>
    <w:rsid w:val="0008330B"/>
    <w:rsid w:val="00086A6F"/>
    <w:rsid w:val="000B75B3"/>
    <w:rsid w:val="000C1519"/>
    <w:rsid w:val="000C255C"/>
    <w:rsid w:val="000C3197"/>
    <w:rsid w:val="000D2B82"/>
    <w:rsid w:val="00124D66"/>
    <w:rsid w:val="00142CFF"/>
    <w:rsid w:val="001457C5"/>
    <w:rsid w:val="001720E3"/>
    <w:rsid w:val="001761BE"/>
    <w:rsid w:val="001A0E68"/>
    <w:rsid w:val="001B3072"/>
    <w:rsid w:val="001C150E"/>
    <w:rsid w:val="001C79C9"/>
    <w:rsid w:val="001D3D18"/>
    <w:rsid w:val="00203F71"/>
    <w:rsid w:val="00205A4A"/>
    <w:rsid w:val="002667EF"/>
    <w:rsid w:val="00271A1A"/>
    <w:rsid w:val="002C1726"/>
    <w:rsid w:val="002C6066"/>
    <w:rsid w:val="00300DE2"/>
    <w:rsid w:val="00313617"/>
    <w:rsid w:val="00350B16"/>
    <w:rsid w:val="00367608"/>
    <w:rsid w:val="003B4853"/>
    <w:rsid w:val="003D3E9D"/>
    <w:rsid w:val="003D573C"/>
    <w:rsid w:val="00415566"/>
    <w:rsid w:val="004449F6"/>
    <w:rsid w:val="004866B8"/>
    <w:rsid w:val="004C369B"/>
    <w:rsid w:val="004F7785"/>
    <w:rsid w:val="005150B7"/>
    <w:rsid w:val="00585B56"/>
    <w:rsid w:val="00594191"/>
    <w:rsid w:val="00630FDB"/>
    <w:rsid w:val="00672B4F"/>
    <w:rsid w:val="00684F23"/>
    <w:rsid w:val="006C3FE6"/>
    <w:rsid w:val="006D5136"/>
    <w:rsid w:val="006E747D"/>
    <w:rsid w:val="006F1FA2"/>
    <w:rsid w:val="00737AAE"/>
    <w:rsid w:val="00743BA3"/>
    <w:rsid w:val="00763987"/>
    <w:rsid w:val="007661E0"/>
    <w:rsid w:val="0078168B"/>
    <w:rsid w:val="00793976"/>
    <w:rsid w:val="007A0D46"/>
    <w:rsid w:val="007C796B"/>
    <w:rsid w:val="00810995"/>
    <w:rsid w:val="00814975"/>
    <w:rsid w:val="00817439"/>
    <w:rsid w:val="008426E8"/>
    <w:rsid w:val="0086427A"/>
    <w:rsid w:val="00867C96"/>
    <w:rsid w:val="008F1DD7"/>
    <w:rsid w:val="009163C2"/>
    <w:rsid w:val="00926E5D"/>
    <w:rsid w:val="00945E99"/>
    <w:rsid w:val="00955F31"/>
    <w:rsid w:val="009566D9"/>
    <w:rsid w:val="009640D8"/>
    <w:rsid w:val="00975C32"/>
    <w:rsid w:val="00975FFB"/>
    <w:rsid w:val="009767B3"/>
    <w:rsid w:val="00986CC1"/>
    <w:rsid w:val="0099401E"/>
    <w:rsid w:val="009A006C"/>
    <w:rsid w:val="009A1207"/>
    <w:rsid w:val="009C5B2E"/>
    <w:rsid w:val="00A07144"/>
    <w:rsid w:val="00A07B73"/>
    <w:rsid w:val="00A24722"/>
    <w:rsid w:val="00A353C9"/>
    <w:rsid w:val="00A37276"/>
    <w:rsid w:val="00A72D8C"/>
    <w:rsid w:val="00AA56EE"/>
    <w:rsid w:val="00AA6909"/>
    <w:rsid w:val="00AD58D1"/>
    <w:rsid w:val="00B13E34"/>
    <w:rsid w:val="00B355F3"/>
    <w:rsid w:val="00B42439"/>
    <w:rsid w:val="00BB23A0"/>
    <w:rsid w:val="00BB3296"/>
    <w:rsid w:val="00BD154A"/>
    <w:rsid w:val="00BE3CA3"/>
    <w:rsid w:val="00C023A3"/>
    <w:rsid w:val="00C57295"/>
    <w:rsid w:val="00C73A63"/>
    <w:rsid w:val="00C7533C"/>
    <w:rsid w:val="00C83AA3"/>
    <w:rsid w:val="00C92662"/>
    <w:rsid w:val="00CA5EDA"/>
    <w:rsid w:val="00CD2CD0"/>
    <w:rsid w:val="00CE0BE9"/>
    <w:rsid w:val="00CF5B81"/>
    <w:rsid w:val="00D24C37"/>
    <w:rsid w:val="00D743DC"/>
    <w:rsid w:val="00D82E38"/>
    <w:rsid w:val="00DA16B4"/>
    <w:rsid w:val="00DB459E"/>
    <w:rsid w:val="00DE1070"/>
    <w:rsid w:val="00E20E9E"/>
    <w:rsid w:val="00E310A1"/>
    <w:rsid w:val="00E348F6"/>
    <w:rsid w:val="00E80FD4"/>
    <w:rsid w:val="00E91D30"/>
    <w:rsid w:val="00E9226E"/>
    <w:rsid w:val="00EB04D1"/>
    <w:rsid w:val="00FA076F"/>
    <w:rsid w:val="00FD08E0"/>
    <w:rsid w:val="00FD32DF"/>
    <w:rsid w:val="00FE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298320F"/>
  <w15:chartTrackingRefBased/>
  <w15:docId w15:val="{9D2458F6-10FF-4802-B353-AAAB88F2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99"/>
    <w:pPr>
      <w:spacing w:after="0" w:line="240" w:lineRule="auto"/>
    </w:pPr>
    <w:rPr>
      <w:rFonts w:ascii="Calibri" w:hAnsi="Calibri" w:cs="Calibri"/>
    </w:rPr>
  </w:style>
  <w:style w:type="paragraph" w:styleId="Heading1">
    <w:name w:val="heading 1"/>
    <w:basedOn w:val="Normal"/>
    <w:next w:val="Normal"/>
    <w:link w:val="Heading1Char"/>
    <w:qFormat/>
    <w:rsid w:val="00867C96"/>
    <w:pPr>
      <w:keepNext/>
      <w:tabs>
        <w:tab w:val="left" w:pos="-1440"/>
        <w:tab w:val="left" w:pos="-720"/>
      </w:tabs>
      <w:suppressAutoHyphens/>
      <w:spacing w:before="90" w:after="54"/>
      <w:jc w:val="center"/>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96B"/>
    <w:pPr>
      <w:tabs>
        <w:tab w:val="center" w:pos="4680"/>
        <w:tab w:val="right" w:pos="9360"/>
      </w:tabs>
    </w:pPr>
  </w:style>
  <w:style w:type="character" w:customStyle="1" w:styleId="HeaderChar">
    <w:name w:val="Header Char"/>
    <w:basedOn w:val="DefaultParagraphFont"/>
    <w:link w:val="Header"/>
    <w:uiPriority w:val="99"/>
    <w:rsid w:val="007C796B"/>
  </w:style>
  <w:style w:type="paragraph" w:styleId="Footer">
    <w:name w:val="footer"/>
    <w:basedOn w:val="Normal"/>
    <w:link w:val="FooterChar"/>
    <w:uiPriority w:val="99"/>
    <w:unhideWhenUsed/>
    <w:rsid w:val="007C796B"/>
    <w:pPr>
      <w:tabs>
        <w:tab w:val="center" w:pos="4680"/>
        <w:tab w:val="right" w:pos="9360"/>
      </w:tabs>
    </w:pPr>
  </w:style>
  <w:style w:type="character" w:customStyle="1" w:styleId="FooterChar">
    <w:name w:val="Footer Char"/>
    <w:basedOn w:val="DefaultParagraphFont"/>
    <w:link w:val="Footer"/>
    <w:uiPriority w:val="99"/>
    <w:rsid w:val="007C796B"/>
  </w:style>
  <w:style w:type="paragraph" w:customStyle="1" w:styleId="Office">
    <w:name w:val="Office"/>
    <w:aliases w:val="section or unit name"/>
    <w:qFormat/>
    <w:rsid w:val="007C796B"/>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7C796B"/>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character" w:styleId="Hyperlink">
    <w:name w:val="Hyperlink"/>
    <w:basedOn w:val="DefaultParagraphFont"/>
    <w:uiPriority w:val="99"/>
    <w:unhideWhenUsed/>
    <w:rsid w:val="00810995"/>
    <w:rPr>
      <w:color w:val="0563C1"/>
      <w:u w:val="single"/>
    </w:rPr>
  </w:style>
  <w:style w:type="paragraph" w:styleId="ListParagraph">
    <w:name w:val="List Paragraph"/>
    <w:basedOn w:val="Normal"/>
    <w:uiPriority w:val="1"/>
    <w:qFormat/>
    <w:rsid w:val="00810995"/>
    <w:pPr>
      <w:ind w:left="720"/>
      <w:contextualSpacing/>
    </w:pPr>
  </w:style>
  <w:style w:type="paragraph" w:customStyle="1" w:styleId="Default">
    <w:name w:val="Default"/>
    <w:basedOn w:val="Normal"/>
    <w:rsid w:val="00810995"/>
    <w:pPr>
      <w:autoSpaceDE w:val="0"/>
      <w:autoSpaceDN w:val="0"/>
    </w:pPr>
    <w:rPr>
      <w:color w:val="000000"/>
      <w:sz w:val="24"/>
      <w:szCs w:val="24"/>
    </w:rPr>
  </w:style>
  <w:style w:type="paragraph" w:styleId="BodyText">
    <w:name w:val="Body Text"/>
    <w:basedOn w:val="Normal"/>
    <w:link w:val="BodyTextChar"/>
    <w:uiPriority w:val="1"/>
    <w:qFormat/>
    <w:rsid w:val="00E80FD4"/>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80FD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7608"/>
    <w:rPr>
      <w:sz w:val="16"/>
      <w:szCs w:val="16"/>
    </w:rPr>
  </w:style>
  <w:style w:type="paragraph" w:styleId="CommentText">
    <w:name w:val="annotation text"/>
    <w:basedOn w:val="Normal"/>
    <w:link w:val="CommentTextChar"/>
    <w:uiPriority w:val="99"/>
    <w:semiHidden/>
    <w:unhideWhenUsed/>
    <w:rsid w:val="00367608"/>
    <w:rPr>
      <w:sz w:val="20"/>
      <w:szCs w:val="20"/>
    </w:rPr>
  </w:style>
  <w:style w:type="character" w:customStyle="1" w:styleId="CommentTextChar">
    <w:name w:val="Comment Text Char"/>
    <w:basedOn w:val="DefaultParagraphFont"/>
    <w:link w:val="CommentText"/>
    <w:uiPriority w:val="99"/>
    <w:semiHidden/>
    <w:rsid w:val="0036760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7608"/>
    <w:rPr>
      <w:b/>
      <w:bCs/>
    </w:rPr>
  </w:style>
  <w:style w:type="character" w:customStyle="1" w:styleId="CommentSubjectChar">
    <w:name w:val="Comment Subject Char"/>
    <w:basedOn w:val="CommentTextChar"/>
    <w:link w:val="CommentSubject"/>
    <w:uiPriority w:val="99"/>
    <w:semiHidden/>
    <w:rsid w:val="00367608"/>
    <w:rPr>
      <w:rFonts w:ascii="Calibri" w:hAnsi="Calibri" w:cs="Calibri"/>
      <w:b/>
      <w:bCs/>
      <w:sz w:val="20"/>
      <w:szCs w:val="20"/>
    </w:rPr>
  </w:style>
  <w:style w:type="paragraph" w:styleId="BalloonText">
    <w:name w:val="Balloon Text"/>
    <w:basedOn w:val="Normal"/>
    <w:link w:val="BalloonTextChar"/>
    <w:uiPriority w:val="99"/>
    <w:semiHidden/>
    <w:unhideWhenUsed/>
    <w:rsid w:val="00367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608"/>
    <w:rPr>
      <w:rFonts w:ascii="Segoe UI" w:hAnsi="Segoe UI" w:cs="Segoe UI"/>
      <w:sz w:val="18"/>
      <w:szCs w:val="18"/>
    </w:rPr>
  </w:style>
  <w:style w:type="character" w:customStyle="1" w:styleId="Heading1Char">
    <w:name w:val="Heading 1 Char"/>
    <w:basedOn w:val="DefaultParagraphFont"/>
    <w:link w:val="Heading1"/>
    <w:rsid w:val="00867C96"/>
    <w:rPr>
      <w:rFonts w:ascii="Arial" w:eastAsia="Times New Roman" w:hAnsi="Arial" w:cs="Times New Roman"/>
      <w:b/>
      <w:sz w:val="20"/>
      <w:szCs w:val="20"/>
    </w:rPr>
  </w:style>
  <w:style w:type="paragraph" w:styleId="Title">
    <w:name w:val="Title"/>
    <w:basedOn w:val="Normal"/>
    <w:link w:val="TitleChar"/>
    <w:qFormat/>
    <w:rsid w:val="00867C96"/>
    <w:pPr>
      <w:tabs>
        <w:tab w:val="center" w:pos="5400"/>
      </w:tabs>
      <w:suppressAutoHyphens/>
      <w:ind w:left="720" w:right="720"/>
      <w:jc w:val="center"/>
    </w:pPr>
    <w:rPr>
      <w:rFonts w:ascii="Arial" w:eastAsia="Times New Roman" w:hAnsi="Arial" w:cs="Times New Roman"/>
      <w:b/>
      <w:szCs w:val="20"/>
    </w:rPr>
  </w:style>
  <w:style w:type="character" w:customStyle="1" w:styleId="TitleChar">
    <w:name w:val="Title Char"/>
    <w:basedOn w:val="DefaultParagraphFont"/>
    <w:link w:val="Title"/>
    <w:rsid w:val="00867C96"/>
    <w:rPr>
      <w:rFonts w:ascii="Arial" w:eastAsia="Times New Roman" w:hAnsi="Arial" w:cs="Times New Roman"/>
      <w:b/>
      <w:szCs w:val="20"/>
    </w:rPr>
  </w:style>
  <w:style w:type="paragraph" w:styleId="BlockText">
    <w:name w:val="Block Text"/>
    <w:basedOn w:val="Normal"/>
    <w:semiHidden/>
    <w:rsid w:val="00867C96"/>
    <w:pPr>
      <w:tabs>
        <w:tab w:val="left" w:pos="-720"/>
        <w:tab w:val="left" w:pos="0"/>
        <w:tab w:val="left" w:pos="117"/>
        <w:tab w:val="left" w:pos="294"/>
        <w:tab w:val="left" w:pos="720"/>
        <w:tab w:val="left" w:pos="3124"/>
        <w:tab w:val="left" w:pos="3374"/>
        <w:tab w:val="left" w:pos="5054"/>
        <w:tab w:val="left" w:pos="5304"/>
      </w:tabs>
      <w:suppressAutoHyphens/>
      <w:ind w:left="720" w:right="72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88852">
      <w:bodyDiv w:val="1"/>
      <w:marLeft w:val="0"/>
      <w:marRight w:val="0"/>
      <w:marTop w:val="0"/>
      <w:marBottom w:val="0"/>
      <w:divBdr>
        <w:top w:val="none" w:sz="0" w:space="0" w:color="auto"/>
        <w:left w:val="none" w:sz="0" w:space="0" w:color="auto"/>
        <w:bottom w:val="none" w:sz="0" w:space="0" w:color="auto"/>
        <w:right w:val="none" w:sz="0" w:space="0" w:color="auto"/>
      </w:divBdr>
    </w:div>
    <w:div w:id="659505289">
      <w:bodyDiv w:val="1"/>
      <w:marLeft w:val="0"/>
      <w:marRight w:val="0"/>
      <w:marTop w:val="0"/>
      <w:marBottom w:val="0"/>
      <w:divBdr>
        <w:top w:val="none" w:sz="0" w:space="0" w:color="auto"/>
        <w:left w:val="none" w:sz="0" w:space="0" w:color="auto"/>
        <w:bottom w:val="none" w:sz="0" w:space="0" w:color="auto"/>
        <w:right w:val="none" w:sz="0" w:space="0" w:color="auto"/>
      </w:divBdr>
    </w:div>
    <w:div w:id="729111155">
      <w:bodyDiv w:val="1"/>
      <w:marLeft w:val="0"/>
      <w:marRight w:val="0"/>
      <w:marTop w:val="0"/>
      <w:marBottom w:val="0"/>
      <w:divBdr>
        <w:top w:val="none" w:sz="0" w:space="0" w:color="auto"/>
        <w:left w:val="none" w:sz="0" w:space="0" w:color="auto"/>
        <w:bottom w:val="none" w:sz="0" w:space="0" w:color="auto"/>
        <w:right w:val="none" w:sz="0" w:space="0" w:color="auto"/>
      </w:divBdr>
    </w:div>
    <w:div w:id="1019699233">
      <w:bodyDiv w:val="1"/>
      <w:marLeft w:val="0"/>
      <w:marRight w:val="0"/>
      <w:marTop w:val="0"/>
      <w:marBottom w:val="0"/>
      <w:divBdr>
        <w:top w:val="none" w:sz="0" w:space="0" w:color="auto"/>
        <w:left w:val="none" w:sz="0" w:space="0" w:color="auto"/>
        <w:bottom w:val="none" w:sz="0" w:space="0" w:color="auto"/>
        <w:right w:val="none" w:sz="0" w:space="0" w:color="auto"/>
      </w:divBdr>
    </w:div>
    <w:div w:id="12893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OHOP Temporary COVID Policies</Meta_x0020_Descrip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741ED2-6D60-4249-82E2-EB20FC694CAE}">
  <ds:schemaRefs>
    <ds:schemaRef ds:uri="http://schemas.openxmlformats.org/officeDocument/2006/bibliography"/>
  </ds:schemaRefs>
</ds:datastoreItem>
</file>

<file path=customXml/itemProps2.xml><?xml version="1.0" encoding="utf-8"?>
<ds:datastoreItem xmlns:ds="http://schemas.openxmlformats.org/officeDocument/2006/customXml" ds:itemID="{04F57BE7-7D8A-445D-AA4B-A48414302134}"/>
</file>

<file path=customXml/itemProps3.xml><?xml version="1.0" encoding="utf-8"?>
<ds:datastoreItem xmlns:ds="http://schemas.openxmlformats.org/officeDocument/2006/customXml" ds:itemID="{BD954CFC-BDBC-4B98-8EBD-146EB563C093}"/>
</file>

<file path=customXml/itemProps4.xml><?xml version="1.0" encoding="utf-8"?>
<ds:datastoreItem xmlns:ds="http://schemas.openxmlformats.org/officeDocument/2006/customXml" ds:itemID="{D8D0A194-2643-45E8-BC91-2B53622768BF}"/>
</file>

<file path=docProps/app.xml><?xml version="1.0" encoding="utf-8"?>
<Properties xmlns="http://schemas.openxmlformats.org/officeDocument/2006/extended-properties" xmlns:vt="http://schemas.openxmlformats.org/officeDocument/2006/docPropsVTypes">
  <Template>Normal</Template>
  <TotalTime>10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Kreidler Deanna P</dc:creator>
  <cp:keywords/>
  <dc:description/>
  <cp:lastModifiedBy>Hargraves Heather A</cp:lastModifiedBy>
  <cp:revision>5</cp:revision>
  <dcterms:created xsi:type="dcterms:W3CDTF">2021-04-19T23:21:00Z</dcterms:created>
  <dcterms:modified xsi:type="dcterms:W3CDTF">2021-04-20T15:31:00Z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