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D2DA7F" w14:textId="77777777" w:rsidR="00BC5BC0" w:rsidRPr="00F2702A" w:rsidRDefault="008B6F84" w:rsidP="00584CE5">
      <w:pPr>
        <w:spacing w:after="120"/>
        <w:jc w:val="center"/>
        <w:rPr>
          <w:b/>
          <w:sz w:val="36"/>
          <w:szCs w:val="36"/>
        </w:rPr>
      </w:pPr>
      <w:r>
        <w:rPr>
          <w:b/>
          <w:bCs/>
          <w:sz w:val="36"/>
          <w:szCs w:val="36"/>
          <w:bdr w:val="nil"/>
          <w:lang w:val="es-ES_tradnl"/>
        </w:rPr>
        <w:t>ADVERTENCIA SOBRE EL AGUA POTABLE</w:t>
      </w:r>
    </w:p>
    <w:p w14:paraId="7DD2DA80" w14:textId="502C8D3C" w:rsidR="00BC5BC0" w:rsidRPr="00F2702A" w:rsidRDefault="007027D5" w:rsidP="00BC5BC0">
      <w:pPr>
        <w:jc w:val="center"/>
        <w:rPr>
          <w:b/>
          <w:sz w:val="28"/>
          <w:szCs w:val="28"/>
        </w:rPr>
      </w:pPr>
      <w:r>
        <w:rPr>
          <w:b/>
          <w:sz w:val="22"/>
          <w:szCs w:val="22"/>
          <w:u w:val="single"/>
        </w:rPr>
        <w:fldChar w:fldCharType="begin">
          <w:ffData>
            <w:name w:val=""/>
            <w:enabled/>
            <w:calcOnExit w:val="0"/>
            <w:textInput>
              <w:default w:val="NOMBRE DEL SISTEMA DE AGUA"/>
            </w:textInput>
          </w:ffData>
        </w:fldChar>
      </w:r>
      <w:r>
        <w:rPr>
          <w:b/>
          <w:sz w:val="22"/>
          <w:szCs w:val="22"/>
          <w:u w:val="single"/>
        </w:rPr>
        <w:instrText xml:space="preserve"> FORMTEXT </w:instrText>
      </w:r>
      <w:r>
        <w:rPr>
          <w:b/>
          <w:sz w:val="22"/>
          <w:szCs w:val="22"/>
          <w:u w:val="single"/>
        </w:rPr>
      </w:r>
      <w:r>
        <w:rPr>
          <w:b/>
          <w:sz w:val="22"/>
          <w:szCs w:val="22"/>
          <w:u w:val="single"/>
        </w:rPr>
        <w:fldChar w:fldCharType="separate"/>
      </w:r>
      <w:r>
        <w:rPr>
          <w:b/>
          <w:noProof/>
          <w:sz w:val="22"/>
          <w:szCs w:val="22"/>
          <w:u w:val="single"/>
        </w:rPr>
        <w:t>NOMBRE DEL SISTEMA DE AGUA</w:t>
      </w:r>
      <w:r>
        <w:rPr>
          <w:b/>
          <w:sz w:val="22"/>
          <w:szCs w:val="22"/>
          <w:u w:val="single"/>
        </w:rPr>
        <w:fldChar w:fldCharType="end"/>
      </w:r>
      <w:r w:rsidR="008B6F84">
        <w:rPr>
          <w:b/>
          <w:bCs/>
          <w:sz w:val="28"/>
          <w:szCs w:val="28"/>
          <w:bdr w:val="nil"/>
          <w:lang w:val="es-ES_tradnl"/>
        </w:rPr>
        <w:t xml:space="preserve"> contiene arsénico por encima </w:t>
      </w:r>
    </w:p>
    <w:p w14:paraId="7DD2DA81" w14:textId="77777777" w:rsidR="00BC5BC0" w:rsidRPr="00F2702A" w:rsidRDefault="008B6F84" w:rsidP="00574C38">
      <w:pPr>
        <w:spacing w:after="120"/>
        <w:jc w:val="center"/>
        <w:rPr>
          <w:b/>
          <w:sz w:val="28"/>
          <w:szCs w:val="28"/>
        </w:rPr>
      </w:pPr>
      <w:r>
        <w:rPr>
          <w:b/>
          <w:bCs/>
          <w:sz w:val="28"/>
          <w:szCs w:val="28"/>
          <w:bdr w:val="nil"/>
          <w:lang w:val="es-ES_tradnl"/>
        </w:rPr>
        <w:t>del estándar de agua potable y el nivel agudo</w:t>
      </w:r>
    </w:p>
    <w:p w14:paraId="7DD2DA83" w14:textId="208D11D9" w:rsidR="00BC5BC0" w:rsidRPr="00CB71E4" w:rsidRDefault="008B6F84" w:rsidP="00584CE5">
      <w:pPr>
        <w:spacing w:after="120"/>
        <w:rPr>
          <w:sz w:val="14"/>
          <w:szCs w:val="14"/>
        </w:rPr>
      </w:pPr>
      <w:r>
        <w:rPr>
          <w:sz w:val="22"/>
          <w:szCs w:val="22"/>
          <w:bdr w:val="nil"/>
          <w:lang w:val="es-ES_tradnl"/>
        </w:rPr>
        <w:t>Recientemente, nuestro sistema de agua infringió un estándar de agua potable.  Al ser nuestro cliente, usted tiene derecho de saber qué sucedió, qué debería hacer y qué medidas tomamos para rectificar esta situación.</w:t>
      </w:r>
    </w:p>
    <w:p w14:paraId="7DD2DA85" w14:textId="5EF264DB" w:rsidR="00BC5BC0" w:rsidRPr="00CB71E4" w:rsidRDefault="008B6F84" w:rsidP="00584CE5">
      <w:pPr>
        <w:spacing w:after="120"/>
        <w:rPr>
          <w:sz w:val="14"/>
          <w:szCs w:val="14"/>
        </w:rPr>
      </w:pPr>
      <w:r>
        <w:rPr>
          <w:sz w:val="22"/>
          <w:szCs w:val="22"/>
          <w:bdr w:val="nil"/>
          <w:lang w:val="es-ES_tradnl"/>
        </w:rPr>
        <w:t xml:space="preserve">Habitualmente realizamos supervisiones para detectar la presencia de contaminantes en el agua potable.   El día </w:t>
      </w:r>
      <w:r w:rsidR="00C11CC8">
        <w:rPr>
          <w:b/>
          <w:sz w:val="22"/>
          <w:szCs w:val="22"/>
          <w:u w:val="single"/>
        </w:rPr>
        <w:fldChar w:fldCharType="begin">
          <w:ffData>
            <w:name w:val=""/>
            <w:enabled/>
            <w:calcOnExit w:val="0"/>
            <w:textInput>
              <w:default w:val="FECHA DE RECEPCIÓN"/>
            </w:textInput>
          </w:ffData>
        </w:fldChar>
      </w:r>
      <w:r w:rsidR="00C11CC8">
        <w:rPr>
          <w:b/>
          <w:sz w:val="22"/>
          <w:szCs w:val="22"/>
          <w:u w:val="single"/>
        </w:rPr>
        <w:instrText xml:space="preserve"> FORMTEXT </w:instrText>
      </w:r>
      <w:r w:rsidR="00C11CC8">
        <w:rPr>
          <w:b/>
          <w:sz w:val="22"/>
          <w:szCs w:val="22"/>
          <w:u w:val="single"/>
        </w:rPr>
      </w:r>
      <w:r w:rsidR="00C11CC8">
        <w:rPr>
          <w:b/>
          <w:sz w:val="22"/>
          <w:szCs w:val="22"/>
          <w:u w:val="single"/>
        </w:rPr>
        <w:fldChar w:fldCharType="separate"/>
      </w:r>
      <w:r w:rsidR="00C11CC8">
        <w:rPr>
          <w:b/>
          <w:noProof/>
          <w:sz w:val="22"/>
          <w:szCs w:val="22"/>
          <w:u w:val="single"/>
        </w:rPr>
        <w:t>FECHA DE RECEPCIÓN</w:t>
      </w:r>
      <w:r w:rsidR="00C11CC8">
        <w:rPr>
          <w:b/>
          <w:sz w:val="22"/>
          <w:szCs w:val="22"/>
          <w:u w:val="single"/>
        </w:rPr>
        <w:fldChar w:fldCharType="end"/>
      </w:r>
      <w:r>
        <w:rPr>
          <w:sz w:val="22"/>
          <w:szCs w:val="22"/>
          <w:bdr w:val="nil"/>
          <w:lang w:val="es-ES_tradnl"/>
        </w:rPr>
        <w:t xml:space="preserve">, recibimos un aviso en el que se indicaba que la muestra obtenida el día </w:t>
      </w:r>
      <w:r w:rsidR="006B79A4">
        <w:rPr>
          <w:b/>
          <w:sz w:val="22"/>
          <w:szCs w:val="22"/>
          <w:u w:val="single"/>
        </w:rPr>
        <w:fldChar w:fldCharType="begin">
          <w:ffData>
            <w:name w:val="Text8"/>
            <w:enabled/>
            <w:calcOnExit w:val="0"/>
            <w:statusText w:type="text" w:val="NOMBRE DEL SISTEMA DE AGUA"/>
            <w:textInput>
              <w:default w:val="FECHA DE OBTENCIÓN"/>
            </w:textInput>
          </w:ffData>
        </w:fldChar>
      </w:r>
      <w:bookmarkStart w:id="0" w:name="Text8"/>
      <w:r w:rsidR="006B79A4">
        <w:rPr>
          <w:b/>
          <w:sz w:val="22"/>
          <w:szCs w:val="22"/>
          <w:u w:val="single"/>
        </w:rPr>
        <w:instrText xml:space="preserve"> FORMTEXT </w:instrText>
      </w:r>
      <w:r w:rsidR="006B79A4">
        <w:rPr>
          <w:b/>
          <w:sz w:val="22"/>
          <w:szCs w:val="22"/>
          <w:u w:val="single"/>
        </w:rPr>
      </w:r>
      <w:r w:rsidR="006B79A4">
        <w:rPr>
          <w:b/>
          <w:sz w:val="22"/>
          <w:szCs w:val="22"/>
          <w:u w:val="single"/>
        </w:rPr>
        <w:fldChar w:fldCharType="separate"/>
      </w:r>
      <w:r w:rsidR="006B79A4">
        <w:rPr>
          <w:b/>
          <w:noProof/>
          <w:sz w:val="22"/>
          <w:szCs w:val="22"/>
          <w:u w:val="single"/>
        </w:rPr>
        <w:t>FECHA DE OBTENCIÓN</w:t>
      </w:r>
      <w:r w:rsidR="006B79A4">
        <w:rPr>
          <w:b/>
          <w:sz w:val="22"/>
          <w:szCs w:val="22"/>
          <w:u w:val="single"/>
        </w:rPr>
        <w:fldChar w:fldCharType="end"/>
      </w:r>
      <w:bookmarkEnd w:id="0"/>
      <w:r>
        <w:rPr>
          <w:sz w:val="22"/>
          <w:szCs w:val="22"/>
          <w:bdr w:val="nil"/>
          <w:lang w:val="es-ES_tradnl"/>
        </w:rPr>
        <w:t xml:space="preserve"> mostraba arsénico en un nivel de </w:t>
      </w:r>
      <w:r w:rsidR="00F607FD">
        <w:rPr>
          <w:b/>
          <w:sz w:val="22"/>
          <w:szCs w:val="22"/>
          <w:u w:val="single"/>
        </w:rPr>
        <w:fldChar w:fldCharType="begin">
          <w:ffData>
            <w:name w:val=""/>
            <w:enabled/>
            <w:calcOnExit w:val="0"/>
            <w:textInput>
              <w:default w:val="RESULTADO"/>
            </w:textInput>
          </w:ffData>
        </w:fldChar>
      </w:r>
      <w:r w:rsidR="00F607FD">
        <w:rPr>
          <w:b/>
          <w:sz w:val="22"/>
          <w:szCs w:val="22"/>
          <w:u w:val="single"/>
        </w:rPr>
        <w:instrText xml:space="preserve"> FORMTEXT </w:instrText>
      </w:r>
      <w:r w:rsidR="00F607FD">
        <w:rPr>
          <w:b/>
          <w:sz w:val="22"/>
          <w:szCs w:val="22"/>
          <w:u w:val="single"/>
        </w:rPr>
      </w:r>
      <w:r w:rsidR="00F607FD">
        <w:rPr>
          <w:b/>
          <w:sz w:val="22"/>
          <w:szCs w:val="22"/>
          <w:u w:val="single"/>
        </w:rPr>
        <w:fldChar w:fldCharType="separate"/>
      </w:r>
      <w:r w:rsidR="00F607FD">
        <w:rPr>
          <w:b/>
          <w:noProof/>
          <w:sz w:val="22"/>
          <w:szCs w:val="22"/>
          <w:u w:val="single"/>
        </w:rPr>
        <w:t>RESULTADO</w:t>
      </w:r>
      <w:r w:rsidR="00F607FD">
        <w:rPr>
          <w:b/>
          <w:sz w:val="22"/>
          <w:szCs w:val="22"/>
          <w:u w:val="single"/>
        </w:rPr>
        <w:fldChar w:fldCharType="end"/>
      </w:r>
      <w:r>
        <w:rPr>
          <w:b/>
          <w:bCs/>
          <w:sz w:val="22"/>
          <w:szCs w:val="22"/>
          <w:bdr w:val="nil"/>
          <w:lang w:val="es-ES_tradnl"/>
        </w:rPr>
        <w:t xml:space="preserve"> </w:t>
      </w:r>
      <w:r>
        <w:rPr>
          <w:sz w:val="22"/>
          <w:szCs w:val="22"/>
          <w:bdr w:val="nil"/>
          <w:lang w:val="es-ES_tradnl"/>
        </w:rPr>
        <w:t>miligramos por litro (mg/l), lo cual supera el estándar de arsénico o el nivel máximo de contaminante (MCL, por sus siglas en inglés) de 0.010 mg/l y se encuentra por encima del nivel agudo de 0.035 mg/l. Los niveles elevados de arsénico en el agua potable constituyen un problema grave para la salud.</w:t>
      </w:r>
    </w:p>
    <w:p w14:paraId="7DD2DA86" w14:textId="77777777" w:rsidR="00BC5BC0" w:rsidRPr="00F2702A" w:rsidRDefault="008B6F84" w:rsidP="00584CE5">
      <w:pPr>
        <w:spacing w:after="60"/>
        <w:rPr>
          <w:b/>
        </w:rPr>
      </w:pPr>
      <w:r>
        <w:rPr>
          <w:b/>
          <w:bCs/>
          <w:bdr w:val="nil"/>
          <w:lang w:val="es-ES_tradnl"/>
        </w:rPr>
        <w:t xml:space="preserve">¿Qué debo hacer? </w:t>
      </w:r>
    </w:p>
    <w:p w14:paraId="7DD2DA87" w14:textId="77777777" w:rsidR="00BC5BC0" w:rsidRPr="00F2702A" w:rsidRDefault="008B6F84" w:rsidP="00584CE5">
      <w:pPr>
        <w:spacing w:after="60"/>
        <w:rPr>
          <w:sz w:val="22"/>
          <w:szCs w:val="22"/>
        </w:rPr>
      </w:pPr>
      <w:r>
        <w:rPr>
          <w:bdr w:val="nil"/>
          <w:lang w:val="es-ES_tradnl"/>
        </w:rPr>
        <w:t>Debe evitar</w:t>
      </w:r>
      <w:r>
        <w:rPr>
          <w:sz w:val="22"/>
          <w:szCs w:val="22"/>
          <w:bdr w:val="nil"/>
          <w:lang w:val="es-ES_tradnl"/>
        </w:rPr>
        <w:t xml:space="preserve"> beber agua potable con niveles elevados de arsénico.  Utilice una fuente alternativa de agua potable hasta que pueda resolverse el problema de contaminación o bien se disponga de otra fuente de agua segura.  Si los niveles de arsénico:</w:t>
      </w:r>
    </w:p>
    <w:tbl>
      <w:tblPr>
        <w:tblStyle w:val="TableGrid"/>
        <w:tblW w:w="0" w:type="auto"/>
        <w:tblInd w:w="-5" w:type="dxa"/>
        <w:tblLook w:val="04A0" w:firstRow="1" w:lastRow="0" w:firstColumn="1" w:lastColumn="0" w:noHBand="0" w:noVBand="1"/>
      </w:tblPr>
      <w:tblGrid>
        <w:gridCol w:w="3150"/>
        <w:gridCol w:w="7583"/>
      </w:tblGrid>
      <w:tr w:rsidR="00CE000E" w14:paraId="7DD2DA8A" w14:textId="77777777" w:rsidTr="00575C47">
        <w:trPr>
          <w:trHeight w:val="422"/>
        </w:trPr>
        <w:tc>
          <w:tcPr>
            <w:tcW w:w="3150" w:type="dxa"/>
            <w:vAlign w:val="center"/>
          </w:tcPr>
          <w:p w14:paraId="7DD2DA88" w14:textId="77777777" w:rsidR="00BC5BC0" w:rsidRPr="00F2702A" w:rsidRDefault="008B6F84" w:rsidP="0017653A">
            <w:pPr>
              <w:spacing w:after="60"/>
            </w:pPr>
            <w:r>
              <w:rPr>
                <w:b/>
                <w:bCs/>
                <w:sz w:val="22"/>
                <w:szCs w:val="22"/>
                <w:bdr w:val="nil"/>
                <w:lang w:val="es-ES_tradnl"/>
              </w:rPr>
              <w:t>Son superiores a 0.035 mg/l</w:t>
            </w:r>
          </w:p>
        </w:tc>
        <w:tc>
          <w:tcPr>
            <w:tcW w:w="7583" w:type="dxa"/>
            <w:vAlign w:val="center"/>
          </w:tcPr>
          <w:p w14:paraId="7DD2DA89" w14:textId="77777777" w:rsidR="00BC5BC0" w:rsidRPr="00F2702A" w:rsidRDefault="008B6F84" w:rsidP="0017653A">
            <w:pPr>
              <w:spacing w:after="60"/>
            </w:pPr>
            <w:r>
              <w:rPr>
                <w:sz w:val="22"/>
                <w:szCs w:val="22"/>
                <w:bdr w:val="nil"/>
                <w:lang w:val="es-ES_tradnl"/>
              </w:rPr>
              <w:t xml:space="preserve">Los niños pequeños, especialmente los bebés, deben </w:t>
            </w:r>
            <w:r>
              <w:rPr>
                <w:b/>
                <w:bCs/>
                <w:sz w:val="22"/>
                <w:szCs w:val="22"/>
                <w:bdr w:val="nil"/>
                <w:lang w:val="es-ES_tradnl"/>
              </w:rPr>
              <w:t>DEJAR DE BEBER EL AGUA POTABLE DE INMEDIATO.</w:t>
            </w:r>
          </w:p>
        </w:tc>
      </w:tr>
      <w:tr w:rsidR="00CE000E" w14:paraId="7DD2DA8D" w14:textId="77777777" w:rsidTr="00575C47">
        <w:trPr>
          <w:trHeight w:val="620"/>
        </w:trPr>
        <w:tc>
          <w:tcPr>
            <w:tcW w:w="3150" w:type="dxa"/>
            <w:vAlign w:val="center"/>
          </w:tcPr>
          <w:p w14:paraId="7DD2DA8B" w14:textId="77777777" w:rsidR="00BC5BC0" w:rsidRPr="00F2702A" w:rsidRDefault="008B6F84" w:rsidP="0017653A">
            <w:pPr>
              <w:spacing w:after="60"/>
              <w:rPr>
                <w:b/>
              </w:rPr>
            </w:pPr>
            <w:r>
              <w:rPr>
                <w:b/>
                <w:bCs/>
                <w:sz w:val="22"/>
                <w:szCs w:val="22"/>
                <w:bdr w:val="nil"/>
                <w:lang w:val="es-ES_tradnl"/>
              </w:rPr>
              <w:t>Se encuentran entre 0.100 y 0.499 mg/l</w:t>
            </w:r>
          </w:p>
        </w:tc>
        <w:tc>
          <w:tcPr>
            <w:tcW w:w="7583" w:type="dxa"/>
            <w:vAlign w:val="center"/>
          </w:tcPr>
          <w:p w14:paraId="7DD2DA8C" w14:textId="77777777" w:rsidR="00BC5BC0" w:rsidRPr="00575C47" w:rsidRDefault="008B6F84" w:rsidP="00575C47">
            <w:pPr>
              <w:tabs>
                <w:tab w:val="left" w:pos="2070"/>
              </w:tabs>
              <w:spacing w:after="60"/>
              <w:rPr>
                <w:b/>
                <w:bCs/>
                <w:sz w:val="22"/>
                <w:szCs w:val="22"/>
              </w:rPr>
            </w:pPr>
            <w:r>
              <w:rPr>
                <w:sz w:val="22"/>
                <w:szCs w:val="22"/>
                <w:bdr w:val="nil"/>
                <w:lang w:val="es-ES_tradnl"/>
              </w:rPr>
              <w:t xml:space="preserve">NO se debe usar el agua para el riego; puede emplearse para bañarse, ducharse y nadar si NO se ingiere. Se debe supervisar a los niños DE CERCA.  </w:t>
            </w:r>
            <w:r>
              <w:rPr>
                <w:b/>
                <w:bCs/>
                <w:sz w:val="22"/>
                <w:szCs w:val="22"/>
                <w:bdr w:val="nil"/>
                <w:lang w:val="es-ES_tradnl"/>
              </w:rPr>
              <w:t>Los adultos no deben beber agua si el arsénico se encuentra por encima de 0.130 mg/l.</w:t>
            </w:r>
          </w:p>
        </w:tc>
      </w:tr>
      <w:tr w:rsidR="00CE000E" w14:paraId="7DD2DA90" w14:textId="77777777" w:rsidTr="00575C47">
        <w:trPr>
          <w:trHeight w:val="350"/>
        </w:trPr>
        <w:tc>
          <w:tcPr>
            <w:tcW w:w="3150" w:type="dxa"/>
            <w:vAlign w:val="center"/>
          </w:tcPr>
          <w:p w14:paraId="7DD2DA8E" w14:textId="77777777" w:rsidR="00BC5BC0" w:rsidRPr="00F2702A" w:rsidRDefault="008B6F84" w:rsidP="0017653A">
            <w:pPr>
              <w:spacing w:after="60"/>
              <w:rPr>
                <w:b/>
              </w:rPr>
            </w:pPr>
            <w:r>
              <w:rPr>
                <w:b/>
                <w:bCs/>
                <w:sz w:val="22"/>
                <w:szCs w:val="22"/>
                <w:bdr w:val="nil"/>
                <w:lang w:val="es-ES_tradnl"/>
              </w:rPr>
              <w:t>Alcanzan 0.500 mg/l o más</w:t>
            </w:r>
          </w:p>
        </w:tc>
        <w:tc>
          <w:tcPr>
            <w:tcW w:w="7583" w:type="dxa"/>
            <w:vAlign w:val="center"/>
          </w:tcPr>
          <w:p w14:paraId="7DD2DA8F" w14:textId="77777777" w:rsidR="00BC5BC0" w:rsidRPr="00F2702A" w:rsidRDefault="008B6F84" w:rsidP="0017653A">
            <w:pPr>
              <w:tabs>
                <w:tab w:val="left" w:pos="2070"/>
              </w:tabs>
              <w:spacing w:after="60"/>
            </w:pPr>
            <w:r>
              <w:rPr>
                <w:b/>
                <w:bCs/>
                <w:sz w:val="22"/>
                <w:szCs w:val="22"/>
                <w:bdr w:val="nil"/>
                <w:lang w:val="es-ES_tradnl"/>
              </w:rPr>
              <w:t>NO UTILICE</w:t>
            </w:r>
            <w:r>
              <w:rPr>
                <w:sz w:val="22"/>
                <w:szCs w:val="22"/>
                <w:bdr w:val="nil"/>
                <w:lang w:val="es-ES_tradnl"/>
              </w:rPr>
              <w:t xml:space="preserve"> el agua para ningún tipo de uso doméstico.</w:t>
            </w:r>
          </w:p>
        </w:tc>
      </w:tr>
    </w:tbl>
    <w:p w14:paraId="7DD2DA92" w14:textId="25CF661C" w:rsidR="00BC5BC0" w:rsidRPr="00CB71E4" w:rsidRDefault="008B6F84" w:rsidP="00584CE5">
      <w:pPr>
        <w:spacing w:before="120" w:after="60"/>
        <w:rPr>
          <w:sz w:val="14"/>
          <w:szCs w:val="14"/>
        </w:rPr>
      </w:pPr>
      <w:r>
        <w:rPr>
          <w:b/>
          <w:bCs/>
          <w:sz w:val="22"/>
          <w:szCs w:val="22"/>
          <w:bdr w:val="nil"/>
          <w:lang w:val="es-ES_tradnl"/>
        </w:rPr>
        <w:t>NO HIERVA EL AGUA.</w:t>
      </w:r>
      <w:r>
        <w:rPr>
          <w:sz w:val="22"/>
          <w:szCs w:val="22"/>
          <w:bdr w:val="nil"/>
          <w:lang w:val="es-ES_tradnl"/>
        </w:rPr>
        <w:t xml:space="preserve">  Hervir el agua no reduce la cantidad de arsénico en el agua e incluso puede concentrarlo. Los filtros de venta libre no eliminan el arsénico del agua.  Si tiene inquietudes de salud específicas, consulte a su médico.</w:t>
      </w:r>
    </w:p>
    <w:p w14:paraId="7DD2DA94" w14:textId="2FCD3CA5" w:rsidR="00BC5BC0" w:rsidRPr="00CB71E4" w:rsidRDefault="008B6F84" w:rsidP="00584CE5">
      <w:pPr>
        <w:spacing w:after="120"/>
        <w:rPr>
          <w:sz w:val="14"/>
          <w:szCs w:val="14"/>
        </w:rPr>
      </w:pPr>
      <w:r>
        <w:rPr>
          <w:sz w:val="22"/>
          <w:szCs w:val="22"/>
          <w:bdr w:val="nil"/>
          <w:lang w:val="es-ES_tradnl"/>
        </w:rPr>
        <w:t>Si tiene un sistema inmunitario gravemente comprometido, tiene un bebé o hijos, está embarazada o es un adulto mayor, es posible que pueda correr un mayor riesgo y debe solicitar asesoramiento a su proveedor de atención médica respecto de beber esta agua.</w:t>
      </w:r>
    </w:p>
    <w:p w14:paraId="7DD2DA96" w14:textId="5A0FEB93" w:rsidR="00BC5BC0" w:rsidRPr="00CB71E4" w:rsidRDefault="008B6F84" w:rsidP="00584CE5">
      <w:pPr>
        <w:spacing w:after="120"/>
        <w:rPr>
          <w:sz w:val="14"/>
          <w:szCs w:val="14"/>
        </w:rPr>
      </w:pPr>
      <w:r>
        <w:rPr>
          <w:sz w:val="22"/>
          <w:szCs w:val="22"/>
          <w:bdr w:val="nil"/>
          <w:lang w:val="es-ES_tradnl"/>
        </w:rPr>
        <w:t>Se ha relacionado a los niveles de arsénico superiores a 0.035 mg/l con efectos en la salud de los niños después de una exposición de muy corto plazo (dos semanas o menos), ya que los niños beben mayor cantidad de agua por peso corporal que los adultos y atraviesan importantes etapas de desarrollo, especialmente el desarrollo cerebral.  La exposición a corto plazo a agua potable con niveles de arsénico que superen los 0.130 mg/l se ha relacionado con efectos en la salud de los adultos.</w:t>
      </w:r>
    </w:p>
    <w:p w14:paraId="7DD2DA97" w14:textId="77777777" w:rsidR="00BC5BC0" w:rsidRPr="00F2702A" w:rsidRDefault="008B6F84" w:rsidP="00584CE5">
      <w:pPr>
        <w:spacing w:after="60"/>
        <w:rPr>
          <w:b/>
        </w:rPr>
      </w:pPr>
      <w:r>
        <w:rPr>
          <w:b/>
          <w:bCs/>
          <w:bdr w:val="nil"/>
          <w:lang w:val="es-ES_tradnl"/>
        </w:rPr>
        <w:t>¿Qué significa esto?</w:t>
      </w:r>
    </w:p>
    <w:p w14:paraId="7DD2DA99" w14:textId="23CF689B" w:rsidR="00BC5BC0" w:rsidRPr="00CB71E4" w:rsidRDefault="008B6F84" w:rsidP="00584CE5">
      <w:pPr>
        <w:spacing w:after="120"/>
        <w:ind w:right="180"/>
        <w:rPr>
          <w:sz w:val="14"/>
          <w:szCs w:val="14"/>
        </w:rPr>
      </w:pPr>
      <w:r>
        <w:rPr>
          <w:sz w:val="22"/>
          <w:szCs w:val="22"/>
          <w:bdr w:val="nil"/>
          <w:lang w:val="es-ES_tradnl"/>
        </w:rPr>
        <w:t>Los posibles efectos en la salud por beber agua con un alto contenido de arsénico en un breve período de tiempo incluyen: dolor estomacal, náuseas, vómitos, diarrea, trastornos cardíacos, pulmonares, hepáticos, del sistema inmunitario, del sistema nervioso o del aparato reproductor y diabetes.  Algunas personas que beben agua con arsénico por encima del nivel máximo de contaminante durante muchos años podrían experimentar daños en la piel o problemas en el sistema circulatorio, y pueden tener un aumento del riesgo de tener cáncer.</w:t>
      </w:r>
    </w:p>
    <w:p w14:paraId="7DD2DA9A" w14:textId="77777777" w:rsidR="00BC5BC0" w:rsidRPr="00F2702A" w:rsidRDefault="008B6F84" w:rsidP="00584CE5">
      <w:pPr>
        <w:spacing w:after="60"/>
        <w:rPr>
          <w:b/>
        </w:rPr>
      </w:pPr>
      <w:r>
        <w:rPr>
          <w:b/>
          <w:bCs/>
          <w:bdr w:val="nil"/>
          <w:lang w:val="es-ES_tradnl"/>
        </w:rPr>
        <w:t>¿Qué medidas se están tomando?</w:t>
      </w:r>
    </w:p>
    <w:p w14:paraId="4D9DB281" w14:textId="66ECCF08" w:rsidR="00CB71E4" w:rsidRDefault="0054505F" w:rsidP="00584CE5">
      <w:pPr>
        <w:spacing w:after="60"/>
        <w:rPr>
          <w:b/>
          <w:color w:val="808080"/>
          <w:sz w:val="22"/>
          <w:szCs w:val="22"/>
          <w:u w:val="single"/>
        </w:rPr>
      </w:pPr>
      <w:r>
        <w:rPr>
          <w:b/>
          <w:sz w:val="22"/>
          <w:szCs w:val="22"/>
          <w:u w:val="single"/>
        </w:rPr>
        <w:fldChar w:fldCharType="begin">
          <w:ffData>
            <w:name w:val="Text3"/>
            <w:enabled/>
            <w:calcOnExit w:val="0"/>
            <w:textInput>
              <w:default w:val="DESCRIBIR MEDIDA CORRECTIVA"/>
            </w:textInput>
          </w:ffData>
        </w:fldChar>
      </w:r>
      <w:bookmarkStart w:id="1" w:name="Text3"/>
      <w:r>
        <w:rPr>
          <w:b/>
          <w:sz w:val="22"/>
          <w:szCs w:val="22"/>
          <w:u w:val="single"/>
        </w:rPr>
        <w:instrText xml:space="preserve"> FORMTEXT </w:instrText>
      </w:r>
      <w:r>
        <w:rPr>
          <w:b/>
          <w:sz w:val="22"/>
          <w:szCs w:val="22"/>
          <w:u w:val="single"/>
        </w:rPr>
      </w:r>
      <w:r>
        <w:rPr>
          <w:b/>
          <w:sz w:val="22"/>
          <w:szCs w:val="22"/>
          <w:u w:val="single"/>
        </w:rPr>
        <w:fldChar w:fldCharType="separate"/>
      </w:r>
      <w:r>
        <w:rPr>
          <w:b/>
          <w:noProof/>
          <w:sz w:val="22"/>
          <w:szCs w:val="22"/>
          <w:u w:val="single"/>
        </w:rPr>
        <w:t>DESCRIBIR MEDIDA CORRECTIVA</w:t>
      </w:r>
      <w:r>
        <w:rPr>
          <w:b/>
          <w:sz w:val="22"/>
          <w:szCs w:val="22"/>
          <w:u w:val="single"/>
        </w:rPr>
        <w:fldChar w:fldCharType="end"/>
      </w:r>
      <w:bookmarkEnd w:id="1"/>
      <w:r w:rsidR="008B6F84">
        <w:rPr>
          <w:sz w:val="22"/>
          <w:szCs w:val="22"/>
          <w:bdr w:val="nil"/>
          <w:lang w:val="es-ES_tradnl"/>
        </w:rPr>
        <w:t xml:space="preserve">. Prevemos que el problema estará resulto para </w:t>
      </w:r>
      <w:r w:rsidR="001E59BE">
        <w:rPr>
          <w:b/>
          <w:sz w:val="22"/>
          <w:szCs w:val="22"/>
          <w:u w:val="single"/>
        </w:rPr>
        <w:fldChar w:fldCharType="begin">
          <w:ffData>
            <w:name w:val="Text9"/>
            <w:enabled/>
            <w:calcOnExit w:val="0"/>
            <w:textInput>
              <w:default w:val="FECHA DE LA RESOLUCIÓN"/>
            </w:textInput>
          </w:ffData>
        </w:fldChar>
      </w:r>
      <w:bookmarkStart w:id="2" w:name="Text9"/>
      <w:r w:rsidR="001E59BE">
        <w:rPr>
          <w:b/>
          <w:sz w:val="22"/>
          <w:szCs w:val="22"/>
          <w:u w:val="single"/>
        </w:rPr>
        <w:instrText xml:space="preserve"> FORMTEXT </w:instrText>
      </w:r>
      <w:r w:rsidR="001E59BE">
        <w:rPr>
          <w:b/>
          <w:sz w:val="22"/>
          <w:szCs w:val="22"/>
          <w:u w:val="single"/>
        </w:rPr>
      </w:r>
      <w:r w:rsidR="001E59BE">
        <w:rPr>
          <w:b/>
          <w:sz w:val="22"/>
          <w:szCs w:val="22"/>
          <w:u w:val="single"/>
        </w:rPr>
        <w:fldChar w:fldCharType="separate"/>
      </w:r>
      <w:r w:rsidR="001E59BE">
        <w:rPr>
          <w:b/>
          <w:noProof/>
          <w:sz w:val="22"/>
          <w:szCs w:val="22"/>
          <w:u w:val="single"/>
        </w:rPr>
        <w:t>FECHA DE LA RESOLUCIÓN</w:t>
      </w:r>
      <w:r w:rsidR="001E59BE">
        <w:rPr>
          <w:b/>
          <w:sz w:val="22"/>
          <w:szCs w:val="22"/>
          <w:u w:val="single"/>
        </w:rPr>
        <w:fldChar w:fldCharType="end"/>
      </w:r>
      <w:bookmarkEnd w:id="2"/>
      <w:r w:rsidR="008B6F84">
        <w:rPr>
          <w:bdr w:val="nil"/>
          <w:lang w:val="es-ES_tradnl"/>
        </w:rPr>
        <w:t>.</w:t>
      </w:r>
      <w:r w:rsidR="001E59BE">
        <w:rPr>
          <w:b/>
          <w:color w:val="808080"/>
          <w:sz w:val="22"/>
          <w:szCs w:val="22"/>
          <w:u w:val="single"/>
        </w:rPr>
        <w:t xml:space="preserve"> </w:t>
      </w:r>
    </w:p>
    <w:p w14:paraId="7DD2DA9D" w14:textId="0364D074" w:rsidR="00BC5BC0" w:rsidRPr="001E59BE" w:rsidRDefault="008B6F84" w:rsidP="00584CE5">
      <w:pPr>
        <w:spacing w:after="120"/>
        <w:rPr>
          <w:b/>
          <w:color w:val="808080"/>
          <w:sz w:val="22"/>
          <w:szCs w:val="22"/>
          <w:u w:val="single"/>
        </w:rPr>
      </w:pPr>
      <w:r>
        <w:rPr>
          <w:sz w:val="22"/>
          <w:szCs w:val="22"/>
          <w:bdr w:val="nil"/>
          <w:lang w:val="es-ES_tradnl"/>
        </w:rPr>
        <w:t xml:space="preserve">Para obtener más información, comuníquese con </w:t>
      </w:r>
      <w:r w:rsidRPr="00F2702A">
        <w:rPr>
          <w:b/>
          <w:sz w:val="22"/>
          <w:szCs w:val="22"/>
          <w:u w:val="single"/>
        </w:rPr>
        <w:fldChar w:fldCharType="begin">
          <w:ffData>
            <w:name w:val="Text4"/>
            <w:enabled/>
            <w:calcOnExit w:val="0"/>
            <w:textInput>
              <w:default w:val="CONTACT NAME"/>
            </w:textInput>
          </w:ffData>
        </w:fldChar>
      </w:r>
      <w:bookmarkStart w:id="3" w:name="Text4"/>
      <w:r w:rsidRPr="00F2702A">
        <w:rPr>
          <w:b/>
          <w:sz w:val="22"/>
          <w:szCs w:val="22"/>
          <w:u w:val="single"/>
        </w:rPr>
        <w:instrText xml:space="preserve"> FORMTEXT </w:instrText>
      </w:r>
      <w:r w:rsidR="00584CE5">
        <w:rPr>
          <w:b/>
          <w:sz w:val="22"/>
          <w:szCs w:val="22"/>
          <w:u w:val="single"/>
        </w:rPr>
      </w:r>
      <w:r w:rsidR="00584CE5">
        <w:rPr>
          <w:b/>
          <w:sz w:val="22"/>
          <w:szCs w:val="22"/>
          <w:u w:val="single"/>
        </w:rPr>
        <w:fldChar w:fldCharType="separate"/>
      </w:r>
      <w:r w:rsidRPr="00F2702A">
        <w:rPr>
          <w:b/>
          <w:sz w:val="22"/>
          <w:szCs w:val="22"/>
          <w:u w:val="single"/>
        </w:rPr>
        <w:fldChar w:fldCharType="end"/>
      </w:r>
      <w:bookmarkEnd w:id="3"/>
      <w:r>
        <w:rPr>
          <w:sz w:val="22"/>
          <w:szCs w:val="22"/>
          <w:bdr w:val="nil"/>
          <w:lang w:val="es-ES_tradnl"/>
        </w:rPr>
        <w:t xml:space="preserve">, llamando al </w:t>
      </w:r>
      <w:r w:rsidR="000E1408">
        <w:rPr>
          <w:b/>
          <w:sz w:val="22"/>
          <w:szCs w:val="22"/>
          <w:u w:val="single"/>
        </w:rPr>
        <w:fldChar w:fldCharType="begin">
          <w:ffData>
            <w:name w:val="Text5"/>
            <w:enabled/>
            <w:calcOnExit w:val="0"/>
            <w:textInput>
              <w:default w:val="NÚMERO DE TELÉFONO"/>
            </w:textInput>
          </w:ffData>
        </w:fldChar>
      </w:r>
      <w:bookmarkStart w:id="4" w:name="Text5"/>
      <w:r w:rsidR="000E1408">
        <w:rPr>
          <w:b/>
          <w:sz w:val="22"/>
          <w:szCs w:val="22"/>
          <w:u w:val="single"/>
        </w:rPr>
        <w:instrText xml:space="preserve"> FORMTEXT </w:instrText>
      </w:r>
      <w:r w:rsidR="000E1408">
        <w:rPr>
          <w:b/>
          <w:sz w:val="22"/>
          <w:szCs w:val="22"/>
          <w:u w:val="single"/>
        </w:rPr>
      </w:r>
      <w:r w:rsidR="000E1408">
        <w:rPr>
          <w:b/>
          <w:sz w:val="22"/>
          <w:szCs w:val="22"/>
          <w:u w:val="single"/>
        </w:rPr>
        <w:fldChar w:fldCharType="separate"/>
      </w:r>
      <w:r w:rsidR="000E1408">
        <w:rPr>
          <w:b/>
          <w:noProof/>
          <w:sz w:val="22"/>
          <w:szCs w:val="22"/>
          <w:u w:val="single"/>
        </w:rPr>
        <w:t>NÚMERO DE TELÉFONO</w:t>
      </w:r>
      <w:r w:rsidR="000E1408">
        <w:rPr>
          <w:b/>
          <w:sz w:val="22"/>
          <w:szCs w:val="22"/>
          <w:u w:val="single"/>
        </w:rPr>
        <w:fldChar w:fldCharType="end"/>
      </w:r>
      <w:bookmarkEnd w:id="4"/>
      <w:r>
        <w:rPr>
          <w:sz w:val="22"/>
          <w:szCs w:val="22"/>
          <w:bdr w:val="nil"/>
          <w:lang w:val="es-ES_tradnl"/>
        </w:rPr>
        <w:t xml:space="preserve"> o en </w:t>
      </w:r>
      <w:r w:rsidR="000079D7">
        <w:rPr>
          <w:b/>
          <w:sz w:val="22"/>
          <w:szCs w:val="22"/>
          <w:u w:val="single"/>
        </w:rPr>
        <w:fldChar w:fldCharType="begin">
          <w:ffData>
            <w:name w:val="Text6"/>
            <w:enabled/>
            <w:calcOnExit w:val="0"/>
            <w:textInput>
              <w:default w:val="DIRECCIÓN POSTAL"/>
            </w:textInput>
          </w:ffData>
        </w:fldChar>
      </w:r>
      <w:bookmarkStart w:id="5" w:name="Text6"/>
      <w:r w:rsidR="000079D7">
        <w:rPr>
          <w:b/>
          <w:sz w:val="22"/>
          <w:szCs w:val="22"/>
          <w:u w:val="single"/>
        </w:rPr>
        <w:instrText xml:space="preserve"> FORMTEXT </w:instrText>
      </w:r>
      <w:r w:rsidR="000079D7">
        <w:rPr>
          <w:b/>
          <w:sz w:val="22"/>
          <w:szCs w:val="22"/>
          <w:u w:val="single"/>
        </w:rPr>
      </w:r>
      <w:r w:rsidR="000079D7">
        <w:rPr>
          <w:b/>
          <w:sz w:val="22"/>
          <w:szCs w:val="22"/>
          <w:u w:val="single"/>
        </w:rPr>
        <w:fldChar w:fldCharType="separate"/>
      </w:r>
      <w:r w:rsidR="000079D7">
        <w:rPr>
          <w:b/>
          <w:noProof/>
          <w:sz w:val="22"/>
          <w:szCs w:val="22"/>
          <w:u w:val="single"/>
        </w:rPr>
        <w:t>DIRECCIÓN POSTAL</w:t>
      </w:r>
      <w:r w:rsidR="000079D7">
        <w:rPr>
          <w:b/>
          <w:sz w:val="22"/>
          <w:szCs w:val="22"/>
          <w:u w:val="single"/>
        </w:rPr>
        <w:fldChar w:fldCharType="end"/>
      </w:r>
      <w:bookmarkEnd w:id="5"/>
      <w:r>
        <w:rPr>
          <w:sz w:val="22"/>
          <w:szCs w:val="22"/>
          <w:bdr w:val="nil"/>
          <w:lang w:val="es-ES_tradnl"/>
        </w:rPr>
        <w:t>.</w:t>
      </w:r>
    </w:p>
    <w:p w14:paraId="7DD2DA9E" w14:textId="77777777" w:rsidR="00BC5BC0" w:rsidRPr="00F2702A" w:rsidRDefault="008B6F84" w:rsidP="00584CE5">
      <w:pPr>
        <w:spacing w:after="120"/>
        <w:rPr>
          <w:i/>
          <w:sz w:val="22"/>
          <w:szCs w:val="22"/>
        </w:rPr>
      </w:pPr>
      <w:r>
        <w:rPr>
          <w:i/>
          <w:iCs/>
          <w:sz w:val="22"/>
          <w:szCs w:val="22"/>
          <w:bdr w:val="nil"/>
          <w:lang w:val="es-ES_tradnl"/>
        </w:rPr>
        <w:t>*Comparta esta información con todas las demás personas que consuman esta agua, especialmente aquellas que tal vez no recibieron este aviso de forma directa (por ejemplo, las personas que viven en apartamentos, remolques, casas rodantes o empresas).  Puede hacerlo colocando este aviso en un lugar público o bien distribuyendo copias personalmente o por correo postal. *</w:t>
      </w:r>
    </w:p>
    <w:p w14:paraId="7DD2DAA0" w14:textId="0A21D08A" w:rsidR="00BC5BC0" w:rsidRDefault="00474C0D" w:rsidP="00584CE5">
      <w:pPr>
        <w:spacing w:after="60"/>
        <w:rPr>
          <w:b/>
          <w:sz w:val="36"/>
          <w:szCs w:val="36"/>
        </w:rPr>
      </w:pPr>
      <w:r>
        <w:rPr>
          <w:b/>
          <w:sz w:val="22"/>
          <w:szCs w:val="22"/>
          <w:u w:val="single"/>
        </w:rPr>
        <w:fldChar w:fldCharType="begin">
          <w:ffData>
            <w:name w:val=""/>
            <w:enabled/>
            <w:calcOnExit w:val="0"/>
            <w:textInput>
              <w:default w:val="NOMBRE DEL SISTEMA DE AGUA"/>
            </w:textInput>
          </w:ffData>
        </w:fldChar>
      </w:r>
      <w:r>
        <w:rPr>
          <w:b/>
          <w:sz w:val="22"/>
          <w:szCs w:val="22"/>
          <w:u w:val="single"/>
        </w:rPr>
        <w:instrText xml:space="preserve"> FORMTEXT </w:instrText>
      </w:r>
      <w:r>
        <w:rPr>
          <w:b/>
          <w:sz w:val="22"/>
          <w:szCs w:val="22"/>
          <w:u w:val="single"/>
        </w:rPr>
      </w:r>
      <w:r>
        <w:rPr>
          <w:b/>
          <w:sz w:val="22"/>
          <w:szCs w:val="22"/>
          <w:u w:val="single"/>
        </w:rPr>
        <w:fldChar w:fldCharType="separate"/>
      </w:r>
      <w:r>
        <w:rPr>
          <w:b/>
          <w:noProof/>
          <w:sz w:val="22"/>
          <w:szCs w:val="22"/>
          <w:u w:val="single"/>
        </w:rPr>
        <w:t>NOMBRE DEL SISTEMA DE AGUA</w:t>
      </w:r>
      <w:r>
        <w:rPr>
          <w:b/>
          <w:sz w:val="22"/>
          <w:szCs w:val="22"/>
          <w:u w:val="single"/>
        </w:rPr>
        <w:fldChar w:fldCharType="end"/>
      </w:r>
      <w:r w:rsidR="008B6F84">
        <w:rPr>
          <w:sz w:val="22"/>
          <w:szCs w:val="22"/>
          <w:bdr w:val="nil"/>
          <w:lang w:val="es-ES_tradnl"/>
        </w:rPr>
        <w:t xml:space="preserve"> le envía este aviso.  N.° de ID del sistema de agua 41-</w:t>
      </w:r>
      <w:r w:rsidR="00FB2913">
        <w:rPr>
          <w:b/>
          <w:sz w:val="22"/>
          <w:szCs w:val="22"/>
          <w:u w:val="single"/>
        </w:rPr>
        <w:fldChar w:fldCharType="begin">
          <w:ffData>
            <w:name w:val="Text7"/>
            <w:enabled/>
            <w:calcOnExit w:val="0"/>
            <w:textInput>
              <w:default w:val="NÚMERO DE 5 DÍGITOS"/>
            </w:textInput>
          </w:ffData>
        </w:fldChar>
      </w:r>
      <w:bookmarkStart w:id="6" w:name="Text7"/>
      <w:r w:rsidR="00FB2913">
        <w:rPr>
          <w:b/>
          <w:sz w:val="22"/>
          <w:szCs w:val="22"/>
          <w:u w:val="single"/>
        </w:rPr>
        <w:instrText xml:space="preserve"> FORMTEXT </w:instrText>
      </w:r>
      <w:r w:rsidR="00FB2913">
        <w:rPr>
          <w:b/>
          <w:sz w:val="22"/>
          <w:szCs w:val="22"/>
          <w:u w:val="single"/>
        </w:rPr>
      </w:r>
      <w:r w:rsidR="00FB2913">
        <w:rPr>
          <w:b/>
          <w:sz w:val="22"/>
          <w:szCs w:val="22"/>
          <w:u w:val="single"/>
        </w:rPr>
        <w:fldChar w:fldCharType="separate"/>
      </w:r>
      <w:r w:rsidR="00FB2913">
        <w:rPr>
          <w:b/>
          <w:noProof/>
          <w:sz w:val="22"/>
          <w:szCs w:val="22"/>
          <w:u w:val="single"/>
        </w:rPr>
        <w:t>NÚMERO DE 5 DÍGITOS</w:t>
      </w:r>
      <w:r w:rsidR="00FB2913">
        <w:rPr>
          <w:b/>
          <w:sz w:val="22"/>
          <w:szCs w:val="22"/>
          <w:u w:val="single"/>
        </w:rPr>
        <w:fldChar w:fldCharType="end"/>
      </w:r>
      <w:bookmarkEnd w:id="6"/>
      <w:r w:rsidR="008B6F84">
        <w:rPr>
          <w:sz w:val="22"/>
          <w:szCs w:val="22"/>
          <w:bdr w:val="nil"/>
          <w:lang w:val="es-ES_tradnl"/>
        </w:rPr>
        <w:t>.</w:t>
      </w:r>
      <w:r w:rsidR="00CB71E4">
        <w:rPr>
          <w:sz w:val="22"/>
          <w:szCs w:val="22"/>
          <w:bdr w:val="nil"/>
          <w:lang w:val="es-ES_tradnl"/>
        </w:rPr>
        <w:t xml:space="preserve"> </w:t>
      </w:r>
      <w:r w:rsidR="008B6F84">
        <w:rPr>
          <w:sz w:val="22"/>
          <w:szCs w:val="22"/>
          <w:bdr w:val="nil"/>
          <w:lang w:val="es-ES_tradnl"/>
        </w:rPr>
        <w:t xml:space="preserve">Fecha de distribución: </w:t>
      </w:r>
      <w:r w:rsidR="00163205">
        <w:rPr>
          <w:b/>
          <w:sz w:val="22"/>
          <w:szCs w:val="22"/>
          <w:u w:val="single"/>
        </w:rPr>
        <w:fldChar w:fldCharType="begin">
          <w:ffData>
            <w:name w:val="Text10"/>
            <w:enabled/>
            <w:calcOnExit w:val="0"/>
            <w:textInput>
              <w:default w:val=" INDICAR LA FECHA DE DISTRIBUCIÓN,"/>
            </w:textInput>
          </w:ffData>
        </w:fldChar>
      </w:r>
      <w:bookmarkStart w:id="7" w:name="Text10"/>
      <w:r w:rsidR="00163205">
        <w:rPr>
          <w:b/>
          <w:sz w:val="22"/>
          <w:szCs w:val="22"/>
          <w:u w:val="single"/>
        </w:rPr>
        <w:instrText xml:space="preserve"> FORMTEXT </w:instrText>
      </w:r>
      <w:r w:rsidR="00163205">
        <w:rPr>
          <w:b/>
          <w:sz w:val="22"/>
          <w:szCs w:val="22"/>
          <w:u w:val="single"/>
        </w:rPr>
      </w:r>
      <w:r w:rsidR="00163205">
        <w:rPr>
          <w:b/>
          <w:sz w:val="22"/>
          <w:szCs w:val="22"/>
          <w:u w:val="single"/>
        </w:rPr>
        <w:fldChar w:fldCharType="separate"/>
      </w:r>
      <w:r w:rsidR="00163205">
        <w:rPr>
          <w:b/>
          <w:noProof/>
          <w:sz w:val="22"/>
          <w:szCs w:val="22"/>
          <w:u w:val="single"/>
        </w:rPr>
        <w:t xml:space="preserve"> INDICAR LA FECHA DE DISTRIBUCIÓN,</w:t>
      </w:r>
      <w:r w:rsidR="00163205">
        <w:rPr>
          <w:b/>
          <w:sz w:val="22"/>
          <w:szCs w:val="22"/>
          <w:u w:val="single"/>
        </w:rPr>
        <w:fldChar w:fldCharType="end"/>
      </w:r>
      <w:bookmarkEnd w:id="7"/>
      <w:r w:rsidR="008B6F84">
        <w:rPr>
          <w:sz w:val="22"/>
          <w:szCs w:val="22"/>
          <w:bdr w:val="nil"/>
          <w:lang w:val="es-ES_tradnl"/>
        </w:rPr>
        <w:t>.</w:t>
      </w:r>
    </w:p>
    <w:sectPr w:rsidR="00BC5BC0" w:rsidSect="00CB71E4">
      <w:headerReference w:type="even" r:id="rId7"/>
      <w:headerReference w:type="default" r:id="rId8"/>
      <w:footerReference w:type="even" r:id="rId9"/>
      <w:footerReference w:type="default" r:id="rId10"/>
      <w:headerReference w:type="first" r:id="rId11"/>
      <w:footerReference w:type="first" r:id="rId12"/>
      <w:pgSz w:w="12240" w:h="15840"/>
      <w:pgMar w:top="450" w:right="720" w:bottom="720" w:left="720"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0CFA5B" w14:textId="77777777" w:rsidR="008B6F84" w:rsidRDefault="008B6F84">
      <w:r>
        <w:separator/>
      </w:r>
    </w:p>
  </w:endnote>
  <w:endnote w:type="continuationSeparator" w:id="0">
    <w:p w14:paraId="3257D1FB" w14:textId="77777777" w:rsidR="008B6F84" w:rsidRDefault="008B6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MT">
    <w:altName w:val="Arial"/>
    <w:panose1 w:val="00000000000000000000"/>
    <w:charset w:val="00"/>
    <w:family w:val="swiss"/>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E3B0CF" w14:textId="77777777" w:rsidR="00574C38" w:rsidRDefault="00574C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D2DAA1" w14:textId="77777777" w:rsidR="00F2702A" w:rsidRPr="00DD6BB3" w:rsidRDefault="008B6F84" w:rsidP="00DD6BB3">
    <w:pPr>
      <w:pStyle w:val="Footer"/>
      <w:jc w:val="right"/>
      <w:rPr>
        <w:sz w:val="18"/>
        <w:szCs w:val="18"/>
      </w:rPr>
    </w:pPr>
    <w:r>
      <w:rPr>
        <w:sz w:val="20"/>
        <w:szCs w:val="20"/>
        <w:bdr w:val="nil"/>
        <w:lang w:val="es-ES_tradnl"/>
      </w:rPr>
      <w:t>SP OHA-DWS (05/2021)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D2DAA4" w14:textId="77777777" w:rsidR="00BC5BC0" w:rsidRPr="00BC5BC0" w:rsidRDefault="008B6F84" w:rsidP="00BC5BC0">
    <w:pPr>
      <w:pStyle w:val="Footer"/>
      <w:jc w:val="right"/>
      <w:rPr>
        <w:sz w:val="18"/>
        <w:szCs w:val="18"/>
      </w:rPr>
    </w:pPr>
    <w:r>
      <w:rPr>
        <w:bdr w:val="nil"/>
        <w:lang w:val="es-ES_tradnl"/>
      </w:rPr>
      <w:tab/>
    </w:r>
    <w:r>
      <w:rPr>
        <w:sz w:val="20"/>
        <w:szCs w:val="20"/>
        <w:bdr w:val="nil"/>
        <w:lang w:val="es-ES_tradnl"/>
      </w:rPr>
      <w:t>SP OHA-DWS (05/2021)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AF12CB" w14:textId="77777777" w:rsidR="008B6F84" w:rsidRDefault="008B6F84">
      <w:r>
        <w:separator/>
      </w:r>
    </w:p>
  </w:footnote>
  <w:footnote w:type="continuationSeparator" w:id="0">
    <w:p w14:paraId="7FA6C7E2" w14:textId="77777777" w:rsidR="008B6F84" w:rsidRDefault="008B6F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F23472" w14:textId="77777777" w:rsidR="00574C38" w:rsidRDefault="00574C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F10272" w14:textId="77777777" w:rsidR="00574C38" w:rsidRDefault="00574C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D2DAA2" w14:textId="77777777" w:rsidR="00CE5470" w:rsidRDefault="00CE5470">
    <w:pPr>
      <w:pStyle w:val="Header"/>
    </w:pPr>
  </w:p>
  <w:p w14:paraId="7DD2DAA3" w14:textId="77777777" w:rsidR="00CE5470" w:rsidRDefault="00CE54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4F5194"/>
    <w:multiLevelType w:val="hybridMultilevel"/>
    <w:tmpl w:val="7DDE2812"/>
    <w:lvl w:ilvl="0" w:tplc="98FA3226">
      <w:numFmt w:val="bullet"/>
      <w:lvlText w:val="•"/>
      <w:lvlJc w:val="left"/>
      <w:pPr>
        <w:ind w:left="648" w:hanging="360"/>
      </w:pPr>
      <w:rPr>
        <w:rFonts w:ascii="ArialMT" w:eastAsia="Times New Roman" w:hAnsi="ArialMT" w:hint="default"/>
      </w:rPr>
    </w:lvl>
    <w:lvl w:ilvl="1" w:tplc="27DEEB2E" w:tentative="1">
      <w:start w:val="1"/>
      <w:numFmt w:val="bullet"/>
      <w:lvlText w:val="o"/>
      <w:lvlJc w:val="left"/>
      <w:pPr>
        <w:ind w:left="1368" w:hanging="360"/>
      </w:pPr>
      <w:rPr>
        <w:rFonts w:ascii="Courier New" w:hAnsi="Courier New" w:hint="default"/>
      </w:rPr>
    </w:lvl>
    <w:lvl w:ilvl="2" w:tplc="D244336C" w:tentative="1">
      <w:start w:val="1"/>
      <w:numFmt w:val="bullet"/>
      <w:lvlText w:val=""/>
      <w:lvlJc w:val="left"/>
      <w:pPr>
        <w:ind w:left="2088" w:hanging="360"/>
      </w:pPr>
      <w:rPr>
        <w:rFonts w:ascii="Wingdings" w:hAnsi="Wingdings" w:hint="default"/>
      </w:rPr>
    </w:lvl>
    <w:lvl w:ilvl="3" w:tplc="18EC5ABA" w:tentative="1">
      <w:start w:val="1"/>
      <w:numFmt w:val="bullet"/>
      <w:lvlText w:val=""/>
      <w:lvlJc w:val="left"/>
      <w:pPr>
        <w:ind w:left="2808" w:hanging="360"/>
      </w:pPr>
      <w:rPr>
        <w:rFonts w:ascii="Symbol" w:hAnsi="Symbol" w:hint="default"/>
      </w:rPr>
    </w:lvl>
    <w:lvl w:ilvl="4" w:tplc="1FB6C998" w:tentative="1">
      <w:start w:val="1"/>
      <w:numFmt w:val="bullet"/>
      <w:lvlText w:val="o"/>
      <w:lvlJc w:val="left"/>
      <w:pPr>
        <w:ind w:left="3528" w:hanging="360"/>
      </w:pPr>
      <w:rPr>
        <w:rFonts w:ascii="Courier New" w:hAnsi="Courier New" w:hint="default"/>
      </w:rPr>
    </w:lvl>
    <w:lvl w:ilvl="5" w:tplc="500C4B6C" w:tentative="1">
      <w:start w:val="1"/>
      <w:numFmt w:val="bullet"/>
      <w:lvlText w:val=""/>
      <w:lvlJc w:val="left"/>
      <w:pPr>
        <w:ind w:left="4248" w:hanging="360"/>
      </w:pPr>
      <w:rPr>
        <w:rFonts w:ascii="Wingdings" w:hAnsi="Wingdings" w:hint="default"/>
      </w:rPr>
    </w:lvl>
    <w:lvl w:ilvl="6" w:tplc="F346627E" w:tentative="1">
      <w:start w:val="1"/>
      <w:numFmt w:val="bullet"/>
      <w:lvlText w:val=""/>
      <w:lvlJc w:val="left"/>
      <w:pPr>
        <w:ind w:left="4968" w:hanging="360"/>
      </w:pPr>
      <w:rPr>
        <w:rFonts w:ascii="Symbol" w:hAnsi="Symbol" w:hint="default"/>
      </w:rPr>
    </w:lvl>
    <w:lvl w:ilvl="7" w:tplc="0D5CCA96" w:tentative="1">
      <w:start w:val="1"/>
      <w:numFmt w:val="bullet"/>
      <w:lvlText w:val="o"/>
      <w:lvlJc w:val="left"/>
      <w:pPr>
        <w:ind w:left="5688" w:hanging="360"/>
      </w:pPr>
      <w:rPr>
        <w:rFonts w:ascii="Courier New" w:hAnsi="Courier New" w:hint="default"/>
      </w:rPr>
    </w:lvl>
    <w:lvl w:ilvl="8" w:tplc="501213C6" w:tentative="1">
      <w:start w:val="1"/>
      <w:numFmt w:val="bullet"/>
      <w:lvlText w:val=""/>
      <w:lvlJc w:val="left"/>
      <w:pPr>
        <w:ind w:left="6408" w:hanging="360"/>
      </w:pPr>
      <w:rPr>
        <w:rFonts w:ascii="Wingdings" w:hAnsi="Wingdings" w:hint="default"/>
      </w:rPr>
    </w:lvl>
  </w:abstractNum>
  <w:abstractNum w:abstractNumId="1" w15:restartNumberingAfterBreak="0">
    <w:nsid w:val="4F3B46F5"/>
    <w:multiLevelType w:val="hybridMultilevel"/>
    <w:tmpl w:val="E1AE788A"/>
    <w:lvl w:ilvl="0" w:tplc="E292B8D6">
      <w:start w:val="1"/>
      <w:numFmt w:val="bullet"/>
      <w:lvlText w:val=""/>
      <w:lvlJc w:val="left"/>
      <w:pPr>
        <w:tabs>
          <w:tab w:val="num" w:pos="780"/>
        </w:tabs>
        <w:ind w:left="780" w:hanging="360"/>
      </w:pPr>
      <w:rPr>
        <w:rFonts w:ascii="Symbol" w:hAnsi="Symbol" w:hint="default"/>
      </w:rPr>
    </w:lvl>
    <w:lvl w:ilvl="1" w:tplc="7898C962">
      <w:start w:val="1"/>
      <w:numFmt w:val="bullet"/>
      <w:lvlText w:val="o"/>
      <w:lvlJc w:val="left"/>
      <w:pPr>
        <w:tabs>
          <w:tab w:val="num" w:pos="1500"/>
        </w:tabs>
        <w:ind w:left="1500" w:hanging="360"/>
      </w:pPr>
      <w:rPr>
        <w:rFonts w:ascii="Courier New" w:hAnsi="Courier New" w:hint="default"/>
      </w:rPr>
    </w:lvl>
    <w:lvl w:ilvl="2" w:tplc="41C24538" w:tentative="1">
      <w:start w:val="1"/>
      <w:numFmt w:val="bullet"/>
      <w:lvlText w:val=""/>
      <w:lvlJc w:val="left"/>
      <w:pPr>
        <w:tabs>
          <w:tab w:val="num" w:pos="2220"/>
        </w:tabs>
        <w:ind w:left="2220" w:hanging="360"/>
      </w:pPr>
      <w:rPr>
        <w:rFonts w:ascii="Wingdings" w:hAnsi="Wingdings" w:hint="default"/>
      </w:rPr>
    </w:lvl>
    <w:lvl w:ilvl="3" w:tplc="CD9ED60C" w:tentative="1">
      <w:start w:val="1"/>
      <w:numFmt w:val="bullet"/>
      <w:lvlText w:val=""/>
      <w:lvlJc w:val="left"/>
      <w:pPr>
        <w:tabs>
          <w:tab w:val="num" w:pos="2940"/>
        </w:tabs>
        <w:ind w:left="2940" w:hanging="360"/>
      </w:pPr>
      <w:rPr>
        <w:rFonts w:ascii="Symbol" w:hAnsi="Symbol" w:hint="default"/>
      </w:rPr>
    </w:lvl>
    <w:lvl w:ilvl="4" w:tplc="03982316" w:tentative="1">
      <w:start w:val="1"/>
      <w:numFmt w:val="bullet"/>
      <w:lvlText w:val="o"/>
      <w:lvlJc w:val="left"/>
      <w:pPr>
        <w:tabs>
          <w:tab w:val="num" w:pos="3660"/>
        </w:tabs>
        <w:ind w:left="3660" w:hanging="360"/>
      </w:pPr>
      <w:rPr>
        <w:rFonts w:ascii="Courier New" w:hAnsi="Courier New" w:hint="default"/>
      </w:rPr>
    </w:lvl>
    <w:lvl w:ilvl="5" w:tplc="89E245B2" w:tentative="1">
      <w:start w:val="1"/>
      <w:numFmt w:val="bullet"/>
      <w:lvlText w:val=""/>
      <w:lvlJc w:val="left"/>
      <w:pPr>
        <w:tabs>
          <w:tab w:val="num" w:pos="4380"/>
        </w:tabs>
        <w:ind w:left="4380" w:hanging="360"/>
      </w:pPr>
      <w:rPr>
        <w:rFonts w:ascii="Wingdings" w:hAnsi="Wingdings" w:hint="default"/>
      </w:rPr>
    </w:lvl>
    <w:lvl w:ilvl="6" w:tplc="49A6E120" w:tentative="1">
      <w:start w:val="1"/>
      <w:numFmt w:val="bullet"/>
      <w:lvlText w:val=""/>
      <w:lvlJc w:val="left"/>
      <w:pPr>
        <w:tabs>
          <w:tab w:val="num" w:pos="5100"/>
        </w:tabs>
        <w:ind w:left="5100" w:hanging="360"/>
      </w:pPr>
      <w:rPr>
        <w:rFonts w:ascii="Symbol" w:hAnsi="Symbol" w:hint="default"/>
      </w:rPr>
    </w:lvl>
    <w:lvl w:ilvl="7" w:tplc="2C46C20A" w:tentative="1">
      <w:start w:val="1"/>
      <w:numFmt w:val="bullet"/>
      <w:lvlText w:val="o"/>
      <w:lvlJc w:val="left"/>
      <w:pPr>
        <w:tabs>
          <w:tab w:val="num" w:pos="5820"/>
        </w:tabs>
        <w:ind w:left="5820" w:hanging="360"/>
      </w:pPr>
      <w:rPr>
        <w:rFonts w:ascii="Courier New" w:hAnsi="Courier New" w:hint="default"/>
      </w:rPr>
    </w:lvl>
    <w:lvl w:ilvl="8" w:tplc="92BA6C9E"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75CC5A37"/>
    <w:multiLevelType w:val="hybridMultilevel"/>
    <w:tmpl w:val="5F8298E6"/>
    <w:lvl w:ilvl="0" w:tplc="90465000">
      <w:numFmt w:val="bullet"/>
      <w:lvlText w:val="•"/>
      <w:lvlJc w:val="left"/>
      <w:pPr>
        <w:ind w:left="720" w:hanging="360"/>
      </w:pPr>
      <w:rPr>
        <w:rFonts w:ascii="ArialMT" w:eastAsia="Times New Roman" w:hAnsi="ArialMT" w:hint="default"/>
      </w:rPr>
    </w:lvl>
    <w:lvl w:ilvl="1" w:tplc="65E8D9CE" w:tentative="1">
      <w:start w:val="1"/>
      <w:numFmt w:val="bullet"/>
      <w:lvlText w:val="o"/>
      <w:lvlJc w:val="left"/>
      <w:pPr>
        <w:ind w:left="1440" w:hanging="360"/>
      </w:pPr>
      <w:rPr>
        <w:rFonts w:ascii="Courier New" w:hAnsi="Courier New" w:hint="default"/>
      </w:rPr>
    </w:lvl>
    <w:lvl w:ilvl="2" w:tplc="569C1274" w:tentative="1">
      <w:start w:val="1"/>
      <w:numFmt w:val="bullet"/>
      <w:lvlText w:val=""/>
      <w:lvlJc w:val="left"/>
      <w:pPr>
        <w:ind w:left="2160" w:hanging="360"/>
      </w:pPr>
      <w:rPr>
        <w:rFonts w:ascii="Wingdings" w:hAnsi="Wingdings" w:hint="default"/>
      </w:rPr>
    </w:lvl>
    <w:lvl w:ilvl="3" w:tplc="5C3E18BE" w:tentative="1">
      <w:start w:val="1"/>
      <w:numFmt w:val="bullet"/>
      <w:lvlText w:val=""/>
      <w:lvlJc w:val="left"/>
      <w:pPr>
        <w:ind w:left="2880" w:hanging="360"/>
      </w:pPr>
      <w:rPr>
        <w:rFonts w:ascii="Symbol" w:hAnsi="Symbol" w:hint="default"/>
      </w:rPr>
    </w:lvl>
    <w:lvl w:ilvl="4" w:tplc="8A1E1A84" w:tentative="1">
      <w:start w:val="1"/>
      <w:numFmt w:val="bullet"/>
      <w:lvlText w:val="o"/>
      <w:lvlJc w:val="left"/>
      <w:pPr>
        <w:ind w:left="3600" w:hanging="360"/>
      </w:pPr>
      <w:rPr>
        <w:rFonts w:ascii="Courier New" w:hAnsi="Courier New" w:hint="default"/>
      </w:rPr>
    </w:lvl>
    <w:lvl w:ilvl="5" w:tplc="A88442C0" w:tentative="1">
      <w:start w:val="1"/>
      <w:numFmt w:val="bullet"/>
      <w:lvlText w:val=""/>
      <w:lvlJc w:val="left"/>
      <w:pPr>
        <w:ind w:left="4320" w:hanging="360"/>
      </w:pPr>
      <w:rPr>
        <w:rFonts w:ascii="Wingdings" w:hAnsi="Wingdings" w:hint="default"/>
      </w:rPr>
    </w:lvl>
    <w:lvl w:ilvl="6" w:tplc="24368CDA" w:tentative="1">
      <w:start w:val="1"/>
      <w:numFmt w:val="bullet"/>
      <w:lvlText w:val=""/>
      <w:lvlJc w:val="left"/>
      <w:pPr>
        <w:ind w:left="5040" w:hanging="360"/>
      </w:pPr>
      <w:rPr>
        <w:rFonts w:ascii="Symbol" w:hAnsi="Symbol" w:hint="default"/>
      </w:rPr>
    </w:lvl>
    <w:lvl w:ilvl="7" w:tplc="2D661AF8" w:tentative="1">
      <w:start w:val="1"/>
      <w:numFmt w:val="bullet"/>
      <w:lvlText w:val="o"/>
      <w:lvlJc w:val="left"/>
      <w:pPr>
        <w:ind w:left="5760" w:hanging="360"/>
      </w:pPr>
      <w:rPr>
        <w:rFonts w:ascii="Courier New" w:hAnsi="Courier New" w:hint="default"/>
      </w:rPr>
    </w:lvl>
    <w:lvl w:ilvl="8" w:tplc="F306F5FC"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77C"/>
    <w:rsid w:val="000016AA"/>
    <w:rsid w:val="000079D7"/>
    <w:rsid w:val="00010AAB"/>
    <w:rsid w:val="00013943"/>
    <w:rsid w:val="00020E62"/>
    <w:rsid w:val="00042712"/>
    <w:rsid w:val="000445E7"/>
    <w:rsid w:val="000457C6"/>
    <w:rsid w:val="00061ABC"/>
    <w:rsid w:val="00083D3B"/>
    <w:rsid w:val="000B2F48"/>
    <w:rsid w:val="000C39C8"/>
    <w:rsid w:val="000E1408"/>
    <w:rsid w:val="000F35C3"/>
    <w:rsid w:val="000F36F7"/>
    <w:rsid w:val="0010377C"/>
    <w:rsid w:val="001402A1"/>
    <w:rsid w:val="00163205"/>
    <w:rsid w:val="0017653A"/>
    <w:rsid w:val="001B2D47"/>
    <w:rsid w:val="001B3735"/>
    <w:rsid w:val="001E59BE"/>
    <w:rsid w:val="001F1A61"/>
    <w:rsid w:val="00212D80"/>
    <w:rsid w:val="00221B4A"/>
    <w:rsid w:val="0025605E"/>
    <w:rsid w:val="00292290"/>
    <w:rsid w:val="002939F3"/>
    <w:rsid w:val="002C15F3"/>
    <w:rsid w:val="00302407"/>
    <w:rsid w:val="00332A49"/>
    <w:rsid w:val="003728B6"/>
    <w:rsid w:val="00380D8F"/>
    <w:rsid w:val="003871D8"/>
    <w:rsid w:val="0039298F"/>
    <w:rsid w:val="003A623D"/>
    <w:rsid w:val="003D7FCD"/>
    <w:rsid w:val="004313A2"/>
    <w:rsid w:val="00441D8E"/>
    <w:rsid w:val="0044617D"/>
    <w:rsid w:val="00447763"/>
    <w:rsid w:val="0045332E"/>
    <w:rsid w:val="00474C0D"/>
    <w:rsid w:val="0048389F"/>
    <w:rsid w:val="004B4776"/>
    <w:rsid w:val="004D29E9"/>
    <w:rsid w:val="004E32E9"/>
    <w:rsid w:val="00502DEE"/>
    <w:rsid w:val="00511B2D"/>
    <w:rsid w:val="0051300F"/>
    <w:rsid w:val="005173BA"/>
    <w:rsid w:val="0054505F"/>
    <w:rsid w:val="00562424"/>
    <w:rsid w:val="00567D60"/>
    <w:rsid w:val="00574C38"/>
    <w:rsid w:val="00575C47"/>
    <w:rsid w:val="00584CE5"/>
    <w:rsid w:val="00592605"/>
    <w:rsid w:val="005A1378"/>
    <w:rsid w:val="005B2E2E"/>
    <w:rsid w:val="005B5D0E"/>
    <w:rsid w:val="005D0E6A"/>
    <w:rsid w:val="005F1D70"/>
    <w:rsid w:val="00605447"/>
    <w:rsid w:val="006278F9"/>
    <w:rsid w:val="00634CA8"/>
    <w:rsid w:val="00647CF2"/>
    <w:rsid w:val="006667ED"/>
    <w:rsid w:val="00687CA3"/>
    <w:rsid w:val="006A1C96"/>
    <w:rsid w:val="006B79A4"/>
    <w:rsid w:val="006B7A06"/>
    <w:rsid w:val="006D47FB"/>
    <w:rsid w:val="007027D5"/>
    <w:rsid w:val="0072196E"/>
    <w:rsid w:val="00731E9D"/>
    <w:rsid w:val="007627AF"/>
    <w:rsid w:val="00774A3F"/>
    <w:rsid w:val="007C4739"/>
    <w:rsid w:val="007E2AD0"/>
    <w:rsid w:val="007F5A8D"/>
    <w:rsid w:val="0086403F"/>
    <w:rsid w:val="008A3129"/>
    <w:rsid w:val="008B6F84"/>
    <w:rsid w:val="008C43CD"/>
    <w:rsid w:val="00940688"/>
    <w:rsid w:val="009641E4"/>
    <w:rsid w:val="009B2EC1"/>
    <w:rsid w:val="009C5106"/>
    <w:rsid w:val="00A1512B"/>
    <w:rsid w:val="00AB78C6"/>
    <w:rsid w:val="00AD23E6"/>
    <w:rsid w:val="00AE49C6"/>
    <w:rsid w:val="00AF1A92"/>
    <w:rsid w:val="00AF23EE"/>
    <w:rsid w:val="00B06011"/>
    <w:rsid w:val="00B0644E"/>
    <w:rsid w:val="00B11D98"/>
    <w:rsid w:val="00B7327D"/>
    <w:rsid w:val="00B74D58"/>
    <w:rsid w:val="00BC5BC0"/>
    <w:rsid w:val="00BC64F6"/>
    <w:rsid w:val="00BE44A6"/>
    <w:rsid w:val="00C11CC8"/>
    <w:rsid w:val="00C401D1"/>
    <w:rsid w:val="00C66E86"/>
    <w:rsid w:val="00CB71E4"/>
    <w:rsid w:val="00CC761E"/>
    <w:rsid w:val="00CD5519"/>
    <w:rsid w:val="00CE000E"/>
    <w:rsid w:val="00CE5470"/>
    <w:rsid w:val="00D0036D"/>
    <w:rsid w:val="00D0583C"/>
    <w:rsid w:val="00D067EB"/>
    <w:rsid w:val="00D22AB8"/>
    <w:rsid w:val="00D262FB"/>
    <w:rsid w:val="00D278DB"/>
    <w:rsid w:val="00D37343"/>
    <w:rsid w:val="00D44E0C"/>
    <w:rsid w:val="00D505EF"/>
    <w:rsid w:val="00D63ECD"/>
    <w:rsid w:val="00D74786"/>
    <w:rsid w:val="00DC37D2"/>
    <w:rsid w:val="00DD6BB3"/>
    <w:rsid w:val="00DE2AFB"/>
    <w:rsid w:val="00DF05E2"/>
    <w:rsid w:val="00E17B21"/>
    <w:rsid w:val="00E67ED0"/>
    <w:rsid w:val="00E75725"/>
    <w:rsid w:val="00E772D5"/>
    <w:rsid w:val="00E776FC"/>
    <w:rsid w:val="00EA10D8"/>
    <w:rsid w:val="00EB4AE9"/>
    <w:rsid w:val="00EC3A4E"/>
    <w:rsid w:val="00EC71CE"/>
    <w:rsid w:val="00EC7577"/>
    <w:rsid w:val="00ED0C40"/>
    <w:rsid w:val="00ED51FE"/>
    <w:rsid w:val="00EE2473"/>
    <w:rsid w:val="00F10899"/>
    <w:rsid w:val="00F2702A"/>
    <w:rsid w:val="00F37A4F"/>
    <w:rsid w:val="00F42C89"/>
    <w:rsid w:val="00F50EC3"/>
    <w:rsid w:val="00F607FD"/>
    <w:rsid w:val="00F97520"/>
    <w:rsid w:val="00FB2913"/>
    <w:rsid w:val="00FD1505"/>
    <w:rsid w:val="00FE7A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D2DA7F"/>
  <w15:docId w15:val="{3B4EDFAB-3B95-4053-A28E-8B9C27AD9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2A49"/>
    <w:rPr>
      <w:sz w:val="24"/>
      <w:szCs w:val="24"/>
    </w:rPr>
  </w:style>
  <w:style w:type="paragraph" w:styleId="Heading1">
    <w:name w:val="heading 1"/>
    <w:basedOn w:val="Normal"/>
    <w:next w:val="Normal"/>
    <w:link w:val="Heading1Char"/>
    <w:uiPriority w:val="99"/>
    <w:qFormat/>
    <w:rsid w:val="00E17B21"/>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17B21"/>
    <w:rPr>
      <w:rFonts w:ascii="Cambria" w:hAnsi="Cambria"/>
      <w:b/>
      <w:kern w:val="32"/>
      <w:sz w:val="32"/>
    </w:rPr>
  </w:style>
  <w:style w:type="paragraph" w:styleId="BalloonText">
    <w:name w:val="Balloon Text"/>
    <w:basedOn w:val="Normal"/>
    <w:link w:val="BalloonTextChar"/>
    <w:uiPriority w:val="99"/>
    <w:semiHidden/>
    <w:rsid w:val="000016AA"/>
    <w:rPr>
      <w:rFonts w:ascii="Tahoma" w:hAnsi="Tahoma" w:cs="Tahoma"/>
      <w:sz w:val="16"/>
      <w:szCs w:val="16"/>
    </w:rPr>
  </w:style>
  <w:style w:type="character" w:customStyle="1" w:styleId="BalloonTextChar">
    <w:name w:val="Balloon Text Char"/>
    <w:basedOn w:val="DefaultParagraphFont"/>
    <w:link w:val="BalloonText"/>
    <w:uiPriority w:val="99"/>
    <w:semiHidden/>
    <w:rsid w:val="009B4AAB"/>
  </w:style>
  <w:style w:type="paragraph" w:styleId="ListParagraph">
    <w:name w:val="List Paragraph"/>
    <w:basedOn w:val="Normal"/>
    <w:uiPriority w:val="99"/>
    <w:qFormat/>
    <w:rsid w:val="00AF1A92"/>
    <w:pPr>
      <w:spacing w:after="200" w:line="276" w:lineRule="auto"/>
      <w:ind w:left="720"/>
    </w:pPr>
    <w:rPr>
      <w:rFonts w:ascii="Calibri" w:hAnsi="Calibri"/>
      <w:sz w:val="22"/>
      <w:szCs w:val="22"/>
    </w:rPr>
  </w:style>
  <w:style w:type="character" w:styleId="CommentReference">
    <w:name w:val="annotation reference"/>
    <w:basedOn w:val="DefaultParagraphFont"/>
    <w:uiPriority w:val="99"/>
    <w:rsid w:val="00E772D5"/>
    <w:rPr>
      <w:rFonts w:cs="Times New Roman"/>
      <w:sz w:val="16"/>
    </w:rPr>
  </w:style>
  <w:style w:type="paragraph" w:styleId="CommentText">
    <w:name w:val="annotation text"/>
    <w:basedOn w:val="Normal"/>
    <w:link w:val="CommentTextChar"/>
    <w:uiPriority w:val="99"/>
    <w:rsid w:val="00E772D5"/>
    <w:rPr>
      <w:sz w:val="20"/>
      <w:szCs w:val="20"/>
    </w:rPr>
  </w:style>
  <w:style w:type="character" w:customStyle="1" w:styleId="CommentTextChar">
    <w:name w:val="Comment Text Char"/>
    <w:basedOn w:val="DefaultParagraphFont"/>
    <w:link w:val="CommentText"/>
    <w:uiPriority w:val="99"/>
    <w:locked/>
    <w:rsid w:val="00E772D5"/>
    <w:rPr>
      <w:rFonts w:cs="Times New Roman"/>
    </w:rPr>
  </w:style>
  <w:style w:type="paragraph" w:styleId="CommentSubject">
    <w:name w:val="annotation subject"/>
    <w:basedOn w:val="CommentText"/>
    <w:next w:val="CommentText"/>
    <w:link w:val="CommentSubjectChar"/>
    <w:uiPriority w:val="99"/>
    <w:rsid w:val="00E772D5"/>
    <w:rPr>
      <w:b/>
      <w:bCs/>
    </w:rPr>
  </w:style>
  <w:style w:type="character" w:customStyle="1" w:styleId="CommentSubjectChar">
    <w:name w:val="Comment Subject Char"/>
    <w:basedOn w:val="CommentTextChar"/>
    <w:link w:val="CommentSubject"/>
    <w:uiPriority w:val="99"/>
    <w:locked/>
    <w:rsid w:val="00E772D5"/>
    <w:rPr>
      <w:rFonts w:cs="Times New Roman"/>
      <w:b/>
    </w:rPr>
  </w:style>
  <w:style w:type="paragraph" w:customStyle="1" w:styleId="Notices-Header">
    <w:name w:val="Notices - Header"/>
    <w:basedOn w:val="Heading1"/>
    <w:link w:val="Notices-HeaderChar"/>
    <w:uiPriority w:val="99"/>
    <w:rsid w:val="00E17B21"/>
    <w:pPr>
      <w:spacing w:before="0" w:after="0" w:line="276" w:lineRule="auto"/>
      <w:jc w:val="center"/>
    </w:pPr>
    <w:rPr>
      <w:rFonts w:ascii="Arial" w:hAnsi="Arial" w:cs="Arial"/>
    </w:rPr>
  </w:style>
  <w:style w:type="character" w:customStyle="1" w:styleId="Notices-HeaderChar">
    <w:name w:val="Notices - Header Char"/>
    <w:link w:val="Notices-Header"/>
    <w:uiPriority w:val="99"/>
    <w:locked/>
    <w:rsid w:val="00E17B21"/>
    <w:rPr>
      <w:rFonts w:ascii="Arial" w:hAnsi="Arial"/>
      <w:b/>
      <w:kern w:val="32"/>
      <w:sz w:val="32"/>
    </w:rPr>
  </w:style>
  <w:style w:type="character" w:styleId="PlaceholderText">
    <w:name w:val="Placeholder Text"/>
    <w:basedOn w:val="DefaultParagraphFont"/>
    <w:uiPriority w:val="99"/>
    <w:semiHidden/>
    <w:rsid w:val="006278F9"/>
    <w:rPr>
      <w:color w:val="808080"/>
    </w:rPr>
  </w:style>
  <w:style w:type="paragraph" w:styleId="Header">
    <w:name w:val="header"/>
    <w:basedOn w:val="Normal"/>
    <w:link w:val="HeaderChar"/>
    <w:uiPriority w:val="99"/>
    <w:rsid w:val="006278F9"/>
    <w:pPr>
      <w:tabs>
        <w:tab w:val="center" w:pos="4680"/>
        <w:tab w:val="right" w:pos="9360"/>
      </w:tabs>
    </w:pPr>
  </w:style>
  <w:style w:type="character" w:customStyle="1" w:styleId="HeaderChar">
    <w:name w:val="Header Char"/>
    <w:basedOn w:val="DefaultParagraphFont"/>
    <w:link w:val="Header"/>
    <w:uiPriority w:val="99"/>
    <w:locked/>
    <w:rsid w:val="006278F9"/>
    <w:rPr>
      <w:sz w:val="24"/>
    </w:rPr>
  </w:style>
  <w:style w:type="paragraph" w:styleId="Footer">
    <w:name w:val="footer"/>
    <w:basedOn w:val="Normal"/>
    <w:link w:val="FooterChar"/>
    <w:uiPriority w:val="99"/>
    <w:rsid w:val="006278F9"/>
    <w:pPr>
      <w:tabs>
        <w:tab w:val="center" w:pos="4680"/>
        <w:tab w:val="right" w:pos="9360"/>
      </w:tabs>
    </w:pPr>
  </w:style>
  <w:style w:type="character" w:customStyle="1" w:styleId="FooterChar">
    <w:name w:val="Footer Char"/>
    <w:basedOn w:val="DefaultParagraphFont"/>
    <w:link w:val="Footer"/>
    <w:uiPriority w:val="99"/>
    <w:locked/>
    <w:rsid w:val="006278F9"/>
    <w:rPr>
      <w:sz w:val="24"/>
    </w:rPr>
  </w:style>
  <w:style w:type="table" w:styleId="TableGrid">
    <w:name w:val="Table Grid"/>
    <w:basedOn w:val="TableNormal"/>
    <w:uiPriority w:val="59"/>
    <w:rsid w:val="002C15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D6BB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6F9C6C76A44B408FEB1DE20582ABC8" ma:contentTypeVersion="18" ma:contentTypeDescription="Create a new document." ma:contentTypeScope="" ma:versionID="845ee5e34c079df59685f1a28c81bdc9">
  <xsd:schema xmlns:xsd="http://www.w3.org/2001/XMLSchema" xmlns:xs="http://www.w3.org/2001/XMLSchema" xmlns:p="http://schemas.microsoft.com/office/2006/metadata/properties" xmlns:ns1="http://schemas.microsoft.com/sharepoint/v3" xmlns:ns2="59da1016-2a1b-4f8a-9768-d7a4932f6f16" xmlns:ns3="cbafeb72-47c1-4a5a-9238-50bc5cfb50a9" targetNamespace="http://schemas.microsoft.com/office/2006/metadata/properties" ma:root="true" ma:fieldsID="11bdc18071b0e7d614e7151c1129772f" ns1:_="" ns2:_="" ns3:_="">
    <xsd:import namespace="http://schemas.microsoft.com/sharepoint/v3"/>
    <xsd:import namespace="59da1016-2a1b-4f8a-9768-d7a4932f6f16"/>
    <xsd:import namespace="cbafeb72-47c1-4a5a-9238-50bc5cfb50a9"/>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PublishingStartDate" minOccurs="0"/>
                <xsd:element ref="ns1:PublishingExpirationDate" minOccurs="0"/>
                <xsd:element ref="ns1:UR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2"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7" nillable="true" ma:displayName="Document Expiration Date" ma:format="DateOnly" ma:internalName="DocumentExpirationDate" ma:readOnly="false">
      <xsd:simpleType>
        <xsd:restriction base="dms:DateTime"/>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afeb72-47c1-4a5a-9238-50bc5cfb50a9" elementFormDefault="qualified">
    <xsd:import namespace="http://schemas.microsoft.com/office/2006/documentManagement/types"/>
    <xsd:import namespace="http://schemas.microsoft.com/office/infopath/2007/PartnerControls"/>
    <xsd:element name="Meta_x0020_Description" ma:index="8" nillable="true" ma:displayName="Meta Description" ma:internalName="Meta_x0020_Description" ma:readOnly="false">
      <xsd:simpleType>
        <xsd:restriction base="dms:Text"/>
      </xsd:simpleType>
    </xsd:element>
    <xsd:element name="Meta_x0020_Keywords" ma:index="9"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ACategory xmlns="59da1016-2a1b-4f8a-9768-d7a4932f6f16">Public Health</IACategory>
    <DocumentExpirationDate xmlns="59da1016-2a1b-4f8a-9768-d7a4932f6f16">2025-12-31T08:00:00+00:00</DocumentExpirationDate>
    <IATopic xmlns="59da1016-2a1b-4f8a-9768-d7a4932f6f16">Programs and Services - Environment</IATopic>
    <Meta_x0020_Description xmlns="cbafeb72-47c1-4a5a-9238-50bc5cfb50a9">ADVERTENCIA SOBRE EL AGUA POTABLE</Meta_x0020_Description>
    <Meta_x0020_Keywords xmlns="cbafeb72-47c1-4a5a-9238-50bc5cfb50a9">ADVERTENCIA SOBRE EL AGUA POTABLE</Meta_x0020_Keywords>
    <IASubtopic xmlns="59da1016-2a1b-4f8a-9768-d7a4932f6f16">Clean Water</IASubtopic>
    <URL xmlns="http://schemas.microsoft.com/sharepoint/v3">
      <Url xsi:nil="true"/>
      <Description xsi:nil="true"/>
    </URL>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E93BFFB-5F08-470E-9FAB-E3BBD261B310}"/>
</file>

<file path=customXml/itemProps2.xml><?xml version="1.0" encoding="utf-8"?>
<ds:datastoreItem xmlns:ds="http://schemas.openxmlformats.org/officeDocument/2006/customXml" ds:itemID="{B6A8393E-356B-4F4C-A81B-4A69CFD7CF1F}"/>
</file>

<file path=customXml/itemProps3.xml><?xml version="1.0" encoding="utf-8"?>
<ds:datastoreItem xmlns:ds="http://schemas.openxmlformats.org/officeDocument/2006/customXml" ds:itemID="{4614F3AB-E812-4679-81D3-F849CF767D97}"/>
</file>

<file path=docProps/app.xml><?xml version="1.0" encoding="utf-8"?>
<Properties xmlns="http://schemas.openxmlformats.org/officeDocument/2006/extended-properties" xmlns:vt="http://schemas.openxmlformats.org/officeDocument/2006/docPropsVTypes">
  <Template>Normal.dotm</Template>
  <TotalTime>42</TotalTime>
  <Pages>1</Pages>
  <Words>652</Words>
  <Characters>3489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Acute Arsenic Public Notice Templace</vt:lpstr>
    </vt:vector>
  </TitlesOfParts>
  <Company>Department of Human Services</Company>
  <LinksUpToDate>false</LinksUpToDate>
  <CharactersWithSpaces>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ADVERTENCIA SOBRE EL AGUA POTABLE</dc:title>
  <dc:creator>OHA-DWS</dc:creator>
  <cp:keywords>Acute Arsenic Public Notice Templace</cp:keywords>
  <dc:description>Acute Arsenic Public Notice Template in Spanish</dc:description>
  <cp:lastModifiedBy>Byrd Michelle P</cp:lastModifiedBy>
  <cp:revision>26</cp:revision>
  <cp:lastPrinted>2021-05-24T18:50:00Z</cp:lastPrinted>
  <dcterms:created xsi:type="dcterms:W3CDTF">2021-05-10T23:44:00Z</dcterms:created>
  <dcterms:modified xsi:type="dcterms:W3CDTF">2021-06-21T16:26:00Z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0x010100276F9C6C76A44B408FEB1DE20582ABC8</vt:lpwstr>
  </property>
</Properties>
</file>