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67E98" w14:textId="23BA3712" w:rsidR="001F54DA" w:rsidRPr="00257E1D" w:rsidRDefault="00B77FBC" w:rsidP="00992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lang w:val="es-ES_tradnl"/>
        </w:rPr>
        <w:t>INFORMACIÓN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val="es-ES_tradnl"/>
        </w:rPr>
        <w:t xml:space="preserve"> IMPORTANTE SOBRE EL AGUA POTABLE</w:t>
      </w:r>
    </w:p>
    <w:p w14:paraId="57267E99" w14:textId="77777777" w:rsidR="00BC6285" w:rsidRPr="00E844F6" w:rsidRDefault="00BC6285" w:rsidP="00A46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7267E9A" w14:textId="77777777" w:rsidR="001F54DA" w:rsidRPr="00E844F6" w:rsidRDefault="00B77FBC" w:rsidP="00A46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es-ES_tradnl"/>
        </w:rPr>
        <w:t>El agua de [sistema de agua] puede contener niveles más elevados de cobre</w:t>
      </w:r>
    </w:p>
    <w:p w14:paraId="57267E9B" w14:textId="77777777" w:rsidR="00BC6285" w:rsidRPr="00E844F6" w:rsidRDefault="00BC6285" w:rsidP="00A46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7267E9E" w14:textId="45FF2D26" w:rsidR="001F54DA" w:rsidRPr="00E844F6" w:rsidRDefault="00B77FBC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Nuestro sistema de agua recientemente infringió un estándar del agua potable. Aunque esto no es una emergencia, como</w:t>
      </w:r>
      <w:r w:rsidR="00486D48">
        <w:rPr>
          <w:rFonts w:ascii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lang w:val="es-ES_tradnl"/>
        </w:rPr>
        <w:t xml:space="preserve">usted es </w:t>
      </w:r>
      <w:r>
        <w:rPr>
          <w:rFonts w:ascii="Arial" w:eastAsia="Arial" w:hAnsi="Arial" w:cs="Arial"/>
          <w:color w:val="000000"/>
          <w:lang w:val="es-ES_tradnl"/>
        </w:rPr>
        <w:t>nuestro cliente, tiene derecho a saber qué sucedió, qué debe hacer usted y qué estamos haciendo para corregir esta situación.</w:t>
      </w:r>
    </w:p>
    <w:p w14:paraId="57267E9F" w14:textId="77777777" w:rsidR="00992335" w:rsidRPr="00E844F6" w:rsidRDefault="00992335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267EA4" w14:textId="4B5EBD4D" w:rsidR="001F54DA" w:rsidRPr="00E844F6" w:rsidRDefault="00B77FBC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Periódicamente, tomamos muestras de agua en los grifos de los consumidores para realizar pruebas de detección de cobre. Las prueb</w:t>
      </w:r>
      <w:r>
        <w:rPr>
          <w:rFonts w:ascii="Arial" w:eastAsia="Arial" w:hAnsi="Arial" w:cs="Arial"/>
          <w:color w:val="000000"/>
          <w:lang w:val="es-ES_tradnl"/>
        </w:rPr>
        <w:t>as mostraron niveles de cobre en el agua por encima del límite, o nivel de acción; de manera que instalamos un tratamiento de control de corrosión el [fecha]. Este tratamiento ayuda a evitar que el cobre de las tuberías y los componentes de las cañerías se</w:t>
      </w:r>
      <w:r>
        <w:rPr>
          <w:rFonts w:ascii="Arial" w:eastAsia="Arial" w:hAnsi="Arial" w:cs="Arial"/>
          <w:color w:val="000000"/>
          <w:lang w:val="es-ES_tradnl"/>
        </w:rPr>
        <w:t xml:space="preserve"> disuelva en el agua. Durante los últimos seis meses, no cumplimos sistemáticamente los requisitos de la técnica de tratamiento para nuestro sistema de control de corrosión. En las fechas [días y meses], no cumplimos nuestro mínimo de [parámetro de calidad</w:t>
      </w:r>
      <w:r>
        <w:rPr>
          <w:rFonts w:ascii="Arial" w:eastAsia="Arial" w:hAnsi="Arial" w:cs="Arial"/>
          <w:color w:val="000000"/>
          <w:lang w:val="es-ES_tradnl"/>
        </w:rPr>
        <w:t xml:space="preserve"> del agua específico con un mínimo establecido].</w:t>
      </w:r>
    </w:p>
    <w:p w14:paraId="57267EA5" w14:textId="77777777" w:rsidR="00992335" w:rsidRPr="00E844F6" w:rsidRDefault="00992335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267EA6" w14:textId="77777777" w:rsidR="001F54DA" w:rsidRPr="00E844F6" w:rsidRDefault="00B77FBC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es-ES_tradnl"/>
        </w:rPr>
        <w:t>¿Qué debo hacer?</w:t>
      </w:r>
    </w:p>
    <w:p w14:paraId="57267EA7" w14:textId="77777777" w:rsidR="00992335" w:rsidRPr="00E844F6" w:rsidRDefault="00992335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267EA8" w14:textId="77777777" w:rsidR="001F54DA" w:rsidRPr="00E844F6" w:rsidRDefault="00B77FBC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A continuación, se detallan algunas medidas que puede tomar para reducir la exposición al cobre:</w:t>
      </w:r>
    </w:p>
    <w:p w14:paraId="57267EA9" w14:textId="77777777" w:rsidR="00992335" w:rsidRPr="00E844F6" w:rsidRDefault="00992335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267EAA" w14:textId="77777777" w:rsidR="001F54DA" w:rsidRPr="00E844F6" w:rsidRDefault="00B77FBC" w:rsidP="007F11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04" w:hanging="504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Llámenos al número que figura a continuación para saber cómo solicitar una prueba de detec</w:t>
      </w:r>
      <w:r>
        <w:rPr>
          <w:rFonts w:ascii="Arial" w:eastAsia="Arial" w:hAnsi="Arial" w:cs="Arial"/>
          <w:color w:val="000000"/>
          <w:lang w:val="es-ES_tradnl"/>
        </w:rPr>
        <w:t>ción de cobre en el agua.</w:t>
      </w:r>
    </w:p>
    <w:p w14:paraId="57267EAB" w14:textId="77777777" w:rsidR="001F54DA" w:rsidRPr="00E844F6" w:rsidRDefault="00B77FBC" w:rsidP="007F11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04" w:hanging="504"/>
        <w:contextualSpacing w:val="0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Averigüe si sus tuberías u otros componentes de las cañerías contienen cobre. Elimine o limite tuberías, conexiones, accesorios y equipos de cobre o que contienen cobre y están en contacto con el agua potable.</w:t>
      </w:r>
    </w:p>
    <w:p w14:paraId="57267EAC" w14:textId="77777777" w:rsidR="001F54DA" w:rsidRPr="00E844F6" w:rsidRDefault="00B77FBC" w:rsidP="007F11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04" w:hanging="504"/>
        <w:contextualSpacing w:val="0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 xml:space="preserve">Deje correr el agua </w:t>
      </w:r>
      <w:r>
        <w:rPr>
          <w:rFonts w:ascii="Arial" w:eastAsia="Arial" w:hAnsi="Arial" w:cs="Arial"/>
          <w:color w:val="000000"/>
          <w:lang w:val="es-ES_tradnl"/>
        </w:rPr>
        <w:t>durante 15 a 30 segundos o hasta que se enfríe antes de usarla para beber o cocinar. Esto elimina el cobre que pueda estar presente en las tuberías.</w:t>
      </w:r>
    </w:p>
    <w:p w14:paraId="57267EAD" w14:textId="77777777" w:rsidR="001F54DA" w:rsidRPr="00E844F6" w:rsidRDefault="00B77FBC" w:rsidP="007F11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04" w:hanging="504"/>
        <w:contextualSpacing w:val="0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Evite usar el primer chorro de agua que salga del grifo para beber o preparar comidas o bebidas.</w:t>
      </w:r>
    </w:p>
    <w:p w14:paraId="57267EAE" w14:textId="66B13BEB" w:rsidR="001F54DA" w:rsidRPr="00E844F6" w:rsidRDefault="00B77FBC" w:rsidP="001F54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04" w:hanging="504"/>
        <w:contextualSpacing w:val="0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 xml:space="preserve">No </w:t>
      </w:r>
      <w:r>
        <w:rPr>
          <w:rFonts w:ascii="Arial" w:eastAsia="Arial" w:hAnsi="Arial" w:cs="Arial"/>
          <w:color w:val="000000"/>
          <w:lang w:val="es-ES_tradnl"/>
        </w:rPr>
        <w:t>hierva el agua para eliminar el cobre. Hervir el agua en exceso hace que el cobre se concentre más y permanezca cuando el agua se evapore.</w:t>
      </w:r>
    </w:p>
    <w:p w14:paraId="57267EAF" w14:textId="77777777" w:rsidR="00992335" w:rsidRPr="00E844F6" w:rsidRDefault="00992335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57267EB0" w14:textId="77777777" w:rsidR="001F54DA" w:rsidRPr="00E844F6" w:rsidRDefault="00B77FBC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es-ES_tradnl"/>
        </w:rPr>
        <w:t>¿Qué significa esto?</w:t>
      </w:r>
    </w:p>
    <w:p w14:paraId="57267EB1" w14:textId="77777777" w:rsidR="00992335" w:rsidRPr="00E844F6" w:rsidRDefault="00992335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267EB5" w14:textId="542D933C" w:rsidR="001F54DA" w:rsidRPr="00E844F6" w:rsidRDefault="00B77FBC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Típicamente, el cobre ingresa a los suministros de agua filtrándose de los tubos y componentes</w:t>
      </w:r>
      <w:r>
        <w:rPr>
          <w:rFonts w:ascii="Arial" w:eastAsia="Arial" w:hAnsi="Arial" w:cs="Arial"/>
          <w:color w:val="000000"/>
          <w:lang w:val="es-ES_tradnl"/>
        </w:rPr>
        <w:t xml:space="preserve"> de las cañerías hechos de cobre o latón. Es más probable que el agua contenga niveles altos de cobre si el agua de sus tuberías y accesorios es corrosiva por naturaleza. Los niveles altos de cobre en los suministros de agua de Oregon casi siempre se deben</w:t>
      </w:r>
      <w:r>
        <w:rPr>
          <w:rFonts w:ascii="Arial" w:eastAsia="Arial" w:hAnsi="Arial" w:cs="Arial"/>
          <w:color w:val="000000"/>
          <w:lang w:val="es-ES_tradnl"/>
        </w:rPr>
        <w:t xml:space="preserve"> a las tuberías de cobre y a las conexiones de bronce o latón de las cañerías.</w:t>
      </w:r>
    </w:p>
    <w:p w14:paraId="57267EB6" w14:textId="77777777" w:rsidR="00992335" w:rsidRPr="00E844F6" w:rsidRDefault="00992335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267EBA" w14:textId="598CD833" w:rsidR="001F54DA" w:rsidRPr="00E844F6" w:rsidRDefault="00B77FBC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>
        <w:rPr>
          <w:rFonts w:ascii="Arial" w:eastAsia="Arial" w:hAnsi="Arial" w:cs="Arial"/>
          <w:i/>
          <w:iCs/>
          <w:color w:val="000000"/>
          <w:lang w:val="es-ES_tradnl"/>
        </w:rPr>
        <w:t>Los niveles de cobre superiores al nivel de acción pueden provocar irritación estomacal y vómitos. Los bebés o niños expuestos a niveles de cobre por encima del nivel de acción</w:t>
      </w:r>
      <w:r>
        <w:rPr>
          <w:rFonts w:ascii="Arial" w:eastAsia="Arial" w:hAnsi="Arial" w:cs="Arial"/>
          <w:i/>
          <w:iCs/>
          <w:color w:val="000000"/>
          <w:lang w:val="es-ES_tradnl"/>
        </w:rPr>
        <w:t xml:space="preserve"> durante semanas o meses pueden sufrir daño hepático y renal. Sin embargo, las personas se recuperan rápidamente de exposiciones de corto plazo y no hay efectos a largo plazo confirmados sobre la salud derivados de exposiciones accidentales u ocasionales p</w:t>
      </w:r>
      <w:r>
        <w:rPr>
          <w:rFonts w:ascii="Arial" w:eastAsia="Arial" w:hAnsi="Arial" w:cs="Arial"/>
          <w:i/>
          <w:iCs/>
          <w:color w:val="000000"/>
          <w:lang w:val="es-ES_tradnl"/>
        </w:rPr>
        <w:t>or beber agua que contenga niveles de cobre por encima del nivel de acción.</w:t>
      </w:r>
    </w:p>
    <w:p w14:paraId="57267EBB" w14:textId="77777777" w:rsidR="00992335" w:rsidRPr="00E844F6" w:rsidRDefault="00992335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267EBC" w14:textId="77777777" w:rsidR="001F54DA" w:rsidRPr="00E844F6" w:rsidRDefault="00B77FBC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es-ES_tradnl"/>
        </w:rPr>
        <w:t>¿Qué sucedió? ¿Qué se está haciendo?</w:t>
      </w:r>
    </w:p>
    <w:p w14:paraId="57267EBD" w14:textId="77777777" w:rsidR="00992335" w:rsidRPr="00E844F6" w:rsidRDefault="00992335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267EBE" w14:textId="77777777" w:rsidR="001F54DA" w:rsidRPr="00E844F6" w:rsidRDefault="00B77FBC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[Describir la medida correctiva.]</w:t>
      </w:r>
    </w:p>
    <w:p w14:paraId="57267EBF" w14:textId="77777777" w:rsidR="00992335" w:rsidRPr="00E844F6" w:rsidRDefault="00992335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267EC1" w14:textId="13044131" w:rsidR="001F54DA" w:rsidRPr="00E844F6" w:rsidRDefault="00B77FBC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Esto no es una emergencia. Si hubiera sido así, se le habría notificado de inmediato. El tratamiento de co</w:t>
      </w:r>
      <w:r>
        <w:rPr>
          <w:rFonts w:ascii="Arial" w:eastAsia="Arial" w:hAnsi="Arial" w:cs="Arial"/>
          <w:color w:val="000000"/>
          <w:lang w:val="es-ES_tradnl"/>
        </w:rPr>
        <w:t>ntrol de corrosión ahora está funcionando correctamente y cumple con todos los requisitos.</w:t>
      </w:r>
    </w:p>
    <w:p w14:paraId="57267EC2" w14:textId="77777777" w:rsidR="00992335" w:rsidRPr="00E844F6" w:rsidRDefault="00992335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267EC3" w14:textId="77777777" w:rsidR="001F54DA" w:rsidRPr="00E844F6" w:rsidRDefault="00B77FBC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Para obtener más información, comuníquese con [nombre del contacto] al [número de teléfono] o a [dirección postal].</w:t>
      </w:r>
    </w:p>
    <w:p w14:paraId="57267EC4" w14:textId="77777777" w:rsidR="00992335" w:rsidRPr="00E844F6" w:rsidRDefault="00992335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267EC7" w14:textId="1DFE025C" w:rsidR="001F54DA" w:rsidRPr="00E844F6" w:rsidRDefault="00B77FBC" w:rsidP="004A07C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lastRenderedPageBreak/>
        <w:t>Comparta esta información con todas las demás p</w:t>
      </w:r>
      <w:r>
        <w:rPr>
          <w:rFonts w:ascii="Arial" w:eastAsia="Arial" w:hAnsi="Arial" w:cs="Arial"/>
          <w:color w:val="000000"/>
          <w:lang w:val="es-ES_tradnl"/>
        </w:rPr>
        <w:t xml:space="preserve">ersonas que beben esta agua, especialmente las que pueden no haber recibido este aviso en forma directa (por ejemplo, las personas que están en apartamentos, hogares de ancianos, escuelas y empresas). Puede hacerlo colocando este aviso en un lugar público </w:t>
      </w:r>
      <w:r>
        <w:rPr>
          <w:rFonts w:ascii="Arial" w:eastAsia="Arial" w:hAnsi="Arial" w:cs="Arial"/>
          <w:color w:val="000000"/>
          <w:lang w:val="es-ES_tradnl"/>
        </w:rPr>
        <w:t>o distribuyendo copias personalmente o por correo postal.</w:t>
      </w:r>
    </w:p>
    <w:p w14:paraId="57267EC8" w14:textId="77777777" w:rsidR="00992335" w:rsidRPr="00E844F6" w:rsidRDefault="00992335" w:rsidP="001F54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267EC9" w14:textId="77777777" w:rsidR="001377D6" w:rsidRPr="00E844F6" w:rsidRDefault="00B77FBC" w:rsidP="001F54DA">
      <w:pPr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lang w:val="es-ES_tradnl"/>
        </w:rPr>
        <w:t>Usted ha recibido este aviso de parte de [sistema de agua]. N.º de ID del sistema de agua del estado: _________. Fecha de distribución:</w:t>
      </w:r>
    </w:p>
    <w:sectPr w:rsidR="001377D6" w:rsidRPr="00E844F6" w:rsidSect="0019542F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3687"/>
    <w:multiLevelType w:val="hybridMultilevel"/>
    <w:tmpl w:val="33F0E174"/>
    <w:lvl w:ilvl="0" w:tplc="B1302D0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18DCF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C01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C76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A82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2A87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E2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E1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C7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DA"/>
    <w:rsid w:val="001377D6"/>
    <w:rsid w:val="0019542F"/>
    <w:rsid w:val="001F54DA"/>
    <w:rsid w:val="00257E1D"/>
    <w:rsid w:val="002D35EE"/>
    <w:rsid w:val="003C3443"/>
    <w:rsid w:val="00486D48"/>
    <w:rsid w:val="004A07CC"/>
    <w:rsid w:val="004C2BF5"/>
    <w:rsid w:val="006717A7"/>
    <w:rsid w:val="00683955"/>
    <w:rsid w:val="00745E1E"/>
    <w:rsid w:val="007D087F"/>
    <w:rsid w:val="007F1115"/>
    <w:rsid w:val="007F289E"/>
    <w:rsid w:val="00985832"/>
    <w:rsid w:val="00992335"/>
    <w:rsid w:val="00A44B6A"/>
    <w:rsid w:val="00A46AB9"/>
    <w:rsid w:val="00AF0646"/>
    <w:rsid w:val="00B77FBC"/>
    <w:rsid w:val="00BC6285"/>
    <w:rsid w:val="00BE5022"/>
    <w:rsid w:val="00BE7505"/>
    <w:rsid w:val="00C57345"/>
    <w:rsid w:val="00CE2A34"/>
    <w:rsid w:val="00E757D4"/>
    <w:rsid w:val="00E844F6"/>
    <w:rsid w:val="00FC5018"/>
    <w:rsid w:val="00FD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7E75"/>
  <w15:chartTrackingRefBased/>
  <w15:docId w15:val="{B6C40DC0-D374-4149-B92E-97402E4B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115"/>
    <w:pPr>
      <w:ind w:left="720"/>
      <w:contextualSpacing/>
    </w:pPr>
  </w:style>
  <w:style w:type="paragraph" w:styleId="Revision">
    <w:name w:val="Revision"/>
    <w:hidden/>
    <w:uiPriority w:val="99"/>
    <w:semiHidden/>
    <w:rsid w:val="00BE75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77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F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F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F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F9C6C76A44B408FEB1DE20582ABC8" ma:contentTypeVersion="18" ma:contentTypeDescription="Create a new document." ma:contentTypeScope="" ma:versionID="845ee5e34c079df59685f1a28c81bdc9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cbafeb72-47c1-4a5a-9238-50bc5cfb50a9" targetNamespace="http://schemas.microsoft.com/office/2006/metadata/properties" ma:root="true" ma:fieldsID="11bdc18071b0e7d614e7151c1129772f" ns1:_="" ns2:_="" ns3:_="">
    <xsd:import namespace="http://schemas.microsoft.com/sharepoint/v3"/>
    <xsd:import namespace="59da1016-2a1b-4f8a-9768-d7a4932f6f16"/>
    <xsd:import namespace="cbafeb72-47c1-4a5a-9238-50bc5cfb50a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feb72-47c1-4a5a-9238-50bc5cfb50a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https://www-auth.oregon.gov/oha/PH/HEALTHYENVIRONMENTS/DRINKINGWATER/OPERATIONS/Documents/publicnotices/pnttcopper.docx</Url>
      <Description>Instructions for LCR Failure to Maintain Corrosion Control Treatment Technique - Copper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>Clean Water</IASubtopic>
    <DocumentExpirationDate xmlns="59da1016-2a1b-4f8a-9768-d7a4932f6f16">2030-12-31T08:00:00+00:00</DocumentExpirationDate>
    <IATopic xmlns="59da1016-2a1b-4f8a-9768-d7a4932f6f16">Public Health - Environment</IATopic>
    <Meta_x0020_Description xmlns="cbafeb72-47c1-4a5a-9238-50bc5cfb50a9" xsi:nil="true"/>
    <Meta_x0020_Keywords xmlns="cbafeb72-47c1-4a5a-9238-50bc5cfb50a9">Instructions for LCR Failure to Maintain Corrosion Control Treatment Technique - Copper, public notice template copper</Meta_x0020_Keyword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30C1E-98DF-4617-9545-C330FF562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cbafeb72-47c1-4a5a-9238-50bc5cfb5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27BCC-84AB-431E-87CD-2A18A89E16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cbafeb72-47c1-4a5a-9238-50bc5cfb50a9"/>
  </ds:schemaRefs>
</ds:datastoreItem>
</file>

<file path=customXml/itemProps3.xml><?xml version="1.0" encoding="utf-8"?>
<ds:datastoreItem xmlns:ds="http://schemas.openxmlformats.org/officeDocument/2006/customXml" ds:itemID="{168330A5-9035-4222-8B5B-D6A6DC57F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LCR Failure to Maintain Corrosion Control Treatment Technique - Copper</vt:lpstr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LCR Failure to Maintain Corrosion Control Treatment Technique — Copper</dc:title>
  <dc:creator>DWS</dc:creator>
  <cp:lastModifiedBy>Alexa Valentin</cp:lastModifiedBy>
  <cp:revision>21</cp:revision>
  <dcterms:created xsi:type="dcterms:W3CDTF">2018-09-21T23:02:00Z</dcterms:created>
  <dcterms:modified xsi:type="dcterms:W3CDTF">2023-03-09T15:43:00Z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0x010100276F9C6C76A44B408FEB1DE20582ABC8</vt:lpwstr>
  </property>
  <property fmtid="{D5CDD505-2E9C-101B-9397-08002B2CF9AE}" pid="3" name="WorkflowChangePath">
    <vt:lpwstr>47fb101b-f343-4f7b-bfd9-3195b57e00cd,3;</vt:lpwstr>
  </property>
</Properties>
</file>