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2907" w14:textId="77777777" w:rsidR="00170DF1" w:rsidRPr="0088346A" w:rsidRDefault="009823E3" w:rsidP="004517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lang w:val="es-ES_tradnl"/>
        </w:rPr>
        <w:t>INFORMACIÓN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val="es-ES_tradnl"/>
        </w:rPr>
        <w:t xml:space="preserve"> IMPORTANTE SOBRE EL AGUA POTABLE</w:t>
      </w:r>
    </w:p>
    <w:p w14:paraId="31512908" w14:textId="77777777" w:rsidR="00542AE4" w:rsidRPr="00350411" w:rsidRDefault="00542AE4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1512909" w14:textId="77777777" w:rsidR="00170DF1" w:rsidRPr="00350411" w:rsidRDefault="009823E3" w:rsidP="00542A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lang w:val="es-ES_tradnl"/>
        </w:rPr>
        <w:t>El agua de [sistema de agua] puede contener niveles más elevados de plomo</w:t>
      </w:r>
    </w:p>
    <w:p w14:paraId="3151290A" w14:textId="77777777" w:rsidR="00542AE4" w:rsidRPr="00350411" w:rsidRDefault="00542AE4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151290B" w14:textId="77777777" w:rsidR="00170DF1" w:rsidRPr="00350411" w:rsidRDefault="009823E3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_tradnl"/>
        </w:rPr>
        <w:t>Nuestro sistema de agua recientemente infringió un estándar del agua potable. Aunque esto no es una emergencia, como usted es nuestro cliente, tiene derecho a saber qué sucedió,</w:t>
      </w:r>
      <w:r>
        <w:rPr>
          <w:rFonts w:ascii="Arial" w:eastAsia="Arial" w:hAnsi="Arial" w:cs="Arial"/>
          <w:color w:val="000000"/>
          <w:lang w:val="es-ES_tradnl"/>
        </w:rPr>
        <w:t xml:space="preserve"> qué debe hacer usted y qué estamos haciendo para corregir esta situación.</w:t>
      </w:r>
    </w:p>
    <w:p w14:paraId="3151290C" w14:textId="77777777" w:rsidR="00542AE4" w:rsidRPr="00350411" w:rsidRDefault="00542AE4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151290D" w14:textId="77777777" w:rsidR="00542AE4" w:rsidRPr="00350411" w:rsidRDefault="009823E3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_tradnl"/>
        </w:rPr>
        <w:t>Periódicamente, tomamos muestras de agua en los grifos de los consumidores para realizar pruebas de det</w:t>
      </w:r>
      <w:r>
        <w:rPr>
          <w:rFonts w:ascii="Arial" w:eastAsia="Arial" w:hAnsi="Arial" w:cs="Arial"/>
          <w:color w:val="000000"/>
          <w:lang w:val="es-ES_tradnl"/>
        </w:rPr>
        <w:t>ección de plomo. Las pruebas muestran niveles de plomo en el agua por encima del límite, o nivel de acción; de manera que instalamos un tratamiento de control de corrosión el [fecha]. Este tratamiento ayuda a evitar que el plomo de las tuberías se disuelva</w:t>
      </w:r>
      <w:r>
        <w:rPr>
          <w:rFonts w:ascii="Arial" w:eastAsia="Arial" w:hAnsi="Arial" w:cs="Arial"/>
          <w:color w:val="000000"/>
          <w:lang w:val="es-ES_tradnl"/>
        </w:rPr>
        <w:t xml:space="preserve"> en el agua. Durante los últimos seis meses, no cumplimos sistemáticamente los requisitos de la técnica de tratamiento para nuestro sistema de control de corrosión. En las fechas [días y meses], no cumplimos nuestro mínimo de [parámetro de calidad del agua</w:t>
      </w:r>
      <w:r>
        <w:rPr>
          <w:rFonts w:ascii="Arial" w:eastAsia="Arial" w:hAnsi="Arial" w:cs="Arial"/>
          <w:color w:val="000000"/>
          <w:lang w:val="es-ES_tradnl"/>
        </w:rPr>
        <w:t xml:space="preserve"> específico con un mínimo establecido]. </w:t>
      </w:r>
    </w:p>
    <w:p w14:paraId="3151290E" w14:textId="77777777" w:rsidR="00542AE4" w:rsidRPr="00350411" w:rsidRDefault="00542AE4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151290F" w14:textId="77777777" w:rsidR="00170DF1" w:rsidRPr="00350411" w:rsidRDefault="009823E3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eastAsia="Arial" w:hAnsi="Arial" w:cs="Arial"/>
          <w:b/>
          <w:bCs/>
          <w:color w:val="000000"/>
          <w:lang w:val="es-ES_tradnl"/>
        </w:rPr>
        <w:t>¿Qué debo hacer?</w:t>
      </w:r>
    </w:p>
    <w:p w14:paraId="31512910" w14:textId="77777777" w:rsidR="00542AE4" w:rsidRPr="00350411" w:rsidRDefault="00542AE4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1512911" w14:textId="5429AAB8" w:rsidR="00170DF1" w:rsidRDefault="009823E3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_tradnl"/>
        </w:rPr>
        <w:t>A continuación, se detallan algunas medida</w:t>
      </w:r>
      <w:r>
        <w:rPr>
          <w:rFonts w:ascii="Arial" w:eastAsia="Arial" w:hAnsi="Arial" w:cs="Arial"/>
          <w:color w:val="000000"/>
          <w:lang w:val="es-ES_tradnl"/>
        </w:rPr>
        <w:t>s que puede tomar para reducir la exposición al plomo:</w:t>
      </w:r>
    </w:p>
    <w:p w14:paraId="5D87270A" w14:textId="77777777" w:rsidR="00B30277" w:rsidRPr="00350411" w:rsidRDefault="00B30277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1512912" w14:textId="77777777" w:rsidR="00170DF1" w:rsidRPr="00350411" w:rsidRDefault="009823E3" w:rsidP="00D409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4" w:right="576" w:hanging="504"/>
        <w:contextualSpacing w:val="0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_tradnl"/>
        </w:rPr>
        <w:t>Llámenos al número que figura a continuación para saber cómo solicitar una prueba de detección de plomo en el agua.</w:t>
      </w:r>
    </w:p>
    <w:p w14:paraId="31512913" w14:textId="77777777" w:rsidR="00170DF1" w:rsidRPr="00350411" w:rsidRDefault="009823E3" w:rsidP="00D409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4" w:right="576" w:hanging="504"/>
        <w:contextualSpacing w:val="0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_tradnl"/>
        </w:rPr>
        <w:t>Averigüe si sus tuberías contienen plomo o soldadura de plomo.</w:t>
      </w:r>
    </w:p>
    <w:p w14:paraId="31512914" w14:textId="77777777" w:rsidR="00170DF1" w:rsidRPr="00350411" w:rsidRDefault="009823E3" w:rsidP="00D409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4" w:right="576" w:hanging="504"/>
        <w:contextualSpacing w:val="0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_tradnl"/>
        </w:rPr>
        <w:t>Deje correr el agua durante 15 a 30 segundos o</w:t>
      </w:r>
      <w:r>
        <w:rPr>
          <w:rFonts w:ascii="Arial" w:eastAsia="Arial" w:hAnsi="Arial" w:cs="Arial"/>
          <w:color w:val="000000"/>
          <w:lang w:val="es-ES_tradnl"/>
        </w:rPr>
        <w:t xml:space="preserve"> hasta que se enfríe antes de usarla para beber o cocinar. Esto elimina el plomo que pueda estar presente en las tuberías.</w:t>
      </w:r>
    </w:p>
    <w:p w14:paraId="31512915" w14:textId="77777777" w:rsidR="00170DF1" w:rsidRPr="00350411" w:rsidRDefault="009823E3" w:rsidP="00D409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4" w:right="576" w:hanging="504"/>
        <w:contextualSpacing w:val="0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_tradnl"/>
        </w:rPr>
        <w:t>No cocine ni beba agua del grifo de agua caliente; el pl</w:t>
      </w:r>
      <w:r>
        <w:rPr>
          <w:rFonts w:ascii="Arial" w:eastAsia="Arial" w:hAnsi="Arial" w:cs="Arial"/>
          <w:color w:val="000000"/>
          <w:lang w:val="es-ES_tradnl"/>
        </w:rPr>
        <w:t>omo se disuelve con más facilidad en el agua caliente.</w:t>
      </w:r>
    </w:p>
    <w:p w14:paraId="31512916" w14:textId="6307E0D7" w:rsidR="00170DF1" w:rsidRPr="00350411" w:rsidRDefault="009823E3" w:rsidP="00D409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4" w:right="576" w:hanging="504"/>
        <w:contextualSpacing w:val="0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_tradnl"/>
        </w:rPr>
        <w:t>No hierva el agua para eliminar el plomo. Hervir el agua en exceso hace que el plomo se concentre más y permanezca cuando el</w:t>
      </w:r>
      <w:r>
        <w:rPr>
          <w:rFonts w:ascii="Arial" w:eastAsia="Arial" w:hAnsi="Arial" w:cs="Arial"/>
          <w:color w:val="000000"/>
          <w:lang w:val="es-ES_tradnl"/>
        </w:rPr>
        <w:t xml:space="preserve"> agua se evapore.</w:t>
      </w:r>
    </w:p>
    <w:p w14:paraId="31512917" w14:textId="77777777" w:rsidR="00D4097F" w:rsidRPr="00350411" w:rsidRDefault="00D4097F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1512918" w14:textId="77777777" w:rsidR="00170DF1" w:rsidRPr="00350411" w:rsidRDefault="009823E3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eastAsia="Arial" w:hAnsi="Arial" w:cs="Arial"/>
          <w:b/>
          <w:bCs/>
          <w:color w:val="000000"/>
          <w:lang w:val="es-ES_tradnl"/>
        </w:rPr>
        <w:t>¿Qué significa esto?</w:t>
      </w:r>
    </w:p>
    <w:p w14:paraId="31512919" w14:textId="77777777" w:rsidR="00542AE4" w:rsidRPr="00350411" w:rsidRDefault="00542AE4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151291A" w14:textId="77777777" w:rsidR="00170DF1" w:rsidRPr="00350411" w:rsidRDefault="009823E3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_tradnl"/>
        </w:rPr>
        <w:t xml:space="preserve">Típicamente, el plomo ingresa a los suministros de agua </w:t>
      </w:r>
      <w:r>
        <w:rPr>
          <w:rFonts w:ascii="Arial" w:eastAsia="Arial" w:hAnsi="Arial" w:cs="Arial"/>
          <w:color w:val="000000"/>
          <w:lang w:val="es-ES_tradnl"/>
        </w:rPr>
        <w:t>filtrándose de las tuberías y los componentes de las cañerías hechos de plomo o latón. Por este motivo, ya no se permiten nuevas tuberías de plomo ni componentes de cañerías que contengan plomo. Sin embargo, es posible que muchas viviendas más antiguas ten</w:t>
      </w:r>
      <w:r>
        <w:rPr>
          <w:rFonts w:ascii="Arial" w:eastAsia="Arial" w:hAnsi="Arial" w:cs="Arial"/>
          <w:color w:val="000000"/>
          <w:lang w:val="es-ES_tradnl"/>
        </w:rPr>
        <w:t>gan tuberías de plomo. Es más probable que el agua contenga niveles altos de plomo si las tuberías de agua de su vivienda o que llegan a su vivienda están hechas de plomo o contienen soldadura de plomo.</w:t>
      </w:r>
    </w:p>
    <w:p w14:paraId="3151291B" w14:textId="77777777" w:rsidR="00542AE4" w:rsidRPr="00350411" w:rsidRDefault="00542AE4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151291C" w14:textId="77777777" w:rsidR="00170DF1" w:rsidRPr="00350411" w:rsidRDefault="009823E3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>
        <w:rPr>
          <w:rFonts w:ascii="Arial" w:eastAsia="Arial" w:hAnsi="Arial" w:cs="Arial"/>
          <w:i/>
          <w:iCs/>
          <w:color w:val="000000"/>
          <w:lang w:val="es-ES_tradnl"/>
        </w:rPr>
        <w:t>Los bebés y niños que beben agua que contiene un nivel de plomo superior al nivel de acción podrían tener retrasos en su desarrollo físico o mental. Los niños podrían mostrar leves déficits de nivel de atención y capacidades de apr</w:t>
      </w:r>
      <w:r>
        <w:rPr>
          <w:rFonts w:ascii="Arial" w:eastAsia="Arial" w:hAnsi="Arial" w:cs="Arial"/>
          <w:i/>
          <w:iCs/>
          <w:color w:val="000000"/>
          <w:lang w:val="es-ES_tradnl"/>
        </w:rPr>
        <w:t>endizaje. Los adultos que beben esta agua durante muchos años podrían desarrollar problemas renales o presión arterial alta.</w:t>
      </w:r>
    </w:p>
    <w:p w14:paraId="3151291D" w14:textId="77777777" w:rsidR="00542AE4" w:rsidRPr="00350411" w:rsidRDefault="00542AE4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151291E" w14:textId="77777777" w:rsidR="00170DF1" w:rsidRPr="00350411" w:rsidRDefault="009823E3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eastAsia="Arial" w:hAnsi="Arial" w:cs="Arial"/>
          <w:b/>
          <w:bCs/>
          <w:color w:val="000000"/>
          <w:lang w:val="es-ES_tradnl"/>
        </w:rPr>
        <w:t>¿Qué sucedió? ¿Qué se está haciendo?</w:t>
      </w:r>
    </w:p>
    <w:p w14:paraId="3151291F" w14:textId="77777777" w:rsidR="00853B7D" w:rsidRPr="00350411" w:rsidRDefault="00853B7D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1512920" w14:textId="77777777" w:rsidR="00170DF1" w:rsidRPr="00350411" w:rsidRDefault="009823E3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_tradnl"/>
        </w:rPr>
        <w:t>[Describir la medida correctiva.]</w:t>
      </w:r>
    </w:p>
    <w:p w14:paraId="31512921" w14:textId="77777777" w:rsidR="00853B7D" w:rsidRPr="00350411" w:rsidRDefault="00853B7D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1512922" w14:textId="77777777" w:rsidR="00170DF1" w:rsidRPr="00350411" w:rsidRDefault="009823E3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_tradnl"/>
        </w:rPr>
        <w:t>Esto no es una emergencia. Si hubiera sido así, se le habría notificado de inmedia</w:t>
      </w:r>
      <w:r>
        <w:rPr>
          <w:rFonts w:ascii="Arial" w:eastAsia="Arial" w:hAnsi="Arial" w:cs="Arial"/>
          <w:color w:val="000000"/>
          <w:lang w:val="es-ES_tradnl"/>
        </w:rPr>
        <w:t>to. El tratamiento de control de corrosión ahora está funcionando correctamente y cumple con todos los requisitos.</w:t>
      </w:r>
    </w:p>
    <w:p w14:paraId="31512923" w14:textId="77777777" w:rsidR="00853B7D" w:rsidRPr="00350411" w:rsidRDefault="00853B7D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1512924" w14:textId="77777777" w:rsidR="00170DF1" w:rsidRPr="00350411" w:rsidRDefault="009823E3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_tradnl"/>
        </w:rPr>
        <w:t>Para obtener más información, comuníquese con [nombre del conta</w:t>
      </w:r>
      <w:r>
        <w:rPr>
          <w:rFonts w:ascii="Arial" w:eastAsia="Arial" w:hAnsi="Arial" w:cs="Arial"/>
          <w:color w:val="000000"/>
          <w:lang w:val="es-ES_tradnl"/>
        </w:rPr>
        <w:t>cto] al [número de teléfono] o a [dirección postal].</w:t>
      </w:r>
    </w:p>
    <w:p w14:paraId="31512925" w14:textId="77777777" w:rsidR="00853B7D" w:rsidRPr="00350411" w:rsidRDefault="00853B7D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1512926" w14:textId="77777777" w:rsidR="00170DF1" w:rsidRPr="00350411" w:rsidRDefault="009823E3" w:rsidP="00D4097F">
      <w:pPr>
        <w:autoSpaceDE w:val="0"/>
        <w:autoSpaceDN w:val="0"/>
        <w:adjustRightInd w:val="0"/>
        <w:spacing w:after="0" w:line="240" w:lineRule="auto"/>
        <w:ind w:left="504" w:right="331"/>
        <w:rPr>
          <w:rFonts w:ascii="Arial" w:hAnsi="Arial" w:cs="Arial"/>
          <w:i/>
          <w:color w:val="000000"/>
        </w:rPr>
      </w:pPr>
      <w:r>
        <w:rPr>
          <w:rFonts w:ascii="Arial" w:eastAsia="Arial" w:hAnsi="Arial" w:cs="Arial"/>
          <w:i/>
          <w:iCs/>
          <w:color w:val="000000"/>
          <w:lang w:val="es-ES_tradnl"/>
        </w:rPr>
        <w:t>Comparta esta información con todas las demás personas que beben esta agua, especialmente las que pueden no haber recibido es</w:t>
      </w:r>
      <w:r>
        <w:rPr>
          <w:rFonts w:ascii="Arial" w:eastAsia="Arial" w:hAnsi="Arial" w:cs="Arial"/>
          <w:i/>
          <w:iCs/>
          <w:color w:val="000000"/>
          <w:lang w:val="es-ES_tradnl"/>
        </w:rPr>
        <w:t xml:space="preserve">te aviso en forma directa (por ejemplo, las </w:t>
      </w:r>
      <w:r>
        <w:rPr>
          <w:rFonts w:ascii="Arial" w:eastAsia="Arial" w:hAnsi="Arial" w:cs="Arial"/>
          <w:i/>
          <w:iCs/>
          <w:color w:val="000000"/>
          <w:lang w:val="es-ES_tradnl"/>
        </w:rPr>
        <w:lastRenderedPageBreak/>
        <w:t>personas que están en apartamentos, hogares de ancianos, escuelas y empresas). Puede hacerlo colocando este aviso en un lugar público o distribuyendo copias personalmente o por correo postal.</w:t>
      </w:r>
    </w:p>
    <w:p w14:paraId="31512927" w14:textId="77777777" w:rsidR="00853B7D" w:rsidRPr="00350411" w:rsidRDefault="00853B7D" w:rsidP="00170D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1512928" w14:textId="77777777" w:rsidR="001377D6" w:rsidRPr="00350411" w:rsidRDefault="009823E3" w:rsidP="00170DF1">
      <w:pPr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lang w:val="es-ES_tradnl"/>
        </w:rPr>
        <w:t>Usted ha recibido este aviso de parte de [sistema de agua]. N.º de ID del sistema de agua del estado: _________. Fecha de distribución:</w:t>
      </w:r>
    </w:p>
    <w:sectPr w:rsidR="001377D6" w:rsidRPr="00350411" w:rsidSect="00F11927">
      <w:pgSz w:w="12240" w:h="15840"/>
      <w:pgMar w:top="907" w:right="1080" w:bottom="44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59AB"/>
    <w:multiLevelType w:val="hybridMultilevel"/>
    <w:tmpl w:val="8D022C80"/>
    <w:lvl w:ilvl="0" w:tplc="5B2ABFB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76E82A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6EFC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47C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2C47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3AA6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008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078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F2E7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C2781"/>
    <w:multiLevelType w:val="hybridMultilevel"/>
    <w:tmpl w:val="9398C526"/>
    <w:lvl w:ilvl="0" w:tplc="32CE542A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5D4241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D4DC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E5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A93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5CEF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0F8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A2F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EA47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F1"/>
    <w:rsid w:val="00023AA3"/>
    <w:rsid w:val="000608A7"/>
    <w:rsid w:val="001377D6"/>
    <w:rsid w:val="00170DF1"/>
    <w:rsid w:val="001F0B04"/>
    <w:rsid w:val="00290273"/>
    <w:rsid w:val="002A3BD8"/>
    <w:rsid w:val="00350411"/>
    <w:rsid w:val="004517E1"/>
    <w:rsid w:val="00471824"/>
    <w:rsid w:val="004C7DFE"/>
    <w:rsid w:val="004F0C1E"/>
    <w:rsid w:val="00504712"/>
    <w:rsid w:val="00542AE4"/>
    <w:rsid w:val="00640E93"/>
    <w:rsid w:val="00681139"/>
    <w:rsid w:val="00745A74"/>
    <w:rsid w:val="00853B7D"/>
    <w:rsid w:val="0088346A"/>
    <w:rsid w:val="00924DF5"/>
    <w:rsid w:val="009823E3"/>
    <w:rsid w:val="00991769"/>
    <w:rsid w:val="00B30277"/>
    <w:rsid w:val="00B9418B"/>
    <w:rsid w:val="00CF4E85"/>
    <w:rsid w:val="00D4097F"/>
    <w:rsid w:val="00DE56F7"/>
    <w:rsid w:val="00E13C24"/>
    <w:rsid w:val="00F1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128E0"/>
  <w15:chartTrackingRefBased/>
  <w15:docId w15:val="{C8F3F2B3-1CC1-4B32-8C56-6C6BB335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C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97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60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82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3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3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3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F9C6C76A44B408FEB1DE20582ABC8" ma:contentTypeVersion="18" ma:contentTypeDescription="Create a new document." ma:contentTypeScope="" ma:versionID="845ee5e34c079df59685f1a28c81bdc9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cbafeb72-47c1-4a5a-9238-50bc5cfb50a9" targetNamespace="http://schemas.microsoft.com/office/2006/metadata/properties" ma:root="true" ma:fieldsID="11bdc18071b0e7d614e7151c1129772f" ns1:_="" ns2:_="" ns3:_="">
    <xsd:import namespace="http://schemas.microsoft.com/sharepoint/v3"/>
    <xsd:import namespace="59da1016-2a1b-4f8a-9768-d7a4932f6f16"/>
    <xsd:import namespace="cbafeb72-47c1-4a5a-9238-50bc5cfb50a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feb72-47c1-4a5a-9238-50bc5cfb50a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https://www-auth.oregon.gov/oha/PH/HEALTHYENVIRONMENTS/DRINKINGWATER/OPERATIONS/Documents/publicnotices/pnttlead.docx</Url>
      <Description>Instructions for LCR Failure to Maintain Corrosion Control Treatment Technique — Lead  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>Clean Water</IASubtopic>
    <DocumentExpirationDate xmlns="59da1016-2a1b-4f8a-9768-d7a4932f6f16">2030-12-31T08:00:00+00:00</DocumentExpirationDate>
    <IATopic xmlns="59da1016-2a1b-4f8a-9768-d7a4932f6f16">Public Health - Environment</IATopic>
    <Meta_x0020_Description xmlns="cbafeb72-47c1-4a5a-9238-50bc5cfb50a9" xsi:nil="true"/>
    <Meta_x0020_Keywords xmlns="cbafeb72-47c1-4a5a-9238-50bc5cfb50a9">Instructions for LCR Failure to Maintain Corrosion Control Treatment Technique — Lead, public notice lead</Meta_x0020_Keyword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0820C-1532-4A27-B990-CCF091C2D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cbafeb72-47c1-4a5a-9238-50bc5cfb5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953584-3534-4D8D-96D1-483CC3389D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da1016-2a1b-4f8a-9768-d7a4932f6f16"/>
    <ds:schemaRef ds:uri="cbafeb72-47c1-4a5a-9238-50bc5cfb50a9"/>
  </ds:schemaRefs>
</ds:datastoreItem>
</file>

<file path=customXml/itemProps3.xml><?xml version="1.0" encoding="utf-8"?>
<ds:datastoreItem xmlns:ds="http://schemas.openxmlformats.org/officeDocument/2006/customXml" ds:itemID="{44D88D0B-6192-4B0B-AFD3-749180402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 Template LCR Failure to Maintain Corrosion Control Treatment Technique — Lead</vt:lpstr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LCR Failure to Maintain Corrosion Control Treatment Technique — Lead</dc:title>
  <dc:creator>DWS</dc:creator>
  <cp:lastModifiedBy>Alexa Valentin</cp:lastModifiedBy>
  <cp:revision>15</cp:revision>
  <cp:lastPrinted>2018-09-12T18:33:00Z</cp:lastPrinted>
  <dcterms:created xsi:type="dcterms:W3CDTF">2018-09-21T23:04:00Z</dcterms:created>
  <dcterms:modified xsi:type="dcterms:W3CDTF">2023-03-09T15:45:00Z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0x010100276F9C6C76A44B408FEB1DE20582ABC8</vt:lpwstr>
  </property>
  <property fmtid="{D5CDD505-2E9C-101B-9397-08002B2CF9AE}" pid="3" name="WorkflowChangePath">
    <vt:lpwstr>47fb101b-f343-4f7b-bfd9-3195b57e00cd,3;</vt:lpwstr>
  </property>
</Properties>
</file>