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8C7E" w14:textId="7C870F3E" w:rsidR="005A5883" w:rsidRPr="005A5883" w:rsidRDefault="005A5883" w:rsidP="005A5883">
      <w:pPr>
        <w:jc w:val="center"/>
        <w:rPr>
          <w:b/>
          <w:bCs/>
          <w:u w:val="single"/>
        </w:rPr>
      </w:pPr>
      <w:r w:rsidRPr="005A5883">
        <w:rPr>
          <w:b/>
          <w:bCs/>
          <w:u w:val="single"/>
        </w:rPr>
        <w:t xml:space="preserve">Behavioral Health Guidelines </w:t>
      </w:r>
      <w:r>
        <w:rPr>
          <w:b/>
          <w:bCs/>
          <w:u w:val="single"/>
        </w:rPr>
        <w:t>in the</w:t>
      </w:r>
      <w:r w:rsidRPr="005A5883">
        <w:rPr>
          <w:b/>
          <w:bCs/>
          <w:u w:val="single"/>
        </w:rPr>
        <w:t xml:space="preserve"> CED</w:t>
      </w:r>
    </w:p>
    <w:p w14:paraId="2ECB52CE" w14:textId="77777777" w:rsidR="005A5883" w:rsidRPr="005A5883" w:rsidRDefault="005A5883" w:rsidP="005A5883">
      <w:pPr>
        <w:rPr>
          <w:b/>
          <w:bCs/>
        </w:rPr>
      </w:pPr>
      <w:r w:rsidRPr="005A5883">
        <w:rPr>
          <w:b/>
          <w:bCs/>
        </w:rPr>
        <w:t>Upon Admission</w:t>
      </w:r>
    </w:p>
    <w:p w14:paraId="03F5C897" w14:textId="77777777" w:rsidR="005A5883" w:rsidRPr="005A5883" w:rsidRDefault="005A5883" w:rsidP="005A5883">
      <w:pPr>
        <w:numPr>
          <w:ilvl w:val="0"/>
          <w:numId w:val="6"/>
        </w:numPr>
      </w:pPr>
      <w:r w:rsidRPr="005A5883">
        <w:t>Clearly communicate care expectations to both the patient and their caregivers.</w:t>
      </w:r>
    </w:p>
    <w:p w14:paraId="071CFA9D" w14:textId="77777777" w:rsidR="005A5883" w:rsidRPr="005A5883" w:rsidRDefault="005A5883" w:rsidP="005A5883">
      <w:pPr>
        <w:numPr>
          <w:ilvl w:val="0"/>
          <w:numId w:val="6"/>
        </w:numPr>
      </w:pPr>
      <w:r w:rsidRPr="005A5883">
        <w:t>Review access to personal belongings for the patient, and outline guidelines for caregiver possessions.</w:t>
      </w:r>
    </w:p>
    <w:p w14:paraId="7DC6FD86" w14:textId="77777777" w:rsidR="005A5883" w:rsidRPr="005A5883" w:rsidRDefault="005A5883" w:rsidP="005A5883">
      <w:pPr>
        <w:numPr>
          <w:ilvl w:val="0"/>
          <w:numId w:val="6"/>
        </w:numPr>
      </w:pPr>
      <w:r w:rsidRPr="005A5883">
        <w:t>Notify and engage caregivers, including explaining their role and expectations during the social work assessment.</w:t>
      </w:r>
    </w:p>
    <w:p w14:paraId="55F8E920" w14:textId="77777777" w:rsidR="005A5883" w:rsidRPr="005A5883" w:rsidRDefault="005A5883" w:rsidP="005A5883">
      <w:pPr>
        <w:numPr>
          <w:ilvl w:val="0"/>
          <w:numId w:val="6"/>
        </w:numPr>
      </w:pPr>
      <w:r w:rsidRPr="005A5883">
        <w:t>Set clear expectations for how the patient will interact with clinical providers and participate in their care.</w:t>
      </w:r>
    </w:p>
    <w:p w14:paraId="49145CBF" w14:textId="77777777" w:rsidR="005A5883" w:rsidRPr="005A5883" w:rsidRDefault="005A5883" w:rsidP="005A5883">
      <w:pPr>
        <w:numPr>
          <w:ilvl w:val="0"/>
          <w:numId w:val="6"/>
        </w:numPr>
      </w:pPr>
      <w:r w:rsidRPr="005A5883">
        <w:t>Establish boundaries around non-clinical requests (e.g., snacks, TV use, phone calls), including what is appropriate and when.</w:t>
      </w:r>
    </w:p>
    <w:p w14:paraId="7A24EAF4" w14:textId="77777777" w:rsidR="005A5883" w:rsidRPr="005A5883" w:rsidRDefault="00FA7603" w:rsidP="005A5883">
      <w:r>
        <w:pict w14:anchorId="0BEB0B89">
          <v:rect id="_x0000_i1025" style="width:0;height:1.5pt" o:hralign="center" o:hrstd="t" o:hr="t" fillcolor="#a0a0a0" stroked="f"/>
        </w:pict>
      </w:r>
    </w:p>
    <w:p w14:paraId="75568E58" w14:textId="77777777" w:rsidR="005A5883" w:rsidRPr="005A5883" w:rsidRDefault="005A5883" w:rsidP="005A5883">
      <w:pPr>
        <w:rPr>
          <w:b/>
          <w:bCs/>
        </w:rPr>
      </w:pPr>
      <w:r w:rsidRPr="005A5883">
        <w:rPr>
          <w:b/>
          <w:bCs/>
        </w:rPr>
        <w:t>Routine Assessments &amp; Monitoring</w:t>
      </w:r>
    </w:p>
    <w:p w14:paraId="149FC1FA" w14:textId="77777777" w:rsidR="005A5883" w:rsidRPr="005A5883" w:rsidRDefault="005A5883" w:rsidP="005A5883">
      <w:pPr>
        <w:numPr>
          <w:ilvl w:val="0"/>
          <w:numId w:val="2"/>
        </w:numPr>
      </w:pPr>
      <w:r w:rsidRPr="005A5883">
        <w:t>Focused behavioral health assessment every 12 hours</w:t>
      </w:r>
    </w:p>
    <w:p w14:paraId="4FE15EF9" w14:textId="77777777" w:rsidR="005A5883" w:rsidRPr="005A5883" w:rsidRDefault="005A5883" w:rsidP="005A5883">
      <w:pPr>
        <w:numPr>
          <w:ilvl w:val="0"/>
          <w:numId w:val="2"/>
        </w:numPr>
      </w:pPr>
      <w:r w:rsidRPr="005A5883">
        <w:t>Vital signs taken at:</w:t>
      </w:r>
    </w:p>
    <w:p w14:paraId="1405576B" w14:textId="77777777" w:rsidR="005A5883" w:rsidRPr="005A5883" w:rsidRDefault="005A5883" w:rsidP="005A5883">
      <w:pPr>
        <w:numPr>
          <w:ilvl w:val="1"/>
          <w:numId w:val="2"/>
        </w:numPr>
      </w:pPr>
      <w:r w:rsidRPr="005A5883">
        <w:t>0900 and 2100</w:t>
      </w:r>
    </w:p>
    <w:p w14:paraId="2BF758FF" w14:textId="77777777" w:rsidR="005A5883" w:rsidRPr="005A5883" w:rsidRDefault="005A5883" w:rsidP="005A5883">
      <w:pPr>
        <w:numPr>
          <w:ilvl w:val="1"/>
          <w:numId w:val="2"/>
        </w:numPr>
      </w:pPr>
      <w:r w:rsidRPr="005A5883">
        <w:t>After any interventions</w:t>
      </w:r>
    </w:p>
    <w:p w14:paraId="4B1E0029" w14:textId="77777777" w:rsidR="005A5883" w:rsidRPr="005A5883" w:rsidRDefault="005A5883" w:rsidP="005A5883">
      <w:pPr>
        <w:numPr>
          <w:ilvl w:val="1"/>
          <w:numId w:val="2"/>
        </w:numPr>
      </w:pPr>
      <w:r w:rsidRPr="005A5883">
        <w:t>As needed, per RN or BHT discretion</w:t>
      </w:r>
    </w:p>
    <w:p w14:paraId="58F8F059" w14:textId="77777777" w:rsidR="005A5883" w:rsidRPr="005A5883" w:rsidRDefault="005A5883" w:rsidP="005A5883">
      <w:pPr>
        <w:numPr>
          <w:ilvl w:val="0"/>
          <w:numId w:val="2"/>
        </w:numPr>
      </w:pPr>
      <w:r w:rsidRPr="005A5883">
        <w:t>Encourage or assist with:</w:t>
      </w:r>
    </w:p>
    <w:p w14:paraId="61295CCC" w14:textId="77777777" w:rsidR="005A5883" w:rsidRPr="005A5883" w:rsidRDefault="005A5883" w:rsidP="005A5883">
      <w:pPr>
        <w:numPr>
          <w:ilvl w:val="1"/>
          <w:numId w:val="2"/>
        </w:numPr>
      </w:pPr>
      <w:r w:rsidRPr="005A5883">
        <w:t>Daily personal hygiene</w:t>
      </w:r>
    </w:p>
    <w:p w14:paraId="0AD9EF7B" w14:textId="77777777" w:rsidR="005A5883" w:rsidRPr="005A5883" w:rsidRDefault="005A5883" w:rsidP="005A5883">
      <w:pPr>
        <w:numPr>
          <w:ilvl w:val="1"/>
          <w:numId w:val="2"/>
        </w:numPr>
      </w:pPr>
      <w:r w:rsidRPr="005A5883">
        <w:t>Daily linen changes</w:t>
      </w:r>
    </w:p>
    <w:p w14:paraId="65C4EE57" w14:textId="77777777" w:rsidR="005A5883" w:rsidRPr="005A5883" w:rsidRDefault="00FA7603" w:rsidP="005A5883">
      <w:r>
        <w:pict w14:anchorId="5326481B">
          <v:rect id="_x0000_i1026" style="width:0;height:1.5pt" o:hralign="center" o:hrstd="t" o:hr="t" fillcolor="#a0a0a0" stroked="f"/>
        </w:pict>
      </w:r>
    </w:p>
    <w:p w14:paraId="4EF86356" w14:textId="77777777" w:rsidR="005A5883" w:rsidRPr="005A5883" w:rsidRDefault="005A5883" w:rsidP="005A5883">
      <w:pPr>
        <w:rPr>
          <w:b/>
          <w:bCs/>
        </w:rPr>
      </w:pPr>
      <w:r w:rsidRPr="005A5883">
        <w:rPr>
          <w:b/>
          <w:bCs/>
        </w:rPr>
        <w:t>Medication Reconciliation</w:t>
      </w:r>
    </w:p>
    <w:p w14:paraId="2A07AB04" w14:textId="77777777" w:rsidR="005A5883" w:rsidRPr="005A5883" w:rsidRDefault="005A5883" w:rsidP="005A5883">
      <w:pPr>
        <w:numPr>
          <w:ilvl w:val="0"/>
          <w:numId w:val="3"/>
        </w:numPr>
      </w:pPr>
      <w:r w:rsidRPr="005A5883">
        <w:t>The social worker will ask the family which pharmacy the patient uses.</w:t>
      </w:r>
    </w:p>
    <w:p w14:paraId="03388AF4" w14:textId="77777777" w:rsidR="005A5883" w:rsidRPr="005A5883" w:rsidRDefault="005A5883" w:rsidP="005A5883">
      <w:pPr>
        <w:numPr>
          <w:ilvl w:val="0"/>
          <w:numId w:val="3"/>
        </w:numPr>
      </w:pPr>
      <w:r w:rsidRPr="005A5883">
        <w:t>The ED pharmacist will:</w:t>
      </w:r>
    </w:p>
    <w:p w14:paraId="2B376598" w14:textId="77777777" w:rsidR="005A5883" w:rsidRPr="005A5883" w:rsidRDefault="005A5883" w:rsidP="005A5883">
      <w:pPr>
        <w:numPr>
          <w:ilvl w:val="1"/>
          <w:numId w:val="3"/>
        </w:numPr>
      </w:pPr>
      <w:r w:rsidRPr="005A5883">
        <w:t>Contact the pharmacy to obtain the patient’s current medication list</w:t>
      </w:r>
    </w:p>
    <w:p w14:paraId="07413F7B" w14:textId="77777777" w:rsidR="005A5883" w:rsidRPr="005A5883" w:rsidRDefault="005A5883" w:rsidP="005A5883">
      <w:pPr>
        <w:numPr>
          <w:ilvl w:val="1"/>
          <w:numId w:val="3"/>
        </w:numPr>
      </w:pPr>
      <w:r w:rsidRPr="005A5883">
        <w:t>Enter medications into the EMR</w:t>
      </w:r>
    </w:p>
    <w:p w14:paraId="6D2D1232" w14:textId="77777777" w:rsidR="005A5883" w:rsidRPr="005A5883" w:rsidRDefault="005A5883" w:rsidP="005A5883">
      <w:pPr>
        <w:numPr>
          <w:ilvl w:val="0"/>
          <w:numId w:val="3"/>
        </w:numPr>
      </w:pPr>
      <w:r w:rsidRPr="005A5883">
        <w:t>Goal: Ensure the admitting physician can review and sign off on home medications promptly.</w:t>
      </w:r>
    </w:p>
    <w:p w14:paraId="751FF110" w14:textId="77777777" w:rsidR="005A5883" w:rsidRPr="005A5883" w:rsidRDefault="00FA7603" w:rsidP="005A5883">
      <w:r>
        <w:pict w14:anchorId="7EA91CA1">
          <v:rect id="_x0000_i1027" style="width:0;height:1.5pt" o:hralign="center" o:hrstd="t" o:hr="t" fillcolor="#a0a0a0" stroked="f"/>
        </w:pict>
      </w:r>
    </w:p>
    <w:p w14:paraId="656FD80A" w14:textId="77777777" w:rsidR="005A5883" w:rsidRPr="005A5883" w:rsidRDefault="005A5883" w:rsidP="005A5883">
      <w:pPr>
        <w:rPr>
          <w:b/>
          <w:bCs/>
        </w:rPr>
      </w:pPr>
      <w:r w:rsidRPr="005A5883">
        <w:rPr>
          <w:b/>
          <w:bCs/>
        </w:rPr>
        <w:lastRenderedPageBreak/>
        <w:t>Behavioral Assessments</w:t>
      </w:r>
    </w:p>
    <w:p w14:paraId="0EBFE0C3" w14:textId="77777777" w:rsidR="005A5883" w:rsidRPr="005A5883" w:rsidRDefault="005A5883" w:rsidP="005A5883">
      <w:pPr>
        <w:numPr>
          <w:ilvl w:val="0"/>
          <w:numId w:val="4"/>
        </w:numPr>
      </w:pPr>
      <w:r w:rsidRPr="005A5883">
        <w:t>Conduct a comprehensive behavioral assessment on admission, then repeat every 4 hours. This should include evaluation of:</w:t>
      </w:r>
    </w:p>
    <w:p w14:paraId="721E463E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Orientation to person, place, time, and situation</w:t>
      </w:r>
    </w:p>
    <w:p w14:paraId="0E79BB94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Affect and mood</w:t>
      </w:r>
    </w:p>
    <w:p w14:paraId="6F1DC466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Signs of psychosis (e.g., responding to hallucinations or delusions)</w:t>
      </w:r>
    </w:p>
    <w:p w14:paraId="640480A0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Environmental stressors</w:t>
      </w:r>
    </w:p>
    <w:p w14:paraId="1BC778D5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Sleep disturbances</w:t>
      </w:r>
    </w:p>
    <w:p w14:paraId="4E733CC6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Potential for elopement</w:t>
      </w:r>
    </w:p>
    <w:p w14:paraId="35EF5704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Risk of harm to self or others</w:t>
      </w:r>
    </w:p>
    <w:p w14:paraId="39E9FB30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Verbal and non-verbal behaviors</w:t>
      </w:r>
    </w:p>
    <w:p w14:paraId="605625E5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Functional abilities</w:t>
      </w:r>
    </w:p>
    <w:p w14:paraId="63F8AAA4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Coping mechanisms</w:t>
      </w:r>
    </w:p>
    <w:p w14:paraId="55B7375C" w14:textId="77777777" w:rsidR="005A5883" w:rsidRPr="005A5883" w:rsidRDefault="005A5883" w:rsidP="005A5883">
      <w:pPr>
        <w:numPr>
          <w:ilvl w:val="1"/>
          <w:numId w:val="4"/>
        </w:numPr>
      </w:pPr>
      <w:r w:rsidRPr="005A5883">
        <w:t>Cognitive function</w:t>
      </w:r>
    </w:p>
    <w:p w14:paraId="70D39FD5" w14:textId="77777777" w:rsidR="005A5883" w:rsidRPr="005A5883" w:rsidRDefault="005A5883" w:rsidP="005A5883">
      <w:r w:rsidRPr="005A5883">
        <w:rPr>
          <w:rFonts w:ascii="Segoe UI Emoji" w:hAnsi="Segoe UI Emoji" w:cs="Segoe UI Emoji"/>
        </w:rPr>
        <w:t>🔹</w:t>
      </w:r>
      <w:r w:rsidRPr="005A5883">
        <w:t xml:space="preserve"> </w:t>
      </w:r>
      <w:r w:rsidRPr="005A5883">
        <w:rPr>
          <w:i/>
          <w:iCs/>
        </w:rPr>
        <w:t>Items 1–8 can be documented by the BHT. A prebuilt .dotphrase is available for use in ED notes.</w:t>
      </w:r>
    </w:p>
    <w:p w14:paraId="01A79F4D" w14:textId="77777777" w:rsidR="005A5883" w:rsidRPr="005A5883" w:rsidRDefault="00FA7603" w:rsidP="005A5883">
      <w:r>
        <w:pict w14:anchorId="38BC511D">
          <v:rect id="_x0000_i1028" style="width:0;height:1.5pt" o:hralign="center" o:hrstd="t" o:hr="t" fillcolor="#a0a0a0" stroked="f"/>
        </w:pict>
      </w:r>
    </w:p>
    <w:p w14:paraId="1696F643" w14:textId="77777777" w:rsidR="005A5883" w:rsidRPr="005A5883" w:rsidRDefault="005A5883" w:rsidP="005A5883">
      <w:pPr>
        <w:rPr>
          <w:b/>
          <w:bCs/>
        </w:rPr>
      </w:pPr>
      <w:r w:rsidRPr="005A5883">
        <w:rPr>
          <w:b/>
          <w:bCs/>
        </w:rPr>
        <w:t>Patient Observation Documentation</w:t>
      </w:r>
    </w:p>
    <w:p w14:paraId="38721F0A" w14:textId="77777777" w:rsidR="005A5883" w:rsidRPr="005A5883" w:rsidRDefault="005A5883" w:rsidP="005A5883">
      <w:pPr>
        <w:numPr>
          <w:ilvl w:val="0"/>
          <w:numId w:val="5"/>
        </w:numPr>
      </w:pPr>
      <w:r w:rsidRPr="005A5883">
        <w:t>Document the patient’s status hourly in the Patient Observation section of EPIC</w:t>
      </w:r>
    </w:p>
    <w:p w14:paraId="0D1D988B" w14:textId="77777777" w:rsidR="005A5883" w:rsidRPr="005A5883" w:rsidRDefault="005A5883" w:rsidP="005A5883">
      <w:pPr>
        <w:numPr>
          <w:ilvl w:val="1"/>
          <w:numId w:val="5"/>
        </w:numPr>
      </w:pPr>
      <w:r w:rsidRPr="005A5883">
        <w:t>Use clear, objective notes (e.g., "patient asleep," "patient playing cards")</w:t>
      </w:r>
    </w:p>
    <w:p w14:paraId="5E65CF72" w14:textId="77777777" w:rsidR="0064509C" w:rsidRDefault="0064509C"/>
    <w:sectPr w:rsidR="0064509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7968" w14:textId="77777777" w:rsidR="005A5883" w:rsidRDefault="005A5883" w:rsidP="005A5883">
      <w:pPr>
        <w:spacing w:after="0" w:line="240" w:lineRule="auto"/>
      </w:pPr>
      <w:r>
        <w:separator/>
      </w:r>
    </w:p>
  </w:endnote>
  <w:endnote w:type="continuationSeparator" w:id="0">
    <w:p w14:paraId="46CC0F09" w14:textId="77777777" w:rsidR="005A5883" w:rsidRDefault="005A5883" w:rsidP="005A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7E9A" w14:textId="5FAA453E" w:rsidR="005A5883" w:rsidRPr="005A5883" w:rsidRDefault="005A5883" w:rsidP="005A5883">
    <w:pPr>
      <w:pStyle w:val="Footer"/>
      <w:jc w:val="right"/>
      <w:rPr>
        <w:sz w:val="18"/>
        <w:szCs w:val="18"/>
      </w:rPr>
    </w:pPr>
    <w:r w:rsidRPr="005A5883">
      <w:rPr>
        <w:sz w:val="18"/>
        <w:szCs w:val="18"/>
      </w:rPr>
      <w:t>Updated: May 22,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4AAF" w14:textId="77777777" w:rsidR="005A5883" w:rsidRDefault="005A5883" w:rsidP="005A5883">
      <w:pPr>
        <w:spacing w:after="0" w:line="240" w:lineRule="auto"/>
      </w:pPr>
      <w:r>
        <w:separator/>
      </w:r>
    </w:p>
  </w:footnote>
  <w:footnote w:type="continuationSeparator" w:id="0">
    <w:p w14:paraId="77EF33C6" w14:textId="77777777" w:rsidR="005A5883" w:rsidRDefault="005A5883" w:rsidP="005A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D16F" w14:textId="742D1C83" w:rsidR="005A5883" w:rsidRDefault="005A5883">
    <w:pPr>
      <w:pStyle w:val="Header"/>
    </w:pPr>
    <w:r w:rsidRPr="00B211B3">
      <w:rPr>
        <w:noProof/>
      </w:rPr>
      <w:drawing>
        <wp:inline distT="0" distB="0" distL="0" distR="0" wp14:anchorId="01ABC2A2" wp14:editId="355669D7">
          <wp:extent cx="1308743" cy="344384"/>
          <wp:effectExtent l="0" t="0" r="5715" b="0"/>
          <wp:docPr id="1138563943" name="Picture 2" descr="Picture 1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cture 1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862" cy="34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175"/>
    <w:multiLevelType w:val="multilevel"/>
    <w:tmpl w:val="7BDC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05B07"/>
    <w:multiLevelType w:val="multilevel"/>
    <w:tmpl w:val="B7E2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27EC5"/>
    <w:multiLevelType w:val="multilevel"/>
    <w:tmpl w:val="5282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32E1C"/>
    <w:multiLevelType w:val="multilevel"/>
    <w:tmpl w:val="329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1789C"/>
    <w:multiLevelType w:val="multilevel"/>
    <w:tmpl w:val="72A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D20AD"/>
    <w:multiLevelType w:val="multilevel"/>
    <w:tmpl w:val="663E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984230">
    <w:abstractNumId w:val="1"/>
  </w:num>
  <w:num w:numId="2" w16cid:durableId="1403719222">
    <w:abstractNumId w:val="3"/>
  </w:num>
  <w:num w:numId="3" w16cid:durableId="1655453482">
    <w:abstractNumId w:val="5"/>
  </w:num>
  <w:num w:numId="4" w16cid:durableId="23755510">
    <w:abstractNumId w:val="0"/>
  </w:num>
  <w:num w:numId="5" w16cid:durableId="1498227340">
    <w:abstractNumId w:val="4"/>
  </w:num>
  <w:num w:numId="6" w16cid:durableId="1565486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83"/>
    <w:rsid w:val="00117950"/>
    <w:rsid w:val="002C0222"/>
    <w:rsid w:val="00543CCB"/>
    <w:rsid w:val="005A5883"/>
    <w:rsid w:val="0064509C"/>
    <w:rsid w:val="00F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8AC27D1"/>
  <w15:chartTrackingRefBased/>
  <w15:docId w15:val="{16076D40-189C-4DCE-BB88-0DECE798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8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8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8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8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8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8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8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8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8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8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8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8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8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8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8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8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8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883"/>
  </w:style>
  <w:style w:type="paragraph" w:styleId="Footer">
    <w:name w:val="footer"/>
    <w:basedOn w:val="Normal"/>
    <w:link w:val="FooterChar"/>
    <w:uiPriority w:val="99"/>
    <w:unhideWhenUsed/>
    <w:rsid w:val="005A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2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0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https://www.oregon.gov/oha/PH/PROVIDERPARTNERRESOURCES/EMSTRAUMASYSTEMS/EMSFORCHILDREN/PRPResources/Behavioral-Guidelines-Randall.docx</Url>
      <Description>Behavioral-Guidelines-Randall.docx</Description>
    </URL>
    <Category xmlns="e4b09fc0-283c-45fe-ab91-6f4f86864982">Behavioral</Category>
    <Meta_x0020_Keywords xmlns="e4b09fc0-283c-45fe-ab91-6f4f86864982" xsi:nil="true"/>
    <Meta_x0020_Description xmlns="e4b09fc0-283c-45fe-ab91-6f4f86864982" xsi:nil="true"/>
    <Resource_x0020_Type xmlns="e4b09fc0-283c-45fe-ab91-6f4f86864982">Behavioral</Resource_x0020_Type>
    <Resource_x0020_Page xmlns="e4b09fc0-283c-45fe-ab91-6f4f86864982">
      <Value>Shared Resources</Value>
    </Resource_x0020_Page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248D1-685A-43FE-8C46-7D5A541E2071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944604e5-e926-4e33-b4b5-a3bc667472d8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04A951-F83D-45D4-9056-AEC876A91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8769A-98C8-4557-8839-D82A5EEE8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4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Pflaum</dc:creator>
  <cp:keywords/>
  <dc:description/>
  <cp:lastModifiedBy>Edwards Robert</cp:lastModifiedBy>
  <cp:revision>2</cp:revision>
  <dcterms:created xsi:type="dcterms:W3CDTF">2025-09-04T22:23:00Z</dcterms:created>
  <dcterms:modified xsi:type="dcterms:W3CDTF">2025-09-04T22:23:00Z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Order">
    <vt:r8>5500</vt:r8>
  </property>
  <property fmtid="{D5CDD505-2E9C-101B-9397-08002B2CF9AE}" pid="4" name="WorkflowChangePath">
    <vt:lpwstr>cf38cbd7-d3f3-4ea4-b23e-b82741805e65,4;cf38cbd7-d3f3-4ea4-b23e-b82741805e65,6;cf38cbd7-d3f3-4ea4-b23e-b82741805e65,8;dd49e4e3-7780-4a65-8110-3ccbcd91a248,9;</vt:lpwstr>
  </property>
</Properties>
</file>