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00"/>
        <w:gridCol w:w="8005"/>
      </w:tblGrid>
      <w:tr w:rsidR="00DD0DB7" w:rsidRPr="007B75AC" w14:paraId="6696FA39" w14:textId="77777777" w:rsidTr="00816A24">
        <w:tc>
          <w:tcPr>
            <w:tcW w:w="2700" w:type="dxa"/>
          </w:tcPr>
          <w:p w14:paraId="01040F8A" w14:textId="77777777" w:rsidR="00DD0DB7" w:rsidRPr="00EB4438" w:rsidRDefault="00DD0DB7">
            <w:pPr>
              <w:rPr>
                <w:rFonts w:cstheme="minorHAnsi"/>
                <w:b/>
                <w:sz w:val="20"/>
                <w:szCs w:val="20"/>
              </w:rPr>
            </w:pPr>
            <w:r w:rsidRPr="00EB4438">
              <w:rPr>
                <w:rFonts w:cstheme="minorHAnsi"/>
                <w:b/>
                <w:sz w:val="20"/>
                <w:szCs w:val="20"/>
              </w:rPr>
              <w:t>WHO MUST COMPLETE THE FORM 23-152:</w:t>
            </w:r>
          </w:p>
        </w:tc>
        <w:tc>
          <w:tcPr>
            <w:tcW w:w="8005" w:type="dxa"/>
          </w:tcPr>
          <w:p w14:paraId="13D4D25D" w14:textId="77777777" w:rsidR="00DD0DB7" w:rsidRPr="00EB4438" w:rsidRDefault="00BD7B41">
            <w:pPr>
              <w:rPr>
                <w:rFonts w:cstheme="minorHAnsi"/>
                <w:sz w:val="20"/>
                <w:szCs w:val="20"/>
              </w:rPr>
            </w:pPr>
            <w:r w:rsidRPr="00EB4438">
              <w:rPr>
                <w:rFonts w:cstheme="minorHAnsi"/>
                <w:sz w:val="20"/>
                <w:szCs w:val="20"/>
              </w:rPr>
              <w:t>All agencies receiving funds awarded through Oregon Health Authority Intergovernmental Agreement for Financing Public Health Services must complete this report for each grant- funded program.  Agencies are responsible for assuring that each report is completed accurately, signed and submitted in a timely manner.</w:t>
            </w:r>
          </w:p>
        </w:tc>
      </w:tr>
      <w:tr w:rsidR="00DD0DB7" w:rsidRPr="007B75AC" w14:paraId="4C815724" w14:textId="77777777" w:rsidTr="00816A24">
        <w:trPr>
          <w:trHeight w:val="332"/>
        </w:trPr>
        <w:tc>
          <w:tcPr>
            <w:tcW w:w="2700" w:type="dxa"/>
            <w:vAlign w:val="center"/>
          </w:tcPr>
          <w:p w14:paraId="490A4A24" w14:textId="77777777" w:rsidR="00DD0DB7" w:rsidRPr="00EB4438" w:rsidRDefault="00BD7B41" w:rsidP="00121CFF">
            <w:pPr>
              <w:rPr>
                <w:rFonts w:cstheme="minorHAnsi"/>
                <w:b/>
                <w:sz w:val="20"/>
                <w:szCs w:val="20"/>
              </w:rPr>
            </w:pPr>
            <w:r w:rsidRPr="00EB4438">
              <w:rPr>
                <w:rFonts w:cstheme="minorHAnsi"/>
                <w:b/>
                <w:sz w:val="20"/>
                <w:szCs w:val="20"/>
              </w:rPr>
              <w:t>WHERE TO SUBMIT REPORT:</w:t>
            </w:r>
          </w:p>
        </w:tc>
        <w:tc>
          <w:tcPr>
            <w:tcW w:w="8005" w:type="dxa"/>
            <w:vAlign w:val="center"/>
          </w:tcPr>
          <w:p w14:paraId="2ACB18C0" w14:textId="77777777" w:rsidR="00DD0DB7" w:rsidRPr="00EB4438" w:rsidRDefault="007833A9" w:rsidP="00121CFF">
            <w:pPr>
              <w:rPr>
                <w:rFonts w:cstheme="minorHAnsi"/>
                <w:b/>
                <w:sz w:val="20"/>
                <w:szCs w:val="20"/>
              </w:rPr>
            </w:pPr>
            <w:hyperlink r:id="rId7" w:history="1">
              <w:r w:rsidR="00CC7B9D" w:rsidRPr="00EB4438">
                <w:rPr>
                  <w:rStyle w:val="Hyperlink"/>
                  <w:rFonts w:cstheme="minorHAnsi"/>
                  <w:b/>
                  <w:color w:val="auto"/>
                  <w:sz w:val="20"/>
                  <w:szCs w:val="20"/>
                  <w:u w:val="none"/>
                </w:rPr>
                <w:t>OHA-PHD.ExpendRevReport@dhsoha.state.or.us</w:t>
              </w:r>
            </w:hyperlink>
          </w:p>
        </w:tc>
      </w:tr>
      <w:tr w:rsidR="00BD7B41" w:rsidRPr="007B75AC" w14:paraId="12CD0856" w14:textId="77777777" w:rsidTr="00816A24">
        <w:tc>
          <w:tcPr>
            <w:tcW w:w="2700" w:type="dxa"/>
          </w:tcPr>
          <w:p w14:paraId="18F8CE4E" w14:textId="77777777" w:rsidR="00BD7B41" w:rsidRPr="00EB4438" w:rsidRDefault="00BD7B41">
            <w:pPr>
              <w:rPr>
                <w:rFonts w:cstheme="minorHAnsi"/>
                <w:b/>
                <w:sz w:val="20"/>
                <w:szCs w:val="20"/>
              </w:rPr>
            </w:pPr>
            <w:r w:rsidRPr="00EB4438">
              <w:rPr>
                <w:rFonts w:cstheme="minorHAnsi"/>
                <w:b/>
                <w:sz w:val="20"/>
                <w:szCs w:val="20"/>
              </w:rPr>
              <w:t>WHEN TO SUBMIT:</w:t>
            </w:r>
          </w:p>
        </w:tc>
        <w:tc>
          <w:tcPr>
            <w:tcW w:w="8005" w:type="dxa"/>
          </w:tcPr>
          <w:p w14:paraId="1C0F5217" w14:textId="1ECCF9B2" w:rsidR="00BD7B41" w:rsidRPr="00EB4438" w:rsidRDefault="00BD7B41" w:rsidP="00AD01DF">
            <w:pPr>
              <w:rPr>
                <w:rFonts w:cstheme="minorHAnsi"/>
                <w:sz w:val="20"/>
                <w:szCs w:val="20"/>
              </w:rPr>
            </w:pPr>
            <w:r w:rsidRPr="00EB4438">
              <w:rPr>
                <w:rFonts w:cstheme="minorHAnsi"/>
                <w:sz w:val="20"/>
                <w:szCs w:val="20"/>
              </w:rPr>
              <w:t xml:space="preserve">Reports for grants are due </w:t>
            </w:r>
            <w:r w:rsidR="008E743D" w:rsidRPr="00EB4438">
              <w:rPr>
                <w:rFonts w:cstheme="minorHAnsi"/>
                <w:b/>
                <w:sz w:val="20"/>
                <w:szCs w:val="20"/>
                <w:u w:val="single"/>
              </w:rPr>
              <w:t>30</w:t>
            </w:r>
            <w:r w:rsidRPr="00EB4438">
              <w:rPr>
                <w:rFonts w:cstheme="minorHAnsi"/>
                <w:b/>
                <w:sz w:val="20"/>
                <w:szCs w:val="20"/>
                <w:u w:val="single"/>
              </w:rPr>
              <w:t xml:space="preserve"> days</w:t>
            </w:r>
            <w:r w:rsidRPr="00EB4438">
              <w:rPr>
                <w:rFonts w:cstheme="minorHAnsi"/>
                <w:sz w:val="20"/>
                <w:szCs w:val="20"/>
              </w:rPr>
              <w:t xml:space="preserve"> following the end of the 3-, 6-, and 9-month periods (10/</w:t>
            </w:r>
            <w:r w:rsidR="00225F61" w:rsidRPr="00EB4438">
              <w:rPr>
                <w:rFonts w:cstheme="minorHAnsi"/>
                <w:sz w:val="20"/>
                <w:szCs w:val="20"/>
              </w:rPr>
              <w:t>30</w:t>
            </w:r>
            <w:r w:rsidRPr="00EB4438">
              <w:rPr>
                <w:rFonts w:cstheme="minorHAnsi"/>
                <w:sz w:val="20"/>
                <w:szCs w:val="20"/>
              </w:rPr>
              <w:t>, 1/</w:t>
            </w:r>
            <w:r w:rsidR="00225F61" w:rsidRPr="00EB4438">
              <w:rPr>
                <w:rFonts w:cstheme="minorHAnsi"/>
                <w:sz w:val="20"/>
                <w:szCs w:val="20"/>
              </w:rPr>
              <w:t>30</w:t>
            </w:r>
            <w:r w:rsidRPr="00EB4438">
              <w:rPr>
                <w:rFonts w:cstheme="minorHAnsi"/>
                <w:sz w:val="20"/>
                <w:szCs w:val="20"/>
              </w:rPr>
              <w:t>, 4/</w:t>
            </w:r>
            <w:r w:rsidR="00225F61" w:rsidRPr="00EB4438">
              <w:rPr>
                <w:rFonts w:cstheme="minorHAnsi"/>
                <w:sz w:val="20"/>
                <w:szCs w:val="20"/>
              </w:rPr>
              <w:t>30</w:t>
            </w:r>
            <w:r w:rsidRPr="00EB4438">
              <w:rPr>
                <w:rFonts w:cstheme="minorHAnsi"/>
                <w:sz w:val="20"/>
                <w:szCs w:val="20"/>
              </w:rPr>
              <w:t xml:space="preserve">) and </w:t>
            </w:r>
            <w:r w:rsidR="00225FAF" w:rsidRPr="00EB4438">
              <w:rPr>
                <w:rFonts w:cstheme="minorHAnsi"/>
                <w:sz w:val="20"/>
                <w:szCs w:val="20"/>
              </w:rPr>
              <w:t xml:space="preserve">51 days </w:t>
            </w:r>
            <w:r w:rsidRPr="00EB4438">
              <w:rPr>
                <w:rFonts w:cstheme="minorHAnsi"/>
                <w:sz w:val="20"/>
                <w:szCs w:val="20"/>
              </w:rPr>
              <w:t>after the 12-month period (8/2</w:t>
            </w:r>
            <w:r w:rsidR="00225FAF" w:rsidRPr="00EB4438">
              <w:rPr>
                <w:rFonts w:cstheme="minorHAnsi"/>
                <w:sz w:val="20"/>
                <w:szCs w:val="20"/>
              </w:rPr>
              <w:t>0</w:t>
            </w:r>
            <w:r w:rsidRPr="00EB4438">
              <w:rPr>
                <w:rFonts w:cstheme="minorHAnsi"/>
                <w:sz w:val="20"/>
                <w:szCs w:val="20"/>
              </w:rPr>
              <w:t xml:space="preserve">) in each fiscal year.  </w:t>
            </w:r>
            <w:r w:rsidRPr="00EB4438">
              <w:rPr>
                <w:rFonts w:cstheme="minorHAnsi"/>
                <w:b/>
                <w:sz w:val="20"/>
                <w:szCs w:val="20"/>
                <w:u w:val="single"/>
              </w:rPr>
              <w:t>Any</w:t>
            </w:r>
            <w:r w:rsidRPr="00EB4438">
              <w:rPr>
                <w:rFonts w:cstheme="minorHAnsi"/>
                <w:sz w:val="20"/>
                <w:szCs w:val="20"/>
              </w:rPr>
              <w:t xml:space="preserve"> expenditure reports due and not received by the </w:t>
            </w:r>
            <w:r w:rsidR="00745E54" w:rsidRPr="00EB4438">
              <w:rPr>
                <w:rFonts w:cstheme="minorHAnsi"/>
                <w:sz w:val="20"/>
                <w:szCs w:val="20"/>
              </w:rPr>
              <w:t>specified deadline</w:t>
            </w:r>
            <w:r w:rsidRPr="00EB4438">
              <w:rPr>
                <w:rFonts w:cstheme="minorHAnsi"/>
                <w:sz w:val="20"/>
                <w:szCs w:val="20"/>
              </w:rPr>
              <w:t xml:space="preserve"> </w:t>
            </w:r>
            <w:r w:rsidR="00AD01DF" w:rsidRPr="00EB4438">
              <w:rPr>
                <w:rFonts w:cstheme="minorHAnsi"/>
                <w:sz w:val="20"/>
                <w:szCs w:val="20"/>
              </w:rPr>
              <w:t>could</w:t>
            </w:r>
            <w:r w:rsidRPr="00EB4438">
              <w:rPr>
                <w:rFonts w:cstheme="minorHAnsi"/>
                <w:sz w:val="20"/>
                <w:szCs w:val="20"/>
              </w:rPr>
              <w:t xml:space="preserve"> delay payments until reports have been received from the payee for the reporting period.</w:t>
            </w:r>
            <w:r w:rsidR="00745E54" w:rsidRPr="00EB4438">
              <w:rPr>
                <w:rFonts w:cstheme="minorHAnsi"/>
                <w:sz w:val="20"/>
                <w:szCs w:val="20"/>
              </w:rPr>
              <w:t xml:space="preserve">  </w:t>
            </w:r>
          </w:p>
        </w:tc>
      </w:tr>
      <w:tr w:rsidR="00745E54" w:rsidRPr="007B75AC" w14:paraId="29246C04" w14:textId="77777777" w:rsidTr="00816A24">
        <w:tc>
          <w:tcPr>
            <w:tcW w:w="2700" w:type="dxa"/>
          </w:tcPr>
          <w:p w14:paraId="47B9AD10" w14:textId="2A28125C" w:rsidR="00745E54" w:rsidRPr="00EB4438" w:rsidRDefault="00745E54" w:rsidP="00493C98">
            <w:pPr>
              <w:rPr>
                <w:rFonts w:cstheme="minorHAnsi"/>
                <w:b/>
                <w:sz w:val="20"/>
                <w:szCs w:val="20"/>
              </w:rPr>
            </w:pPr>
            <w:r w:rsidRPr="00EB4438">
              <w:rPr>
                <w:rFonts w:cstheme="minorHAnsi"/>
                <w:b/>
                <w:sz w:val="20"/>
                <w:szCs w:val="20"/>
              </w:rPr>
              <w:t>REPORT REVISIONS:</w:t>
            </w:r>
          </w:p>
        </w:tc>
        <w:tc>
          <w:tcPr>
            <w:tcW w:w="8005" w:type="dxa"/>
          </w:tcPr>
          <w:p w14:paraId="3931089E" w14:textId="7DEDA137" w:rsidR="00745E54" w:rsidRPr="00EB4438" w:rsidRDefault="00745E54" w:rsidP="00121CFF">
            <w:pPr>
              <w:rPr>
                <w:rFonts w:cstheme="minorHAnsi"/>
                <w:sz w:val="20"/>
                <w:szCs w:val="20"/>
              </w:rPr>
            </w:pPr>
            <w:r w:rsidRPr="00EB4438">
              <w:rPr>
                <w:sz w:val="20"/>
                <w:szCs w:val="20"/>
              </w:rPr>
              <w:t xml:space="preserve">OHA will accept </w:t>
            </w:r>
            <w:r w:rsidRPr="00EB4438">
              <w:rPr>
                <w:i/>
                <w:sz w:val="20"/>
                <w:szCs w:val="20"/>
              </w:rPr>
              <w:t>revised</w:t>
            </w:r>
            <w:r w:rsidRPr="00EB4438">
              <w:rPr>
                <w:sz w:val="20"/>
                <w:szCs w:val="20"/>
              </w:rPr>
              <w:t xml:space="preserve"> revenue and expenditure reports up to 30 calendar days after the due date for the first, second and third quarter expenditure reports.  OHA will accept </w:t>
            </w:r>
            <w:r w:rsidRPr="00EB4438">
              <w:rPr>
                <w:i/>
                <w:sz w:val="20"/>
                <w:szCs w:val="20"/>
              </w:rPr>
              <w:t>revised</w:t>
            </w:r>
            <w:r w:rsidRPr="00EB4438">
              <w:rPr>
                <w:sz w:val="20"/>
                <w:szCs w:val="20"/>
              </w:rPr>
              <w:t xml:space="preserve"> reports up to 14 days after the fourth quarter expenditure report due date.  </w:t>
            </w:r>
          </w:p>
        </w:tc>
      </w:tr>
      <w:tr w:rsidR="00303595" w:rsidRPr="007B75AC" w14:paraId="2E95C511" w14:textId="77777777" w:rsidTr="00816A24">
        <w:tc>
          <w:tcPr>
            <w:tcW w:w="2700" w:type="dxa"/>
          </w:tcPr>
          <w:p w14:paraId="5EC585C2" w14:textId="77777777" w:rsidR="00303595" w:rsidRPr="00EB4438" w:rsidRDefault="00493C98" w:rsidP="00493C98">
            <w:pPr>
              <w:rPr>
                <w:rFonts w:cstheme="minorHAnsi"/>
                <w:b/>
                <w:sz w:val="20"/>
                <w:szCs w:val="20"/>
              </w:rPr>
            </w:pPr>
            <w:r w:rsidRPr="00EB4438">
              <w:rPr>
                <w:rFonts w:cstheme="minorHAnsi"/>
                <w:b/>
                <w:sz w:val="20"/>
                <w:szCs w:val="20"/>
              </w:rPr>
              <w:t>WHAT TO SUBMIT:</w:t>
            </w:r>
          </w:p>
        </w:tc>
        <w:tc>
          <w:tcPr>
            <w:tcW w:w="8005" w:type="dxa"/>
          </w:tcPr>
          <w:p w14:paraId="5AA95E5C" w14:textId="71EA5B45" w:rsidR="00303595" w:rsidRPr="00EB4438" w:rsidRDefault="00493C98" w:rsidP="00121CFF">
            <w:pPr>
              <w:rPr>
                <w:rFonts w:cstheme="minorHAnsi"/>
                <w:sz w:val="20"/>
                <w:szCs w:val="20"/>
              </w:rPr>
            </w:pPr>
            <w:r w:rsidRPr="00EB4438">
              <w:rPr>
                <w:rFonts w:cstheme="minorHAnsi"/>
                <w:sz w:val="20"/>
                <w:szCs w:val="20"/>
              </w:rPr>
              <w:t xml:space="preserve">Submit both the main Expenditure and Revenue Report and the Other Services &amp; Supplies Expenditures (Other S&amp;S) </w:t>
            </w:r>
            <w:r w:rsidR="00121CFF" w:rsidRPr="00EB4438">
              <w:rPr>
                <w:rFonts w:cstheme="minorHAnsi"/>
                <w:sz w:val="20"/>
                <w:szCs w:val="20"/>
              </w:rPr>
              <w:t>F</w:t>
            </w:r>
            <w:r w:rsidRPr="00EB4438">
              <w:rPr>
                <w:rFonts w:cstheme="minorHAnsi"/>
                <w:sz w:val="20"/>
                <w:szCs w:val="20"/>
              </w:rPr>
              <w:t>orm.</w:t>
            </w:r>
            <w:r w:rsidR="007833A9">
              <w:rPr>
                <w:rFonts w:cstheme="minorHAnsi"/>
                <w:sz w:val="20"/>
                <w:szCs w:val="20"/>
              </w:rPr>
              <w:t xml:space="preserve"> WIC programs must submit a general ledger report quarterly.</w:t>
            </w:r>
            <w:bookmarkStart w:id="0" w:name="_GoBack"/>
            <w:bookmarkEnd w:id="0"/>
          </w:p>
        </w:tc>
      </w:tr>
      <w:tr w:rsidR="00A22D83" w:rsidRPr="007B75AC" w14:paraId="579BDF9A" w14:textId="77777777" w:rsidTr="00121CFF">
        <w:trPr>
          <w:trHeight w:val="458"/>
        </w:trPr>
        <w:tc>
          <w:tcPr>
            <w:tcW w:w="10705" w:type="dxa"/>
            <w:gridSpan w:val="2"/>
            <w:shd w:val="clear" w:color="auto" w:fill="E7E6E6" w:themeFill="background2"/>
            <w:vAlign w:val="center"/>
          </w:tcPr>
          <w:p w14:paraId="42B5E841" w14:textId="77777777" w:rsidR="00A22D83" w:rsidRPr="007B75AC" w:rsidRDefault="00A22D83" w:rsidP="00A22D83">
            <w:pPr>
              <w:jc w:val="center"/>
              <w:rPr>
                <w:rFonts w:cstheme="minorHAnsi"/>
                <w:b/>
                <w:sz w:val="20"/>
                <w:szCs w:val="20"/>
              </w:rPr>
            </w:pPr>
            <w:r w:rsidRPr="007B75AC">
              <w:rPr>
                <w:rFonts w:cstheme="minorHAnsi"/>
                <w:b/>
                <w:sz w:val="20"/>
                <w:szCs w:val="20"/>
              </w:rPr>
              <w:t>INSTRUCTIONS FOR COMPLETING THE FORM</w:t>
            </w:r>
          </w:p>
        </w:tc>
      </w:tr>
      <w:tr w:rsidR="00BD7B41" w:rsidRPr="007B75AC" w14:paraId="733F1723" w14:textId="77777777" w:rsidTr="00121CFF">
        <w:tc>
          <w:tcPr>
            <w:tcW w:w="10705" w:type="dxa"/>
            <w:gridSpan w:val="2"/>
          </w:tcPr>
          <w:p w14:paraId="11DDF68F" w14:textId="77777777" w:rsidR="00DB7945" w:rsidRPr="007B75AC" w:rsidRDefault="00BD7B41" w:rsidP="00BD7B41">
            <w:pPr>
              <w:rPr>
                <w:rFonts w:cstheme="minorHAnsi"/>
                <w:sz w:val="20"/>
                <w:szCs w:val="20"/>
              </w:rPr>
            </w:pPr>
            <w:r w:rsidRPr="007B75AC">
              <w:rPr>
                <w:rFonts w:cstheme="minorHAnsi"/>
                <w:sz w:val="20"/>
                <w:szCs w:val="20"/>
              </w:rPr>
              <w:t>Rep</w:t>
            </w:r>
            <w:r w:rsidR="00926006" w:rsidRPr="007B75AC">
              <w:rPr>
                <w:rFonts w:cstheme="minorHAnsi"/>
                <w:sz w:val="20"/>
                <w:szCs w:val="20"/>
              </w:rPr>
              <w:t xml:space="preserve">ort expenditures for both </w:t>
            </w:r>
            <w:r w:rsidR="008332F7" w:rsidRPr="007B75AC">
              <w:rPr>
                <w:rFonts w:cstheme="minorHAnsi"/>
                <w:sz w:val="20"/>
                <w:szCs w:val="20"/>
              </w:rPr>
              <w:t xml:space="preserve">Non-OHA/PHD </w:t>
            </w:r>
            <w:r w:rsidR="00926006" w:rsidRPr="007B75AC">
              <w:rPr>
                <w:rFonts w:cstheme="minorHAnsi"/>
                <w:sz w:val="20"/>
                <w:szCs w:val="20"/>
              </w:rPr>
              <w:t xml:space="preserve">and OHA/PHD </w:t>
            </w:r>
            <w:r w:rsidRPr="007B75AC">
              <w:rPr>
                <w:rFonts w:cstheme="minorHAnsi"/>
                <w:sz w:val="20"/>
                <w:szCs w:val="20"/>
              </w:rPr>
              <w:t>funds for which reimbursement is being claimed. This reporting feature is necessary for programs due to the requirement of matching federal dollars with state and/or local dollars.</w:t>
            </w:r>
            <w:r w:rsidR="00DB7945" w:rsidRPr="007B75AC">
              <w:rPr>
                <w:rFonts w:cstheme="minorHAnsi"/>
                <w:sz w:val="20"/>
                <w:szCs w:val="20"/>
              </w:rPr>
              <w:t xml:space="preserve"> </w:t>
            </w:r>
          </w:p>
          <w:p w14:paraId="0B4876BD" w14:textId="77777777" w:rsidR="00BD7B41" w:rsidRPr="007B75AC" w:rsidRDefault="00BD7B41" w:rsidP="00DB7945">
            <w:pPr>
              <w:pStyle w:val="ListParagraph"/>
              <w:numPr>
                <w:ilvl w:val="0"/>
                <w:numId w:val="2"/>
              </w:numPr>
              <w:rPr>
                <w:rFonts w:cstheme="minorHAnsi"/>
                <w:sz w:val="20"/>
                <w:szCs w:val="20"/>
              </w:rPr>
            </w:pPr>
            <w:r w:rsidRPr="007B75AC">
              <w:rPr>
                <w:rFonts w:cstheme="minorHAnsi"/>
                <w:sz w:val="20"/>
                <w:szCs w:val="20"/>
              </w:rPr>
              <w:t xml:space="preserve">YEAR TO DATE expenditures are reported when payment is made or a legal obligation is incurred. </w:t>
            </w:r>
          </w:p>
          <w:p w14:paraId="75FFD945" w14:textId="77777777" w:rsidR="00BD7B41" w:rsidRPr="007B75AC" w:rsidRDefault="00BD7B41" w:rsidP="00DB7945">
            <w:pPr>
              <w:pStyle w:val="ListParagraph"/>
              <w:numPr>
                <w:ilvl w:val="0"/>
                <w:numId w:val="2"/>
              </w:numPr>
              <w:rPr>
                <w:rFonts w:cstheme="minorHAnsi"/>
                <w:sz w:val="20"/>
                <w:szCs w:val="20"/>
              </w:rPr>
            </w:pPr>
            <w:r w:rsidRPr="007B75AC">
              <w:rPr>
                <w:rFonts w:cstheme="minorHAnsi"/>
                <w:sz w:val="20"/>
                <w:szCs w:val="20"/>
              </w:rPr>
              <w:t>YEAR TO DATE revenue is reported when recognized.</w:t>
            </w:r>
            <w:r w:rsidRPr="007B75AC">
              <w:rPr>
                <w:rFonts w:cstheme="minorHAnsi"/>
                <w:sz w:val="20"/>
                <w:szCs w:val="20"/>
              </w:rPr>
              <w:tab/>
            </w:r>
            <w:r w:rsidRPr="007B75AC">
              <w:rPr>
                <w:rFonts w:cstheme="minorHAnsi"/>
                <w:sz w:val="20"/>
                <w:szCs w:val="20"/>
              </w:rPr>
              <w:tab/>
            </w:r>
            <w:r w:rsidRPr="007B75AC">
              <w:rPr>
                <w:rFonts w:cstheme="minorHAnsi"/>
                <w:sz w:val="20"/>
                <w:szCs w:val="20"/>
              </w:rPr>
              <w:tab/>
            </w:r>
            <w:r w:rsidRPr="007B75AC">
              <w:rPr>
                <w:rFonts w:cstheme="minorHAnsi"/>
                <w:sz w:val="20"/>
                <w:szCs w:val="20"/>
              </w:rPr>
              <w:tab/>
            </w:r>
            <w:r w:rsidRPr="007B75AC">
              <w:rPr>
                <w:rFonts w:cstheme="minorHAnsi"/>
                <w:sz w:val="20"/>
                <w:szCs w:val="20"/>
              </w:rPr>
              <w:tab/>
            </w:r>
            <w:r w:rsidRPr="007B75AC">
              <w:rPr>
                <w:rFonts w:cstheme="minorHAnsi"/>
                <w:sz w:val="20"/>
                <w:szCs w:val="20"/>
              </w:rPr>
              <w:tab/>
            </w:r>
            <w:r w:rsidRPr="007B75AC">
              <w:rPr>
                <w:rFonts w:cstheme="minorHAnsi"/>
                <w:sz w:val="20"/>
                <w:szCs w:val="20"/>
              </w:rPr>
              <w:tab/>
            </w:r>
          </w:p>
        </w:tc>
      </w:tr>
      <w:tr w:rsidR="00E80EDA" w:rsidRPr="007B75AC" w14:paraId="5D0A7AD4" w14:textId="77777777" w:rsidTr="00121CFF">
        <w:tc>
          <w:tcPr>
            <w:tcW w:w="10705" w:type="dxa"/>
            <w:gridSpan w:val="2"/>
          </w:tcPr>
          <w:p w14:paraId="56678948" w14:textId="77777777" w:rsidR="00E80EDA" w:rsidRPr="007B75AC" w:rsidRDefault="00E80EDA" w:rsidP="00BD7B41">
            <w:pPr>
              <w:rPr>
                <w:rFonts w:cstheme="minorHAnsi"/>
                <w:sz w:val="20"/>
                <w:szCs w:val="20"/>
              </w:rPr>
            </w:pPr>
          </w:p>
        </w:tc>
      </w:tr>
      <w:tr w:rsidR="004E5482" w:rsidRPr="007B75AC" w14:paraId="693CB210" w14:textId="77777777" w:rsidTr="0092296A">
        <w:tc>
          <w:tcPr>
            <w:tcW w:w="10705" w:type="dxa"/>
            <w:gridSpan w:val="2"/>
          </w:tcPr>
          <w:p w14:paraId="7616F187" w14:textId="77777777" w:rsidR="004E5482" w:rsidRPr="007B75AC" w:rsidRDefault="004E5482" w:rsidP="004E5482">
            <w:pPr>
              <w:rPr>
                <w:rFonts w:cstheme="minorHAnsi"/>
                <w:sz w:val="20"/>
                <w:szCs w:val="20"/>
              </w:rPr>
            </w:pPr>
            <w:r w:rsidRPr="007B75AC">
              <w:rPr>
                <w:rFonts w:cstheme="minorHAnsi"/>
                <w:b/>
                <w:sz w:val="20"/>
                <w:szCs w:val="20"/>
              </w:rPr>
              <w:t xml:space="preserve">OHA/PHD:  </w:t>
            </w:r>
            <w:r w:rsidRPr="007B75AC">
              <w:rPr>
                <w:rFonts w:cstheme="minorHAnsi"/>
                <w:sz w:val="20"/>
                <w:szCs w:val="20"/>
              </w:rPr>
              <w:t>Oregon Health Authority/Public Health Division</w:t>
            </w:r>
          </w:p>
        </w:tc>
      </w:tr>
      <w:tr w:rsidR="004E5482" w:rsidRPr="007B75AC" w14:paraId="76FDB992" w14:textId="77777777" w:rsidTr="00AB493C">
        <w:tc>
          <w:tcPr>
            <w:tcW w:w="10705" w:type="dxa"/>
            <w:gridSpan w:val="2"/>
          </w:tcPr>
          <w:p w14:paraId="588810EA" w14:textId="77777777" w:rsidR="004E5482" w:rsidRPr="007B75AC" w:rsidRDefault="004E5482" w:rsidP="004E5482">
            <w:pPr>
              <w:rPr>
                <w:rFonts w:cstheme="minorHAnsi"/>
                <w:sz w:val="20"/>
                <w:szCs w:val="20"/>
              </w:rPr>
            </w:pPr>
            <w:r w:rsidRPr="007B75AC">
              <w:rPr>
                <w:rFonts w:cstheme="minorHAnsi"/>
                <w:sz w:val="20"/>
                <w:szCs w:val="20"/>
              </w:rPr>
              <w:t xml:space="preserve">Enter your </w:t>
            </w:r>
            <w:r w:rsidRPr="007B75AC">
              <w:rPr>
                <w:rFonts w:cstheme="minorHAnsi"/>
                <w:b/>
                <w:sz w:val="20"/>
                <w:szCs w:val="20"/>
              </w:rPr>
              <w:t>Agency</w:t>
            </w:r>
            <w:r w:rsidRPr="007B75AC">
              <w:rPr>
                <w:rFonts w:cstheme="minorHAnsi"/>
                <w:sz w:val="20"/>
                <w:szCs w:val="20"/>
              </w:rPr>
              <w:t xml:space="preserve"> name, </w:t>
            </w:r>
            <w:r w:rsidRPr="007B75AC">
              <w:rPr>
                <w:rFonts w:cstheme="minorHAnsi"/>
                <w:b/>
                <w:sz w:val="20"/>
                <w:szCs w:val="20"/>
              </w:rPr>
              <w:t>Program Element Number and Title</w:t>
            </w:r>
            <w:r w:rsidRPr="007B75AC">
              <w:rPr>
                <w:rFonts w:cstheme="minorHAnsi"/>
                <w:sz w:val="20"/>
                <w:szCs w:val="20"/>
              </w:rPr>
              <w:t xml:space="preserve">, and </w:t>
            </w:r>
            <w:r w:rsidRPr="007B75AC">
              <w:rPr>
                <w:rFonts w:cstheme="minorHAnsi"/>
                <w:b/>
                <w:sz w:val="20"/>
                <w:szCs w:val="20"/>
              </w:rPr>
              <w:t xml:space="preserve">Fiscal Year </w:t>
            </w:r>
            <w:r w:rsidRPr="007B75AC">
              <w:rPr>
                <w:rFonts w:cstheme="minorHAnsi"/>
                <w:sz w:val="20"/>
                <w:szCs w:val="20"/>
              </w:rPr>
              <w:t>start and end dates.</w:t>
            </w:r>
          </w:p>
        </w:tc>
      </w:tr>
      <w:tr w:rsidR="004E5482" w:rsidRPr="007B75AC" w14:paraId="68386E2F" w14:textId="77777777" w:rsidTr="00373EE9">
        <w:tc>
          <w:tcPr>
            <w:tcW w:w="10705" w:type="dxa"/>
            <w:gridSpan w:val="2"/>
          </w:tcPr>
          <w:p w14:paraId="7EC50AB3" w14:textId="77777777" w:rsidR="004E5482" w:rsidRPr="007B75AC" w:rsidRDefault="004E5482" w:rsidP="00303595">
            <w:pPr>
              <w:rPr>
                <w:rFonts w:cstheme="minorHAnsi"/>
                <w:sz w:val="20"/>
                <w:szCs w:val="20"/>
              </w:rPr>
            </w:pPr>
            <w:r w:rsidRPr="007B75AC">
              <w:rPr>
                <w:rFonts w:cstheme="minorHAnsi"/>
                <w:sz w:val="20"/>
                <w:szCs w:val="20"/>
              </w:rPr>
              <w:t>Gray shaded areas do not need to be filled out.</w:t>
            </w:r>
          </w:p>
        </w:tc>
      </w:tr>
      <w:tr w:rsidR="00303595" w:rsidRPr="007B75AC" w14:paraId="16BF9496" w14:textId="77777777" w:rsidTr="00816A24">
        <w:trPr>
          <w:trHeight w:val="98"/>
        </w:trPr>
        <w:tc>
          <w:tcPr>
            <w:tcW w:w="2700" w:type="dxa"/>
          </w:tcPr>
          <w:p w14:paraId="57E7F656" w14:textId="77777777" w:rsidR="00303595" w:rsidRPr="007B75AC" w:rsidRDefault="00303595" w:rsidP="00303595">
            <w:pPr>
              <w:rPr>
                <w:rFonts w:cstheme="minorHAnsi"/>
                <w:b/>
                <w:sz w:val="20"/>
                <w:szCs w:val="20"/>
              </w:rPr>
            </w:pPr>
          </w:p>
        </w:tc>
        <w:tc>
          <w:tcPr>
            <w:tcW w:w="8005" w:type="dxa"/>
          </w:tcPr>
          <w:p w14:paraId="78E22558" w14:textId="77777777" w:rsidR="00303595" w:rsidRPr="007B75AC" w:rsidRDefault="00303595" w:rsidP="00303595">
            <w:pPr>
              <w:rPr>
                <w:rFonts w:cstheme="minorHAnsi"/>
                <w:sz w:val="20"/>
                <w:szCs w:val="20"/>
              </w:rPr>
            </w:pPr>
          </w:p>
        </w:tc>
      </w:tr>
      <w:tr w:rsidR="00303595" w:rsidRPr="007B75AC" w14:paraId="294B894A" w14:textId="77777777" w:rsidTr="00816A24">
        <w:tc>
          <w:tcPr>
            <w:tcW w:w="2700" w:type="dxa"/>
            <w:shd w:val="clear" w:color="auto" w:fill="E7E6E6" w:themeFill="background2"/>
          </w:tcPr>
          <w:p w14:paraId="4EB3FC75" w14:textId="77777777" w:rsidR="00303595" w:rsidRPr="007B75AC" w:rsidRDefault="00303595" w:rsidP="00303595">
            <w:pPr>
              <w:pStyle w:val="ListParagraph"/>
              <w:numPr>
                <w:ilvl w:val="0"/>
                <w:numId w:val="1"/>
              </w:numPr>
              <w:rPr>
                <w:rFonts w:cstheme="minorHAnsi"/>
                <w:b/>
                <w:sz w:val="20"/>
                <w:szCs w:val="20"/>
              </w:rPr>
            </w:pPr>
            <w:r w:rsidRPr="007B75AC">
              <w:rPr>
                <w:rFonts w:cstheme="minorHAnsi"/>
                <w:b/>
                <w:sz w:val="20"/>
                <w:szCs w:val="20"/>
              </w:rPr>
              <w:t>REVENUE</w:t>
            </w:r>
          </w:p>
        </w:tc>
        <w:tc>
          <w:tcPr>
            <w:tcW w:w="8005" w:type="dxa"/>
            <w:shd w:val="clear" w:color="auto" w:fill="E7E6E6" w:themeFill="background2"/>
          </w:tcPr>
          <w:p w14:paraId="69E8F6A8" w14:textId="77777777" w:rsidR="00303595" w:rsidRPr="007B75AC" w:rsidRDefault="00303595" w:rsidP="00A25242">
            <w:pPr>
              <w:rPr>
                <w:rFonts w:cstheme="minorHAnsi"/>
                <w:b/>
                <w:sz w:val="20"/>
                <w:szCs w:val="20"/>
              </w:rPr>
            </w:pPr>
            <w:r w:rsidRPr="007B75AC">
              <w:rPr>
                <w:rFonts w:cstheme="minorHAnsi"/>
                <w:b/>
                <w:sz w:val="20"/>
                <w:szCs w:val="20"/>
              </w:rPr>
              <w:t xml:space="preserve">Revenues that support program are to be entered for each quarter of the state fiscal year as either </w:t>
            </w:r>
            <w:r w:rsidR="00A25242">
              <w:rPr>
                <w:rFonts w:cstheme="minorHAnsi"/>
                <w:b/>
                <w:sz w:val="20"/>
                <w:szCs w:val="20"/>
              </w:rPr>
              <w:t>Program</w:t>
            </w:r>
            <w:r w:rsidRPr="007B75AC">
              <w:rPr>
                <w:rFonts w:cstheme="minorHAnsi"/>
                <w:b/>
                <w:sz w:val="20"/>
                <w:szCs w:val="20"/>
              </w:rPr>
              <w:t xml:space="preserve"> Revenue or </w:t>
            </w:r>
            <w:r w:rsidR="00A26B10" w:rsidRPr="007B75AC">
              <w:rPr>
                <w:rFonts w:cstheme="minorHAnsi"/>
                <w:b/>
                <w:sz w:val="20"/>
                <w:szCs w:val="20"/>
              </w:rPr>
              <w:t>Non-O</w:t>
            </w:r>
            <w:r w:rsidRPr="007B75AC">
              <w:rPr>
                <w:rFonts w:cstheme="minorHAnsi"/>
                <w:b/>
                <w:sz w:val="20"/>
                <w:szCs w:val="20"/>
              </w:rPr>
              <w:t>HA/PHD Revenue.</w:t>
            </w:r>
          </w:p>
        </w:tc>
      </w:tr>
      <w:tr w:rsidR="00303595" w:rsidRPr="007B75AC" w14:paraId="16F11FFD" w14:textId="77777777" w:rsidTr="00816A24">
        <w:tc>
          <w:tcPr>
            <w:tcW w:w="2700" w:type="dxa"/>
          </w:tcPr>
          <w:p w14:paraId="51DE91D5" w14:textId="77777777" w:rsidR="00303595" w:rsidRPr="007B75AC" w:rsidRDefault="00A25242" w:rsidP="00303595">
            <w:pPr>
              <w:rPr>
                <w:rFonts w:cstheme="minorHAnsi"/>
                <w:b/>
                <w:sz w:val="20"/>
                <w:szCs w:val="20"/>
              </w:rPr>
            </w:pPr>
            <w:r>
              <w:rPr>
                <w:rFonts w:cstheme="minorHAnsi"/>
                <w:b/>
                <w:sz w:val="20"/>
                <w:szCs w:val="20"/>
              </w:rPr>
              <w:t>Program</w:t>
            </w:r>
            <w:r w:rsidR="00303595" w:rsidRPr="007B75AC">
              <w:rPr>
                <w:rFonts w:cstheme="minorHAnsi"/>
                <w:b/>
                <w:sz w:val="20"/>
                <w:szCs w:val="20"/>
              </w:rPr>
              <w:t xml:space="preserve"> Revenue</w:t>
            </w:r>
          </w:p>
          <w:p w14:paraId="628D69D3" w14:textId="77777777" w:rsidR="00303595" w:rsidRPr="007B75AC" w:rsidRDefault="00303595" w:rsidP="00303595">
            <w:pPr>
              <w:rPr>
                <w:rFonts w:cstheme="minorHAnsi"/>
                <w:b/>
                <w:sz w:val="20"/>
                <w:szCs w:val="20"/>
              </w:rPr>
            </w:pPr>
          </w:p>
          <w:p w14:paraId="6621AE80" w14:textId="77777777" w:rsidR="00303595" w:rsidRPr="007B75AC" w:rsidRDefault="00303595" w:rsidP="00303595">
            <w:pPr>
              <w:rPr>
                <w:rFonts w:cstheme="minorHAnsi"/>
                <w:b/>
                <w:sz w:val="20"/>
                <w:szCs w:val="20"/>
              </w:rPr>
            </w:pPr>
          </w:p>
        </w:tc>
        <w:tc>
          <w:tcPr>
            <w:tcW w:w="8005" w:type="dxa"/>
          </w:tcPr>
          <w:p w14:paraId="35303F17" w14:textId="77777777" w:rsidR="005B6807" w:rsidRPr="007B75AC" w:rsidRDefault="00550830" w:rsidP="00A25242">
            <w:pPr>
              <w:rPr>
                <w:rFonts w:cstheme="minorHAnsi"/>
                <w:sz w:val="20"/>
                <w:szCs w:val="20"/>
              </w:rPr>
            </w:pPr>
            <w:r w:rsidRPr="007B75AC">
              <w:rPr>
                <w:rFonts w:cstheme="minorHAnsi"/>
                <w:sz w:val="20"/>
                <w:szCs w:val="20"/>
              </w:rPr>
              <w:t>Report</w:t>
            </w:r>
            <w:r w:rsidR="00303595" w:rsidRPr="007B75AC">
              <w:rPr>
                <w:rFonts w:cstheme="minorHAnsi"/>
                <w:sz w:val="20"/>
                <w:szCs w:val="20"/>
              </w:rPr>
              <w:t xml:space="preserve"> this income in Section A. PROGRAM INCOME/REVENUE, </w:t>
            </w:r>
            <w:r w:rsidR="00A25242">
              <w:rPr>
                <w:rFonts w:cstheme="minorHAnsi"/>
                <w:sz w:val="20"/>
                <w:szCs w:val="20"/>
              </w:rPr>
              <w:t>Program</w:t>
            </w:r>
            <w:r w:rsidR="00303595" w:rsidRPr="007B75AC">
              <w:rPr>
                <w:rFonts w:cstheme="minorHAnsi"/>
                <w:sz w:val="20"/>
                <w:szCs w:val="20"/>
              </w:rPr>
              <w:t xml:space="preserve"> Revenue column, Lines 1 through 4</w:t>
            </w:r>
            <w:r w:rsidR="004B758D" w:rsidRPr="007B75AC">
              <w:rPr>
                <w:rFonts w:cstheme="minorHAnsi"/>
                <w:sz w:val="20"/>
                <w:szCs w:val="20"/>
              </w:rPr>
              <w:t>,</w:t>
            </w:r>
            <w:r w:rsidR="00303595" w:rsidRPr="007B75AC">
              <w:rPr>
                <w:rFonts w:cstheme="minorHAnsi"/>
                <w:sz w:val="20"/>
                <w:szCs w:val="20"/>
              </w:rPr>
              <w:t xml:space="preserve"> for each quarter.</w:t>
            </w:r>
            <w:r w:rsidR="004E5482" w:rsidRPr="007B75AC">
              <w:rPr>
                <w:rFonts w:cstheme="minorHAnsi"/>
                <w:sz w:val="20"/>
                <w:szCs w:val="20"/>
              </w:rPr>
              <w:t xml:space="preserve"> </w:t>
            </w:r>
            <w:r w:rsidR="00A25242">
              <w:rPr>
                <w:rFonts w:cstheme="minorHAnsi"/>
                <w:sz w:val="20"/>
                <w:szCs w:val="20"/>
              </w:rPr>
              <w:t>P</w:t>
            </w:r>
            <w:r w:rsidR="005B6807" w:rsidRPr="007B75AC">
              <w:rPr>
                <w:rFonts w:cstheme="minorHAnsi"/>
                <w:sz w:val="20"/>
                <w:szCs w:val="20"/>
              </w:rPr>
              <w:t>rogram income will be deducted from total OHA/PHD expenditures.</w:t>
            </w:r>
          </w:p>
        </w:tc>
      </w:tr>
      <w:tr w:rsidR="003D28EF" w:rsidRPr="007B75AC" w14:paraId="56749E6A" w14:textId="77777777" w:rsidTr="00816A24">
        <w:trPr>
          <w:trHeight w:val="332"/>
        </w:trPr>
        <w:tc>
          <w:tcPr>
            <w:tcW w:w="2700" w:type="dxa"/>
          </w:tcPr>
          <w:p w14:paraId="3B64DD17" w14:textId="77777777" w:rsidR="003D28EF" w:rsidRPr="007B75AC" w:rsidRDefault="003D28EF" w:rsidP="003D28EF">
            <w:pPr>
              <w:rPr>
                <w:rFonts w:cstheme="minorHAnsi"/>
                <w:b/>
                <w:sz w:val="20"/>
                <w:szCs w:val="20"/>
              </w:rPr>
            </w:pPr>
            <w:r w:rsidRPr="007B75AC">
              <w:rPr>
                <w:rFonts w:cstheme="minorHAnsi"/>
                <w:b/>
                <w:sz w:val="20"/>
                <w:szCs w:val="20"/>
              </w:rPr>
              <w:t>TOTAL PROGRAM INCOME</w:t>
            </w:r>
          </w:p>
        </w:tc>
        <w:tc>
          <w:tcPr>
            <w:tcW w:w="8005" w:type="dxa"/>
          </w:tcPr>
          <w:p w14:paraId="27828D54" w14:textId="77777777" w:rsidR="003D28EF" w:rsidRPr="007B75AC" w:rsidRDefault="00AD01DF" w:rsidP="00A25242">
            <w:pPr>
              <w:rPr>
                <w:rFonts w:cstheme="minorHAnsi"/>
                <w:sz w:val="20"/>
                <w:szCs w:val="20"/>
              </w:rPr>
            </w:pPr>
            <w:r>
              <w:rPr>
                <w:rFonts w:cstheme="minorHAnsi"/>
                <w:sz w:val="20"/>
                <w:szCs w:val="20"/>
              </w:rPr>
              <w:t xml:space="preserve">The </w:t>
            </w:r>
            <w:r w:rsidR="003D28EF" w:rsidRPr="007B75AC">
              <w:rPr>
                <w:rFonts w:cstheme="minorHAnsi"/>
                <w:sz w:val="20"/>
                <w:szCs w:val="20"/>
              </w:rPr>
              <w:t xml:space="preserve">total </w:t>
            </w:r>
            <w:r w:rsidR="00A25242">
              <w:rPr>
                <w:rFonts w:cstheme="minorHAnsi"/>
                <w:sz w:val="20"/>
                <w:szCs w:val="20"/>
              </w:rPr>
              <w:t>Program</w:t>
            </w:r>
            <w:r w:rsidR="003D28EF" w:rsidRPr="007B75AC">
              <w:rPr>
                <w:rFonts w:cstheme="minorHAnsi"/>
                <w:sz w:val="20"/>
                <w:szCs w:val="20"/>
              </w:rPr>
              <w:t xml:space="preserve"> Revenue for each </w:t>
            </w:r>
            <w:r>
              <w:rPr>
                <w:rFonts w:cstheme="minorHAnsi"/>
                <w:sz w:val="20"/>
                <w:szCs w:val="20"/>
              </w:rPr>
              <w:t>quarter and fiscal year to date. On the Excel report template, this is an auto sum field.</w:t>
            </w:r>
          </w:p>
        </w:tc>
      </w:tr>
      <w:tr w:rsidR="003D28EF" w:rsidRPr="007B75AC" w14:paraId="233EE4C7" w14:textId="77777777" w:rsidTr="00816A24">
        <w:tc>
          <w:tcPr>
            <w:tcW w:w="2700" w:type="dxa"/>
          </w:tcPr>
          <w:p w14:paraId="52EE2C9C" w14:textId="77777777" w:rsidR="003D28EF" w:rsidRPr="007B75AC" w:rsidRDefault="003D28EF" w:rsidP="003D28EF">
            <w:pPr>
              <w:rPr>
                <w:rFonts w:cstheme="minorHAnsi"/>
                <w:b/>
                <w:sz w:val="20"/>
                <w:szCs w:val="20"/>
              </w:rPr>
            </w:pPr>
            <w:r w:rsidRPr="007B75AC">
              <w:rPr>
                <w:rFonts w:cstheme="minorHAnsi"/>
                <w:b/>
                <w:sz w:val="20"/>
                <w:szCs w:val="20"/>
              </w:rPr>
              <w:t>Non-OHA/PHD Revenue</w:t>
            </w:r>
          </w:p>
        </w:tc>
        <w:tc>
          <w:tcPr>
            <w:tcW w:w="8005" w:type="dxa"/>
          </w:tcPr>
          <w:p w14:paraId="1632504A" w14:textId="77777777" w:rsidR="003D28EF" w:rsidRPr="007B75AC" w:rsidRDefault="00550830" w:rsidP="00AD01DF">
            <w:pPr>
              <w:rPr>
                <w:rFonts w:cstheme="minorHAnsi"/>
                <w:sz w:val="20"/>
                <w:szCs w:val="20"/>
              </w:rPr>
            </w:pPr>
            <w:r w:rsidRPr="007B75AC">
              <w:rPr>
                <w:rFonts w:cstheme="minorHAnsi"/>
                <w:sz w:val="20"/>
                <w:szCs w:val="20"/>
              </w:rPr>
              <w:t xml:space="preserve">Report </w:t>
            </w:r>
            <w:r w:rsidR="003D28EF" w:rsidRPr="007B75AC">
              <w:rPr>
                <w:rFonts w:cstheme="minorHAnsi"/>
                <w:sz w:val="20"/>
                <w:szCs w:val="20"/>
              </w:rPr>
              <w:t>this revenue in Section A. PROGRAM INCOME/REVENUE, Non</w:t>
            </w:r>
            <w:r w:rsidR="00AD01DF">
              <w:rPr>
                <w:rFonts w:cstheme="minorHAnsi"/>
                <w:sz w:val="20"/>
                <w:szCs w:val="20"/>
              </w:rPr>
              <w:t>-OHA/PHD Revenue column Lines 5 to</w:t>
            </w:r>
            <w:r w:rsidR="003D28EF" w:rsidRPr="007B75AC">
              <w:rPr>
                <w:rFonts w:cstheme="minorHAnsi"/>
                <w:sz w:val="20"/>
                <w:szCs w:val="20"/>
              </w:rPr>
              <w:t xml:space="preserve"> </w:t>
            </w:r>
            <w:r w:rsidR="004D5A6D" w:rsidRPr="007B75AC">
              <w:rPr>
                <w:rFonts w:cstheme="minorHAnsi"/>
                <w:sz w:val="20"/>
                <w:szCs w:val="20"/>
              </w:rPr>
              <w:t>10</w:t>
            </w:r>
            <w:r w:rsidR="003D28EF" w:rsidRPr="007B75AC">
              <w:rPr>
                <w:rFonts w:cstheme="minorHAnsi"/>
                <w:sz w:val="20"/>
                <w:szCs w:val="20"/>
              </w:rPr>
              <w:t>, for each quarter.</w:t>
            </w:r>
            <w:r w:rsidR="00696ADB" w:rsidRPr="007B75AC">
              <w:rPr>
                <w:rFonts w:cstheme="minorHAnsi"/>
                <w:sz w:val="20"/>
                <w:szCs w:val="20"/>
              </w:rPr>
              <w:t xml:space="preserve"> If applicable, </w:t>
            </w:r>
            <w:r w:rsidR="00956F53" w:rsidRPr="007B75AC">
              <w:rPr>
                <w:rFonts w:cstheme="minorHAnsi"/>
                <w:sz w:val="20"/>
                <w:szCs w:val="20"/>
              </w:rPr>
              <w:t>identi</w:t>
            </w:r>
            <w:r w:rsidR="00AD01DF">
              <w:rPr>
                <w:rFonts w:cstheme="minorHAnsi"/>
                <w:sz w:val="20"/>
                <w:szCs w:val="20"/>
              </w:rPr>
              <w:t>f</w:t>
            </w:r>
            <w:r w:rsidR="00956F53" w:rsidRPr="007B75AC">
              <w:rPr>
                <w:rFonts w:cstheme="minorHAnsi"/>
                <w:sz w:val="20"/>
                <w:szCs w:val="20"/>
              </w:rPr>
              <w:t xml:space="preserve">y sources of </w:t>
            </w:r>
            <w:r w:rsidR="00696ADB" w:rsidRPr="007B75AC">
              <w:rPr>
                <w:rFonts w:cstheme="minorHAnsi"/>
                <w:sz w:val="20"/>
                <w:szCs w:val="20"/>
              </w:rPr>
              <w:t>Line 5. Other Local Funds</w:t>
            </w:r>
            <w:r w:rsidR="00956F53" w:rsidRPr="007B75AC">
              <w:rPr>
                <w:rFonts w:cstheme="minorHAnsi"/>
                <w:sz w:val="20"/>
                <w:szCs w:val="20"/>
              </w:rPr>
              <w:t xml:space="preserve"> and specify type of Other for Lines 8 - 10. </w:t>
            </w:r>
            <w:r w:rsidR="003D28EF" w:rsidRPr="007B75AC">
              <w:rPr>
                <w:rFonts w:cstheme="minorHAnsi"/>
                <w:sz w:val="20"/>
                <w:szCs w:val="20"/>
              </w:rPr>
              <w:t>Non-OHA revenue are not subtracted from OHA/PHD expenditures.</w:t>
            </w:r>
          </w:p>
        </w:tc>
      </w:tr>
      <w:tr w:rsidR="003D28EF" w:rsidRPr="007B75AC" w14:paraId="3542EB95" w14:textId="77777777" w:rsidTr="00816A24">
        <w:tc>
          <w:tcPr>
            <w:tcW w:w="2700" w:type="dxa"/>
          </w:tcPr>
          <w:p w14:paraId="3EDB5B1E" w14:textId="77777777" w:rsidR="003D28EF" w:rsidRPr="007B75AC" w:rsidRDefault="003D28EF" w:rsidP="003D28EF">
            <w:pPr>
              <w:rPr>
                <w:rFonts w:cstheme="minorHAnsi"/>
                <w:b/>
                <w:sz w:val="20"/>
                <w:szCs w:val="20"/>
              </w:rPr>
            </w:pPr>
            <w:r w:rsidRPr="007B75AC">
              <w:rPr>
                <w:rFonts w:cstheme="minorHAnsi"/>
                <w:b/>
                <w:sz w:val="20"/>
                <w:szCs w:val="20"/>
              </w:rPr>
              <w:t>TOTAL REVENUE</w:t>
            </w:r>
          </w:p>
        </w:tc>
        <w:tc>
          <w:tcPr>
            <w:tcW w:w="8005" w:type="dxa"/>
          </w:tcPr>
          <w:p w14:paraId="004369EA" w14:textId="77777777" w:rsidR="003D28EF" w:rsidRPr="007B75AC" w:rsidRDefault="00AD01DF" w:rsidP="0068162F">
            <w:pPr>
              <w:rPr>
                <w:rFonts w:cstheme="minorHAnsi"/>
                <w:sz w:val="20"/>
                <w:szCs w:val="20"/>
              </w:rPr>
            </w:pPr>
            <w:r>
              <w:rPr>
                <w:rFonts w:cstheme="minorHAnsi"/>
                <w:sz w:val="20"/>
                <w:szCs w:val="20"/>
              </w:rPr>
              <w:t>T</w:t>
            </w:r>
            <w:r w:rsidR="003D28EF" w:rsidRPr="007B75AC">
              <w:rPr>
                <w:rFonts w:cstheme="minorHAnsi"/>
                <w:sz w:val="20"/>
                <w:szCs w:val="20"/>
              </w:rPr>
              <w:t xml:space="preserve">he total of </w:t>
            </w:r>
            <w:r w:rsidR="00A25242">
              <w:rPr>
                <w:rFonts w:cstheme="minorHAnsi"/>
                <w:sz w:val="20"/>
                <w:szCs w:val="20"/>
              </w:rPr>
              <w:t>P</w:t>
            </w:r>
            <w:r w:rsidR="0068162F">
              <w:rPr>
                <w:rFonts w:cstheme="minorHAnsi"/>
                <w:sz w:val="20"/>
                <w:szCs w:val="20"/>
              </w:rPr>
              <w:t>rogram</w:t>
            </w:r>
            <w:r w:rsidR="003D28EF" w:rsidRPr="007B75AC">
              <w:rPr>
                <w:rFonts w:cstheme="minorHAnsi"/>
                <w:sz w:val="20"/>
                <w:szCs w:val="20"/>
              </w:rPr>
              <w:t xml:space="preserve"> and Non-OHA/PHD revenue for each quarter and fiscal year to date.</w:t>
            </w:r>
            <w:r>
              <w:rPr>
                <w:rFonts w:cstheme="minorHAnsi"/>
                <w:sz w:val="20"/>
                <w:szCs w:val="20"/>
              </w:rPr>
              <w:t xml:space="preserve"> On the Excel report template, this is an auto sum field.</w:t>
            </w:r>
          </w:p>
        </w:tc>
      </w:tr>
      <w:tr w:rsidR="003D28EF" w:rsidRPr="007B75AC" w14:paraId="469957DE" w14:textId="77777777" w:rsidTr="00816A24">
        <w:trPr>
          <w:trHeight w:val="647"/>
        </w:trPr>
        <w:tc>
          <w:tcPr>
            <w:tcW w:w="2700" w:type="dxa"/>
          </w:tcPr>
          <w:p w14:paraId="63548819" w14:textId="77777777" w:rsidR="003D28EF" w:rsidRPr="007B75AC" w:rsidRDefault="003D28EF" w:rsidP="003D28EF">
            <w:pPr>
              <w:rPr>
                <w:rFonts w:cstheme="minorHAnsi"/>
                <w:b/>
                <w:sz w:val="20"/>
                <w:szCs w:val="20"/>
              </w:rPr>
            </w:pPr>
            <w:r w:rsidRPr="007B75AC">
              <w:rPr>
                <w:rFonts w:cstheme="minorHAnsi"/>
                <w:b/>
                <w:sz w:val="20"/>
                <w:szCs w:val="20"/>
              </w:rPr>
              <w:t>Fiscal Year To Date</w:t>
            </w:r>
          </w:p>
        </w:tc>
        <w:tc>
          <w:tcPr>
            <w:tcW w:w="8005" w:type="dxa"/>
          </w:tcPr>
          <w:p w14:paraId="3CF60E8F" w14:textId="77777777" w:rsidR="003D28EF" w:rsidRPr="007B75AC" w:rsidRDefault="00AD01DF" w:rsidP="0068162F">
            <w:pPr>
              <w:rPr>
                <w:rFonts w:cstheme="minorHAnsi"/>
                <w:sz w:val="20"/>
                <w:szCs w:val="20"/>
              </w:rPr>
            </w:pPr>
            <w:r>
              <w:rPr>
                <w:rFonts w:cstheme="minorHAnsi"/>
                <w:sz w:val="20"/>
                <w:szCs w:val="20"/>
              </w:rPr>
              <w:t>T</w:t>
            </w:r>
            <w:r w:rsidR="003D28EF" w:rsidRPr="007B75AC">
              <w:rPr>
                <w:rFonts w:cstheme="minorHAnsi"/>
                <w:sz w:val="20"/>
                <w:szCs w:val="20"/>
              </w:rPr>
              <w:t xml:space="preserve">he YTD total </w:t>
            </w:r>
            <w:r w:rsidR="0068162F">
              <w:rPr>
                <w:rFonts w:cstheme="minorHAnsi"/>
                <w:sz w:val="20"/>
                <w:szCs w:val="20"/>
              </w:rPr>
              <w:t>Program</w:t>
            </w:r>
            <w:r w:rsidR="003D28EF" w:rsidRPr="007B75AC">
              <w:rPr>
                <w:rFonts w:cstheme="minorHAnsi"/>
                <w:sz w:val="20"/>
                <w:szCs w:val="20"/>
              </w:rPr>
              <w:t xml:space="preserve"> or Non-OHA/PHD revenue for each line for the fiscal year.</w:t>
            </w:r>
            <w:r>
              <w:rPr>
                <w:rFonts w:cstheme="minorHAnsi"/>
                <w:sz w:val="20"/>
                <w:szCs w:val="20"/>
              </w:rPr>
              <w:t xml:space="preserve"> On the Excel report template, this is an auto sum field.</w:t>
            </w:r>
          </w:p>
        </w:tc>
      </w:tr>
      <w:tr w:rsidR="003D28EF" w:rsidRPr="007B75AC" w14:paraId="49632087" w14:textId="77777777" w:rsidTr="00816A24">
        <w:trPr>
          <w:trHeight w:val="143"/>
        </w:trPr>
        <w:tc>
          <w:tcPr>
            <w:tcW w:w="2700" w:type="dxa"/>
          </w:tcPr>
          <w:p w14:paraId="03CCCA47" w14:textId="77777777" w:rsidR="003D28EF" w:rsidRPr="007B75AC" w:rsidRDefault="003D28EF" w:rsidP="003D28EF">
            <w:pPr>
              <w:rPr>
                <w:rFonts w:cstheme="minorHAnsi"/>
                <w:b/>
                <w:sz w:val="20"/>
                <w:szCs w:val="20"/>
              </w:rPr>
            </w:pPr>
          </w:p>
        </w:tc>
        <w:tc>
          <w:tcPr>
            <w:tcW w:w="8005" w:type="dxa"/>
          </w:tcPr>
          <w:p w14:paraId="6278A51C" w14:textId="77777777" w:rsidR="003D28EF" w:rsidRPr="007B75AC" w:rsidRDefault="003D28EF" w:rsidP="003D28EF">
            <w:pPr>
              <w:rPr>
                <w:rFonts w:cstheme="minorHAnsi"/>
                <w:sz w:val="20"/>
                <w:szCs w:val="20"/>
              </w:rPr>
            </w:pPr>
          </w:p>
        </w:tc>
      </w:tr>
      <w:tr w:rsidR="003D28EF" w:rsidRPr="007B75AC" w14:paraId="638C04D8" w14:textId="77777777" w:rsidTr="00816A24">
        <w:tc>
          <w:tcPr>
            <w:tcW w:w="2700" w:type="dxa"/>
            <w:shd w:val="clear" w:color="auto" w:fill="E7E6E6" w:themeFill="background2"/>
          </w:tcPr>
          <w:p w14:paraId="7AE3B075" w14:textId="77777777" w:rsidR="003D28EF" w:rsidRPr="007B75AC" w:rsidRDefault="003D28EF" w:rsidP="003D28EF">
            <w:pPr>
              <w:pStyle w:val="ListParagraph"/>
              <w:numPr>
                <w:ilvl w:val="0"/>
                <w:numId w:val="1"/>
              </w:numPr>
              <w:rPr>
                <w:rFonts w:cstheme="minorHAnsi"/>
                <w:b/>
                <w:sz w:val="20"/>
                <w:szCs w:val="20"/>
              </w:rPr>
            </w:pPr>
            <w:r w:rsidRPr="007B75AC">
              <w:rPr>
                <w:rFonts w:cstheme="minorHAnsi"/>
                <w:b/>
                <w:sz w:val="20"/>
                <w:szCs w:val="20"/>
              </w:rPr>
              <w:t>EXPENDIUTRES</w:t>
            </w:r>
          </w:p>
        </w:tc>
        <w:tc>
          <w:tcPr>
            <w:tcW w:w="8005" w:type="dxa"/>
            <w:shd w:val="clear" w:color="auto" w:fill="E7E6E6" w:themeFill="background2"/>
          </w:tcPr>
          <w:p w14:paraId="0BF57B68" w14:textId="77777777" w:rsidR="003D28EF" w:rsidRPr="007B75AC" w:rsidRDefault="003D28EF" w:rsidP="003D28EF">
            <w:pPr>
              <w:rPr>
                <w:rFonts w:cstheme="minorHAnsi"/>
                <w:b/>
                <w:sz w:val="20"/>
                <w:szCs w:val="20"/>
              </w:rPr>
            </w:pPr>
            <w:r w:rsidRPr="007B75AC">
              <w:rPr>
                <w:rFonts w:cstheme="minorHAnsi"/>
                <w:b/>
                <w:sz w:val="20"/>
                <w:szCs w:val="20"/>
              </w:rPr>
              <w:t>Expenditures are to be entered for each quarter of the state fiscal year as either Non-OHA/PHD Expenditures or OHA/PHD Expenditures.</w:t>
            </w:r>
          </w:p>
        </w:tc>
      </w:tr>
      <w:tr w:rsidR="003D28EF" w:rsidRPr="007B75AC" w14:paraId="025746F5" w14:textId="77777777" w:rsidTr="00816A24">
        <w:tc>
          <w:tcPr>
            <w:tcW w:w="2700" w:type="dxa"/>
          </w:tcPr>
          <w:p w14:paraId="0DA2B7ED" w14:textId="77777777" w:rsidR="003D28EF" w:rsidRPr="007B75AC" w:rsidRDefault="003D28EF" w:rsidP="003D28EF">
            <w:pPr>
              <w:rPr>
                <w:rFonts w:cstheme="minorHAnsi"/>
                <w:b/>
                <w:sz w:val="20"/>
                <w:szCs w:val="20"/>
              </w:rPr>
            </w:pPr>
            <w:r w:rsidRPr="007B75AC">
              <w:rPr>
                <w:rFonts w:cstheme="minorHAnsi"/>
                <w:b/>
                <w:sz w:val="20"/>
                <w:szCs w:val="20"/>
              </w:rPr>
              <w:t>Non-OHA/PHD Expenditures</w:t>
            </w:r>
          </w:p>
        </w:tc>
        <w:tc>
          <w:tcPr>
            <w:tcW w:w="8005" w:type="dxa"/>
          </w:tcPr>
          <w:p w14:paraId="3676B054" w14:textId="77777777" w:rsidR="003D28EF" w:rsidRPr="007B75AC" w:rsidRDefault="003D28EF" w:rsidP="003D28EF">
            <w:pPr>
              <w:rPr>
                <w:rFonts w:cstheme="minorHAnsi"/>
                <w:sz w:val="20"/>
                <w:szCs w:val="20"/>
              </w:rPr>
            </w:pPr>
            <w:r w:rsidRPr="007B75AC">
              <w:rPr>
                <w:rFonts w:cstheme="minorHAnsi"/>
                <w:sz w:val="20"/>
                <w:szCs w:val="20"/>
              </w:rPr>
              <w:t>Program expenditures not reimbursed by the OHA Public Health Division.</w:t>
            </w:r>
          </w:p>
        </w:tc>
      </w:tr>
      <w:tr w:rsidR="003D28EF" w:rsidRPr="007B75AC" w14:paraId="761C17A4" w14:textId="77777777" w:rsidTr="00816A24">
        <w:tc>
          <w:tcPr>
            <w:tcW w:w="2700" w:type="dxa"/>
          </w:tcPr>
          <w:p w14:paraId="6949E092" w14:textId="77777777" w:rsidR="003D28EF" w:rsidRPr="007B75AC" w:rsidRDefault="003D28EF" w:rsidP="003D28EF">
            <w:pPr>
              <w:rPr>
                <w:rFonts w:cstheme="minorHAnsi"/>
                <w:b/>
                <w:sz w:val="20"/>
                <w:szCs w:val="20"/>
              </w:rPr>
            </w:pPr>
            <w:r w:rsidRPr="007B75AC">
              <w:rPr>
                <w:rFonts w:cstheme="minorHAnsi"/>
                <w:b/>
                <w:sz w:val="20"/>
                <w:szCs w:val="20"/>
              </w:rPr>
              <w:t>OHA/PHD Expenditures</w:t>
            </w:r>
          </w:p>
        </w:tc>
        <w:tc>
          <w:tcPr>
            <w:tcW w:w="8005" w:type="dxa"/>
          </w:tcPr>
          <w:p w14:paraId="52392A64" w14:textId="77777777" w:rsidR="003D28EF" w:rsidRPr="007B75AC" w:rsidRDefault="003D28EF" w:rsidP="003D28EF">
            <w:pPr>
              <w:rPr>
                <w:rFonts w:cstheme="minorHAnsi"/>
                <w:sz w:val="20"/>
                <w:szCs w:val="20"/>
              </w:rPr>
            </w:pPr>
            <w:r w:rsidRPr="007B75AC">
              <w:rPr>
                <w:rFonts w:cstheme="minorHAnsi"/>
                <w:sz w:val="20"/>
                <w:szCs w:val="20"/>
              </w:rPr>
              <w:t>Reimbursable expenditures less program income.</w:t>
            </w:r>
          </w:p>
        </w:tc>
      </w:tr>
      <w:tr w:rsidR="003D28EF" w:rsidRPr="007B75AC" w14:paraId="3DBDDD1D" w14:textId="77777777" w:rsidTr="00816A24">
        <w:tc>
          <w:tcPr>
            <w:tcW w:w="2700" w:type="dxa"/>
          </w:tcPr>
          <w:p w14:paraId="2EC3DC33" w14:textId="77777777" w:rsidR="003D28EF" w:rsidRPr="007B75AC" w:rsidRDefault="003D28EF" w:rsidP="003D28EF">
            <w:pPr>
              <w:rPr>
                <w:rFonts w:cstheme="minorHAnsi"/>
                <w:b/>
                <w:sz w:val="20"/>
                <w:szCs w:val="20"/>
              </w:rPr>
            </w:pPr>
            <w:r w:rsidRPr="007B75AC">
              <w:rPr>
                <w:rFonts w:cstheme="minorHAnsi"/>
                <w:b/>
                <w:sz w:val="20"/>
                <w:szCs w:val="20"/>
              </w:rPr>
              <w:t>Line 1. Personal Services</w:t>
            </w:r>
          </w:p>
        </w:tc>
        <w:tc>
          <w:tcPr>
            <w:tcW w:w="8005" w:type="dxa"/>
          </w:tcPr>
          <w:p w14:paraId="2AE3607A" w14:textId="77777777" w:rsidR="003D28EF" w:rsidRPr="007B75AC" w:rsidRDefault="003D28EF" w:rsidP="003D28EF">
            <w:pPr>
              <w:rPr>
                <w:rFonts w:cstheme="minorHAnsi"/>
                <w:sz w:val="20"/>
                <w:szCs w:val="20"/>
              </w:rPr>
            </w:pPr>
            <w:r w:rsidRPr="007B75AC">
              <w:rPr>
                <w:rFonts w:cstheme="minorHAnsi"/>
                <w:sz w:val="20"/>
                <w:szCs w:val="20"/>
              </w:rPr>
              <w:t>Report total salaries and benefits that apply to the program for each quarter.</w:t>
            </w:r>
          </w:p>
          <w:p w14:paraId="6FF8FAE4" w14:textId="77777777" w:rsidR="00BB309B" w:rsidRPr="007B75AC" w:rsidRDefault="00D32D3A" w:rsidP="00D32D3A">
            <w:pPr>
              <w:rPr>
                <w:rFonts w:cstheme="minorHAnsi"/>
                <w:sz w:val="20"/>
                <w:szCs w:val="20"/>
              </w:rPr>
            </w:pPr>
            <w:r>
              <w:rPr>
                <w:rFonts w:cstheme="minorHAnsi"/>
                <w:sz w:val="20"/>
                <w:szCs w:val="20"/>
              </w:rPr>
              <w:t>P</w:t>
            </w:r>
            <w:r w:rsidR="00BB309B" w:rsidRPr="007B75AC">
              <w:rPr>
                <w:rFonts w:cstheme="minorHAnsi"/>
                <w:sz w:val="20"/>
                <w:szCs w:val="20"/>
              </w:rPr>
              <w:t>ayroll expenses may vary from month to month</w:t>
            </w:r>
            <w:r w:rsidR="00D529CF" w:rsidRPr="007B75AC">
              <w:rPr>
                <w:rFonts w:cstheme="minorHAnsi"/>
                <w:b/>
                <w:sz w:val="20"/>
                <w:szCs w:val="20"/>
              </w:rPr>
              <w:t xml:space="preserve">. </w:t>
            </w:r>
            <w:r w:rsidR="00D529CF" w:rsidRPr="007B75AC">
              <w:rPr>
                <w:rFonts w:cstheme="minorHAnsi"/>
                <w:sz w:val="20"/>
                <w:szCs w:val="20"/>
              </w:rPr>
              <w:t>Federal guidelines, 2 CFR 225_Appendix B.8. (OMB Circular A-87), require the maintenance of adequate time activity reports for individuals paid from grant funds.</w:t>
            </w:r>
          </w:p>
        </w:tc>
      </w:tr>
      <w:tr w:rsidR="003D28EF" w:rsidRPr="007B75AC" w14:paraId="57726044" w14:textId="77777777" w:rsidTr="00816A24">
        <w:tc>
          <w:tcPr>
            <w:tcW w:w="2700" w:type="dxa"/>
          </w:tcPr>
          <w:p w14:paraId="37D864BF" w14:textId="77777777" w:rsidR="003D28EF" w:rsidRPr="007B75AC" w:rsidRDefault="003D28EF" w:rsidP="003D28EF">
            <w:pPr>
              <w:rPr>
                <w:rFonts w:cstheme="minorHAnsi"/>
                <w:b/>
                <w:sz w:val="20"/>
                <w:szCs w:val="20"/>
              </w:rPr>
            </w:pPr>
            <w:r w:rsidRPr="007B75AC">
              <w:rPr>
                <w:rFonts w:cstheme="minorHAnsi"/>
                <w:b/>
                <w:sz w:val="20"/>
                <w:szCs w:val="20"/>
              </w:rPr>
              <w:t>Line 2. Services and Supplies (Total)</w:t>
            </w:r>
          </w:p>
        </w:tc>
        <w:tc>
          <w:tcPr>
            <w:tcW w:w="8005" w:type="dxa"/>
          </w:tcPr>
          <w:p w14:paraId="039DCA9B" w14:textId="77777777" w:rsidR="003D28EF" w:rsidRPr="007B75AC" w:rsidRDefault="005D6E8D" w:rsidP="005D6E8D">
            <w:pPr>
              <w:rPr>
                <w:rFonts w:cstheme="minorHAnsi"/>
                <w:sz w:val="20"/>
                <w:szCs w:val="20"/>
              </w:rPr>
            </w:pPr>
            <w:r>
              <w:rPr>
                <w:rFonts w:cstheme="minorHAnsi"/>
                <w:sz w:val="20"/>
                <w:szCs w:val="20"/>
              </w:rPr>
              <w:t>T</w:t>
            </w:r>
            <w:r w:rsidR="000E7AC4" w:rsidRPr="007B75AC">
              <w:rPr>
                <w:rFonts w:cstheme="minorHAnsi"/>
                <w:sz w:val="20"/>
                <w:szCs w:val="20"/>
              </w:rPr>
              <w:t xml:space="preserve">he total from </w:t>
            </w:r>
            <w:r w:rsidR="003D28EF" w:rsidRPr="007B75AC">
              <w:rPr>
                <w:rFonts w:cstheme="minorHAnsi"/>
                <w:sz w:val="20"/>
                <w:szCs w:val="20"/>
              </w:rPr>
              <w:t>the four subcategories (Lines 2a. through 2</w:t>
            </w:r>
            <w:r w:rsidR="004B7BF1">
              <w:rPr>
                <w:rFonts w:cstheme="minorHAnsi"/>
                <w:sz w:val="20"/>
                <w:szCs w:val="20"/>
              </w:rPr>
              <w:t>e</w:t>
            </w:r>
            <w:r w:rsidR="003D28EF" w:rsidRPr="007B75AC">
              <w:rPr>
                <w:rFonts w:cstheme="minorHAnsi"/>
                <w:sz w:val="20"/>
                <w:szCs w:val="20"/>
              </w:rPr>
              <w:t>.) below this category.</w:t>
            </w:r>
            <w:r>
              <w:rPr>
                <w:rFonts w:cstheme="minorHAnsi"/>
                <w:sz w:val="20"/>
                <w:szCs w:val="20"/>
              </w:rPr>
              <w:t xml:space="preserve"> On the Excel report template, this is an auto sum field.</w:t>
            </w:r>
          </w:p>
        </w:tc>
      </w:tr>
      <w:tr w:rsidR="003D28EF" w:rsidRPr="007B75AC" w14:paraId="5DFDBF22" w14:textId="77777777" w:rsidTr="00816A24">
        <w:tc>
          <w:tcPr>
            <w:tcW w:w="2700" w:type="dxa"/>
          </w:tcPr>
          <w:p w14:paraId="59E4073D" w14:textId="77777777" w:rsidR="003D28EF" w:rsidRPr="007B75AC" w:rsidRDefault="003D28EF" w:rsidP="003D28EF">
            <w:pPr>
              <w:ind w:left="342"/>
              <w:rPr>
                <w:rFonts w:cstheme="minorHAnsi"/>
                <w:b/>
                <w:sz w:val="20"/>
                <w:szCs w:val="20"/>
              </w:rPr>
            </w:pPr>
            <w:r w:rsidRPr="007B75AC">
              <w:rPr>
                <w:rFonts w:cstheme="minorHAnsi"/>
                <w:b/>
                <w:sz w:val="20"/>
                <w:szCs w:val="20"/>
              </w:rPr>
              <w:t>Line 2a. Professional Services/Contracts</w:t>
            </w:r>
          </w:p>
        </w:tc>
        <w:tc>
          <w:tcPr>
            <w:tcW w:w="8005" w:type="dxa"/>
          </w:tcPr>
          <w:p w14:paraId="1BF696A3" w14:textId="77777777" w:rsidR="003D28EF" w:rsidRPr="007B75AC" w:rsidRDefault="003D28EF" w:rsidP="004E5482">
            <w:pPr>
              <w:rPr>
                <w:rFonts w:cstheme="minorHAnsi"/>
                <w:sz w:val="20"/>
                <w:szCs w:val="20"/>
              </w:rPr>
            </w:pPr>
            <w:r w:rsidRPr="007B75AC">
              <w:rPr>
                <w:rFonts w:cstheme="minorHAnsi"/>
                <w:sz w:val="20"/>
                <w:szCs w:val="20"/>
              </w:rPr>
              <w:t>Report contract and</w:t>
            </w:r>
            <w:r w:rsidR="004E5482" w:rsidRPr="007B75AC">
              <w:rPr>
                <w:rFonts w:cstheme="minorHAnsi"/>
                <w:sz w:val="20"/>
                <w:szCs w:val="20"/>
              </w:rPr>
              <w:t xml:space="preserve"> </w:t>
            </w:r>
            <w:r w:rsidRPr="007B75AC">
              <w:rPr>
                <w:rFonts w:cstheme="minorHAnsi"/>
                <w:sz w:val="20"/>
                <w:szCs w:val="20"/>
              </w:rPr>
              <w:t>other pro</w:t>
            </w:r>
            <w:r w:rsidR="004E5482" w:rsidRPr="007B75AC">
              <w:rPr>
                <w:rFonts w:cstheme="minorHAnsi"/>
                <w:sz w:val="20"/>
                <w:szCs w:val="20"/>
              </w:rPr>
              <w:t>fessional services expenditures for each quarter.</w:t>
            </w:r>
          </w:p>
        </w:tc>
      </w:tr>
      <w:tr w:rsidR="003D28EF" w:rsidRPr="007B75AC" w14:paraId="7C1244DA" w14:textId="77777777" w:rsidTr="00816A24">
        <w:tc>
          <w:tcPr>
            <w:tcW w:w="2700" w:type="dxa"/>
          </w:tcPr>
          <w:p w14:paraId="6A9A65F9" w14:textId="77777777" w:rsidR="003D28EF" w:rsidRPr="007B75AC" w:rsidRDefault="003D28EF" w:rsidP="003D28EF">
            <w:pPr>
              <w:ind w:left="342"/>
              <w:rPr>
                <w:rFonts w:cstheme="minorHAnsi"/>
                <w:b/>
                <w:sz w:val="20"/>
                <w:szCs w:val="20"/>
              </w:rPr>
            </w:pPr>
            <w:r w:rsidRPr="007B75AC">
              <w:rPr>
                <w:rFonts w:cstheme="minorHAnsi"/>
                <w:b/>
                <w:sz w:val="20"/>
                <w:szCs w:val="20"/>
              </w:rPr>
              <w:t>Line 2b. Travel</w:t>
            </w:r>
            <w:r w:rsidR="00E369F0" w:rsidRPr="007B75AC">
              <w:rPr>
                <w:rFonts w:cstheme="minorHAnsi"/>
                <w:b/>
                <w:sz w:val="20"/>
                <w:szCs w:val="20"/>
              </w:rPr>
              <w:t xml:space="preserve"> &amp; Training</w:t>
            </w:r>
          </w:p>
        </w:tc>
        <w:tc>
          <w:tcPr>
            <w:tcW w:w="8005" w:type="dxa"/>
          </w:tcPr>
          <w:p w14:paraId="4046ED81" w14:textId="77777777" w:rsidR="003D28EF" w:rsidRPr="007B75AC" w:rsidRDefault="003D28EF" w:rsidP="004E5482">
            <w:pPr>
              <w:rPr>
                <w:rFonts w:cstheme="minorHAnsi"/>
                <w:sz w:val="20"/>
                <w:szCs w:val="20"/>
              </w:rPr>
            </w:pPr>
            <w:r w:rsidRPr="007B75AC">
              <w:rPr>
                <w:rFonts w:cstheme="minorHAnsi"/>
                <w:sz w:val="20"/>
                <w:szCs w:val="20"/>
              </w:rPr>
              <w:t>Report travel</w:t>
            </w:r>
            <w:r w:rsidR="00E369F0" w:rsidRPr="007B75AC">
              <w:rPr>
                <w:rFonts w:cstheme="minorHAnsi"/>
                <w:sz w:val="20"/>
                <w:szCs w:val="20"/>
              </w:rPr>
              <w:t xml:space="preserve"> and training</w:t>
            </w:r>
            <w:r w:rsidR="004E5482" w:rsidRPr="007B75AC">
              <w:rPr>
                <w:rFonts w:cstheme="minorHAnsi"/>
                <w:sz w:val="20"/>
                <w:szCs w:val="20"/>
              </w:rPr>
              <w:t xml:space="preserve"> expenditures </w:t>
            </w:r>
            <w:r w:rsidRPr="007B75AC">
              <w:rPr>
                <w:rFonts w:cstheme="minorHAnsi"/>
                <w:sz w:val="20"/>
                <w:szCs w:val="20"/>
              </w:rPr>
              <w:t>for each quarter.</w:t>
            </w:r>
          </w:p>
        </w:tc>
      </w:tr>
      <w:tr w:rsidR="003D28EF" w:rsidRPr="007B75AC" w14:paraId="16955A6A" w14:textId="77777777" w:rsidTr="00816A24">
        <w:tc>
          <w:tcPr>
            <w:tcW w:w="2700" w:type="dxa"/>
          </w:tcPr>
          <w:p w14:paraId="63E85AFA" w14:textId="77777777" w:rsidR="003D28EF" w:rsidRPr="007B75AC" w:rsidRDefault="003D28EF" w:rsidP="003D28EF">
            <w:pPr>
              <w:ind w:left="342"/>
              <w:rPr>
                <w:rFonts w:cstheme="minorHAnsi"/>
                <w:b/>
                <w:sz w:val="20"/>
                <w:szCs w:val="20"/>
              </w:rPr>
            </w:pPr>
            <w:r w:rsidRPr="007B75AC">
              <w:rPr>
                <w:rFonts w:cstheme="minorHAnsi"/>
                <w:b/>
                <w:sz w:val="20"/>
                <w:szCs w:val="20"/>
              </w:rPr>
              <w:lastRenderedPageBreak/>
              <w:t xml:space="preserve">Line 2c. </w:t>
            </w:r>
            <w:r w:rsidR="00E369F0" w:rsidRPr="007B75AC">
              <w:rPr>
                <w:rFonts w:cstheme="minorHAnsi"/>
                <w:b/>
                <w:sz w:val="20"/>
                <w:szCs w:val="20"/>
              </w:rPr>
              <w:t xml:space="preserve">General </w:t>
            </w:r>
            <w:r w:rsidRPr="007B75AC">
              <w:rPr>
                <w:rFonts w:cstheme="minorHAnsi"/>
                <w:b/>
                <w:sz w:val="20"/>
                <w:szCs w:val="20"/>
              </w:rPr>
              <w:t>Supplies</w:t>
            </w:r>
          </w:p>
        </w:tc>
        <w:tc>
          <w:tcPr>
            <w:tcW w:w="8005" w:type="dxa"/>
          </w:tcPr>
          <w:p w14:paraId="63F7055B" w14:textId="77777777" w:rsidR="003D28EF" w:rsidRPr="007B75AC" w:rsidRDefault="003D28EF" w:rsidP="00816A24">
            <w:pPr>
              <w:rPr>
                <w:rFonts w:cstheme="minorHAnsi"/>
                <w:sz w:val="20"/>
                <w:szCs w:val="20"/>
              </w:rPr>
            </w:pPr>
            <w:r w:rsidRPr="007B75AC">
              <w:rPr>
                <w:rFonts w:cstheme="minorHAnsi"/>
                <w:sz w:val="20"/>
                <w:szCs w:val="20"/>
              </w:rPr>
              <w:t>Re</w:t>
            </w:r>
            <w:r w:rsidR="00816A24">
              <w:rPr>
                <w:rFonts w:cstheme="minorHAnsi"/>
                <w:sz w:val="20"/>
                <w:szCs w:val="20"/>
              </w:rPr>
              <w:t xml:space="preserve">port expenditures for materials &amp; </w:t>
            </w:r>
            <w:r w:rsidRPr="007B75AC">
              <w:rPr>
                <w:rFonts w:cstheme="minorHAnsi"/>
                <w:sz w:val="20"/>
                <w:szCs w:val="20"/>
              </w:rPr>
              <w:t>supplies costing less than $5,000 per</w:t>
            </w:r>
            <w:r w:rsidR="004E5482" w:rsidRPr="007B75AC">
              <w:rPr>
                <w:rFonts w:cstheme="minorHAnsi"/>
                <w:sz w:val="20"/>
                <w:szCs w:val="20"/>
              </w:rPr>
              <w:t xml:space="preserve"> unit </w:t>
            </w:r>
            <w:r w:rsidRPr="007B75AC">
              <w:rPr>
                <w:rFonts w:cstheme="minorHAnsi"/>
                <w:sz w:val="20"/>
                <w:szCs w:val="20"/>
              </w:rPr>
              <w:t>for each quarter.</w:t>
            </w:r>
          </w:p>
        </w:tc>
      </w:tr>
      <w:tr w:rsidR="00E369F0" w:rsidRPr="007B75AC" w14:paraId="353CF018" w14:textId="77777777" w:rsidTr="00816A24">
        <w:tc>
          <w:tcPr>
            <w:tcW w:w="2700" w:type="dxa"/>
          </w:tcPr>
          <w:p w14:paraId="7ABA4CA0" w14:textId="77777777" w:rsidR="00E369F0" w:rsidRPr="007B75AC" w:rsidRDefault="00E369F0" w:rsidP="00E369F0">
            <w:pPr>
              <w:ind w:left="342"/>
              <w:rPr>
                <w:rFonts w:cstheme="minorHAnsi"/>
                <w:b/>
                <w:sz w:val="20"/>
                <w:szCs w:val="20"/>
              </w:rPr>
            </w:pPr>
            <w:r w:rsidRPr="007B75AC">
              <w:rPr>
                <w:rFonts w:cstheme="minorHAnsi"/>
                <w:b/>
                <w:sz w:val="20"/>
                <w:szCs w:val="20"/>
              </w:rPr>
              <w:t>Line 2d. Medical Supplies</w:t>
            </w:r>
          </w:p>
        </w:tc>
        <w:tc>
          <w:tcPr>
            <w:tcW w:w="8005" w:type="dxa"/>
          </w:tcPr>
          <w:p w14:paraId="581A9833" w14:textId="77777777" w:rsidR="004151F2" w:rsidRDefault="00E369F0" w:rsidP="004E5482">
            <w:pPr>
              <w:rPr>
                <w:rFonts w:cstheme="minorHAnsi"/>
                <w:sz w:val="20"/>
                <w:szCs w:val="20"/>
              </w:rPr>
            </w:pPr>
            <w:r w:rsidRPr="007B75AC">
              <w:rPr>
                <w:rFonts w:cstheme="minorHAnsi"/>
                <w:sz w:val="20"/>
                <w:szCs w:val="20"/>
              </w:rPr>
              <w:t>Report expenditures for medical supplies for each quarter.</w:t>
            </w:r>
          </w:p>
          <w:p w14:paraId="0F4DC2F5" w14:textId="77777777" w:rsidR="00E369F0" w:rsidRPr="004151F2" w:rsidRDefault="00E369F0" w:rsidP="004151F2">
            <w:pPr>
              <w:jc w:val="right"/>
              <w:rPr>
                <w:rFonts w:cstheme="minorHAnsi"/>
                <w:sz w:val="20"/>
                <w:szCs w:val="20"/>
              </w:rPr>
            </w:pPr>
          </w:p>
        </w:tc>
      </w:tr>
      <w:tr w:rsidR="00E369F0" w:rsidRPr="007B75AC" w14:paraId="0773596F" w14:textId="77777777" w:rsidTr="00816A24">
        <w:tc>
          <w:tcPr>
            <w:tcW w:w="2700" w:type="dxa"/>
          </w:tcPr>
          <w:p w14:paraId="7DD3A04E" w14:textId="77777777" w:rsidR="00E369F0" w:rsidRPr="007B75AC" w:rsidRDefault="00E369F0" w:rsidP="00E369F0">
            <w:pPr>
              <w:ind w:left="342"/>
              <w:rPr>
                <w:rFonts w:cstheme="minorHAnsi"/>
                <w:b/>
                <w:sz w:val="20"/>
                <w:szCs w:val="20"/>
              </w:rPr>
            </w:pPr>
            <w:r w:rsidRPr="007B75AC">
              <w:rPr>
                <w:rFonts w:cstheme="minorHAnsi"/>
                <w:b/>
                <w:sz w:val="20"/>
                <w:szCs w:val="20"/>
              </w:rPr>
              <w:t>Line 2e. Other</w:t>
            </w:r>
          </w:p>
        </w:tc>
        <w:tc>
          <w:tcPr>
            <w:tcW w:w="8005" w:type="dxa"/>
          </w:tcPr>
          <w:p w14:paraId="3AB9DD80" w14:textId="77777777" w:rsidR="00E369F0" w:rsidRPr="007B75AC" w:rsidRDefault="00550830" w:rsidP="002471AF">
            <w:pPr>
              <w:rPr>
                <w:rFonts w:cstheme="minorHAnsi"/>
                <w:sz w:val="20"/>
                <w:szCs w:val="20"/>
              </w:rPr>
            </w:pPr>
            <w:r w:rsidRPr="007B75AC">
              <w:rPr>
                <w:rFonts w:cstheme="minorHAnsi"/>
                <w:sz w:val="20"/>
                <w:szCs w:val="20"/>
              </w:rPr>
              <w:t>Report</w:t>
            </w:r>
            <w:r w:rsidR="000E7AC4" w:rsidRPr="007B75AC">
              <w:rPr>
                <w:rFonts w:cstheme="minorHAnsi"/>
                <w:sz w:val="20"/>
                <w:szCs w:val="20"/>
              </w:rPr>
              <w:t xml:space="preserve"> the Total Other S&amp;S Expenditures from the Other S&amp;S Expenditures Form. </w:t>
            </w:r>
            <w:r w:rsidR="00E369F0" w:rsidRPr="007B75AC">
              <w:rPr>
                <w:rFonts w:cstheme="minorHAnsi"/>
                <w:sz w:val="20"/>
                <w:szCs w:val="20"/>
              </w:rPr>
              <w:t xml:space="preserve">Data entry is done </w:t>
            </w:r>
            <w:r w:rsidR="0024474A" w:rsidRPr="007B75AC">
              <w:rPr>
                <w:rFonts w:cstheme="minorHAnsi"/>
                <w:sz w:val="20"/>
                <w:szCs w:val="20"/>
              </w:rPr>
              <w:t>i</w:t>
            </w:r>
            <w:r w:rsidR="00E369F0" w:rsidRPr="007B75AC">
              <w:rPr>
                <w:rFonts w:cstheme="minorHAnsi"/>
                <w:sz w:val="20"/>
                <w:szCs w:val="20"/>
              </w:rPr>
              <w:t>n the ‘Other S&amp;S</w:t>
            </w:r>
            <w:r w:rsidR="000E7AC4" w:rsidRPr="007B75AC">
              <w:rPr>
                <w:rFonts w:cstheme="minorHAnsi"/>
                <w:sz w:val="20"/>
                <w:szCs w:val="20"/>
              </w:rPr>
              <w:t xml:space="preserve"> Expenditures</w:t>
            </w:r>
            <w:r w:rsidR="00E369F0" w:rsidRPr="007B75AC">
              <w:rPr>
                <w:rFonts w:cstheme="minorHAnsi"/>
                <w:sz w:val="20"/>
                <w:szCs w:val="20"/>
              </w:rPr>
              <w:t xml:space="preserve">’ </w:t>
            </w:r>
            <w:r w:rsidR="000E7AC4" w:rsidRPr="007B75AC">
              <w:rPr>
                <w:rFonts w:cstheme="minorHAnsi"/>
                <w:sz w:val="20"/>
                <w:szCs w:val="20"/>
              </w:rPr>
              <w:t xml:space="preserve">Form by entering the type </w:t>
            </w:r>
            <w:r w:rsidR="002471AF" w:rsidRPr="007B75AC">
              <w:rPr>
                <w:rFonts w:cstheme="minorHAnsi"/>
                <w:sz w:val="20"/>
                <w:szCs w:val="20"/>
              </w:rPr>
              <w:t xml:space="preserve">and amount </w:t>
            </w:r>
            <w:r w:rsidR="000E7AC4" w:rsidRPr="007B75AC">
              <w:rPr>
                <w:rFonts w:cstheme="minorHAnsi"/>
                <w:sz w:val="20"/>
                <w:szCs w:val="20"/>
              </w:rPr>
              <w:t>of other services and supplies expense</w:t>
            </w:r>
            <w:r w:rsidR="002471AF" w:rsidRPr="007B75AC">
              <w:rPr>
                <w:rFonts w:cstheme="minorHAnsi"/>
                <w:sz w:val="20"/>
                <w:szCs w:val="20"/>
              </w:rPr>
              <w:t>s.</w:t>
            </w:r>
          </w:p>
        </w:tc>
      </w:tr>
      <w:tr w:rsidR="00E369F0" w:rsidRPr="007B75AC" w14:paraId="65717372" w14:textId="77777777" w:rsidTr="00816A24">
        <w:tc>
          <w:tcPr>
            <w:tcW w:w="2700" w:type="dxa"/>
          </w:tcPr>
          <w:p w14:paraId="6F3ABA4F" w14:textId="77777777" w:rsidR="00E369F0" w:rsidRPr="007B75AC" w:rsidRDefault="00E369F0" w:rsidP="00E369F0">
            <w:pPr>
              <w:rPr>
                <w:rFonts w:cstheme="minorHAnsi"/>
                <w:b/>
                <w:sz w:val="20"/>
                <w:szCs w:val="20"/>
              </w:rPr>
            </w:pPr>
            <w:r w:rsidRPr="007B75AC">
              <w:rPr>
                <w:rFonts w:cstheme="minorHAnsi"/>
                <w:b/>
                <w:sz w:val="20"/>
                <w:szCs w:val="20"/>
              </w:rPr>
              <w:t>Line 3. Capital Outlay</w:t>
            </w:r>
          </w:p>
        </w:tc>
        <w:tc>
          <w:tcPr>
            <w:tcW w:w="8005" w:type="dxa"/>
          </w:tcPr>
          <w:p w14:paraId="3B0A5160" w14:textId="77777777" w:rsidR="00E369F0" w:rsidRPr="007B75AC" w:rsidRDefault="00E369F0" w:rsidP="00E369F0">
            <w:pPr>
              <w:rPr>
                <w:rFonts w:cstheme="minorHAnsi"/>
                <w:sz w:val="20"/>
                <w:szCs w:val="20"/>
              </w:rPr>
            </w:pPr>
            <w:r w:rsidRPr="007B75AC">
              <w:rPr>
                <w:rFonts w:cstheme="minorHAnsi"/>
                <w:sz w:val="20"/>
                <w:szCs w:val="20"/>
              </w:rPr>
              <w:t>Rep</w:t>
            </w:r>
            <w:r w:rsidR="004E5482" w:rsidRPr="007B75AC">
              <w:rPr>
                <w:rFonts w:cstheme="minorHAnsi"/>
                <w:sz w:val="20"/>
                <w:szCs w:val="20"/>
              </w:rPr>
              <w:t xml:space="preserve">ort capital outlay expenditures </w:t>
            </w:r>
            <w:r w:rsidRPr="007B75AC">
              <w:rPr>
                <w:rFonts w:cstheme="minorHAnsi"/>
                <w:sz w:val="20"/>
                <w:szCs w:val="20"/>
              </w:rPr>
              <w:t xml:space="preserve">for each quarter. Capital Outlay is defined as expenditure of a single item costing more than $5,000 with a life expectancy of more than one year. Itemize all capital outlay expenditures by cost and description. Federal regulations require that capital equipment (desk, chairs, laboratory equipment, etc.) continue to be used within the program area. Property records for non-expendable personal property shall be maintained accurately per Subtitle A-Department of Health and Human Services, 45 Code of Federal Regulation (CFR) Part 92.32 and Part 74.34. </w:t>
            </w:r>
          </w:p>
          <w:p w14:paraId="15E0A047" w14:textId="77777777" w:rsidR="00E369F0" w:rsidRPr="007B75AC" w:rsidRDefault="00E369F0" w:rsidP="00E369F0">
            <w:pPr>
              <w:rPr>
                <w:rFonts w:cstheme="minorHAnsi"/>
                <w:sz w:val="20"/>
                <w:szCs w:val="20"/>
              </w:rPr>
            </w:pPr>
            <w:r w:rsidRPr="007B75AC">
              <w:rPr>
                <w:rFonts w:cstheme="minorHAnsi"/>
                <w:b/>
                <w:i/>
                <w:sz w:val="20"/>
                <w:szCs w:val="20"/>
              </w:rPr>
              <w:t>Prior approval must be obtained for any purchase of a single item or special purpose equipment having an acquisition cost of $5,000 or more (PHS Grants Policy Statement; WIC, see Federal Regulations Section 246.14).</w:t>
            </w:r>
            <w:r w:rsidRPr="007B75AC">
              <w:rPr>
                <w:rFonts w:cstheme="minorHAnsi"/>
                <w:sz w:val="20"/>
                <w:szCs w:val="20"/>
              </w:rPr>
              <w:t xml:space="preserve"> </w:t>
            </w:r>
          </w:p>
        </w:tc>
      </w:tr>
      <w:tr w:rsidR="00E369F0" w:rsidRPr="007B75AC" w14:paraId="583D7D9B" w14:textId="77777777" w:rsidTr="00816A24">
        <w:trPr>
          <w:trHeight w:val="359"/>
        </w:trPr>
        <w:tc>
          <w:tcPr>
            <w:tcW w:w="2700" w:type="dxa"/>
          </w:tcPr>
          <w:p w14:paraId="4C66CA55" w14:textId="77777777" w:rsidR="00E369F0" w:rsidRPr="007B75AC" w:rsidRDefault="00E369F0" w:rsidP="00E369F0">
            <w:pPr>
              <w:rPr>
                <w:rFonts w:cstheme="minorHAnsi"/>
                <w:b/>
                <w:sz w:val="20"/>
                <w:szCs w:val="20"/>
              </w:rPr>
            </w:pPr>
            <w:r w:rsidRPr="007B75AC">
              <w:rPr>
                <w:rFonts w:cstheme="minorHAnsi"/>
                <w:b/>
                <w:sz w:val="20"/>
                <w:szCs w:val="20"/>
              </w:rPr>
              <w:t>Line 4. Indirect Cost</w:t>
            </w:r>
            <w:r w:rsidR="000175A9">
              <w:rPr>
                <w:rFonts w:cstheme="minorHAnsi"/>
                <w:b/>
                <w:sz w:val="20"/>
                <w:szCs w:val="20"/>
              </w:rPr>
              <w:t xml:space="preserve"> ($)</w:t>
            </w:r>
          </w:p>
        </w:tc>
        <w:tc>
          <w:tcPr>
            <w:tcW w:w="8005" w:type="dxa"/>
          </w:tcPr>
          <w:p w14:paraId="1E6D0AA1" w14:textId="77777777" w:rsidR="00E369F0" w:rsidRPr="007B75AC" w:rsidRDefault="004E5482" w:rsidP="004E5482">
            <w:pPr>
              <w:rPr>
                <w:rFonts w:cstheme="minorHAnsi"/>
                <w:sz w:val="20"/>
                <w:szCs w:val="20"/>
              </w:rPr>
            </w:pPr>
            <w:r w:rsidRPr="007B75AC">
              <w:rPr>
                <w:rFonts w:cstheme="minorHAnsi"/>
                <w:sz w:val="20"/>
                <w:szCs w:val="20"/>
              </w:rPr>
              <w:t xml:space="preserve">Report indirect costs </w:t>
            </w:r>
            <w:r w:rsidR="00E369F0" w:rsidRPr="007B75AC">
              <w:rPr>
                <w:rFonts w:cstheme="minorHAnsi"/>
                <w:sz w:val="20"/>
                <w:szCs w:val="20"/>
              </w:rPr>
              <w:t>for each quarter.</w:t>
            </w:r>
          </w:p>
        </w:tc>
      </w:tr>
      <w:tr w:rsidR="00E369F0" w:rsidRPr="007B75AC" w14:paraId="3286761C" w14:textId="77777777" w:rsidTr="00816A24">
        <w:tc>
          <w:tcPr>
            <w:tcW w:w="2700" w:type="dxa"/>
          </w:tcPr>
          <w:p w14:paraId="4A088936" w14:textId="77777777" w:rsidR="00E369F0" w:rsidRPr="007B75AC" w:rsidRDefault="00E369F0" w:rsidP="00E369F0">
            <w:pPr>
              <w:ind w:left="342"/>
              <w:rPr>
                <w:rFonts w:cstheme="minorHAnsi"/>
                <w:b/>
                <w:sz w:val="20"/>
                <w:szCs w:val="20"/>
              </w:rPr>
            </w:pPr>
            <w:r w:rsidRPr="007B75AC">
              <w:rPr>
                <w:rFonts w:cstheme="minorHAnsi"/>
                <w:b/>
                <w:sz w:val="20"/>
                <w:szCs w:val="20"/>
              </w:rPr>
              <w:t>Line 4a. Indirect Rate (%)</w:t>
            </w:r>
          </w:p>
        </w:tc>
        <w:tc>
          <w:tcPr>
            <w:tcW w:w="8005" w:type="dxa"/>
          </w:tcPr>
          <w:p w14:paraId="4484B7A8" w14:textId="77777777" w:rsidR="001E4978" w:rsidRPr="007B75AC" w:rsidRDefault="00550830" w:rsidP="00923D5E">
            <w:pPr>
              <w:rPr>
                <w:rFonts w:cstheme="minorHAnsi"/>
                <w:sz w:val="20"/>
                <w:szCs w:val="20"/>
              </w:rPr>
            </w:pPr>
            <w:r w:rsidRPr="007B75AC">
              <w:rPr>
                <w:rFonts w:cstheme="minorHAnsi"/>
                <w:sz w:val="20"/>
                <w:szCs w:val="20"/>
              </w:rPr>
              <w:t>Report</w:t>
            </w:r>
            <w:r w:rsidR="00E369F0" w:rsidRPr="007B75AC">
              <w:rPr>
                <w:rFonts w:cstheme="minorHAnsi"/>
                <w:sz w:val="20"/>
                <w:szCs w:val="20"/>
              </w:rPr>
              <w:t xml:space="preserve"> th</w:t>
            </w:r>
            <w:r w:rsidR="004E5482" w:rsidRPr="007B75AC">
              <w:rPr>
                <w:rFonts w:cstheme="minorHAnsi"/>
                <w:sz w:val="20"/>
                <w:szCs w:val="20"/>
              </w:rPr>
              <w:t xml:space="preserve">e approved </w:t>
            </w:r>
            <w:r w:rsidR="00923D5E">
              <w:rPr>
                <w:rFonts w:cstheme="minorHAnsi"/>
                <w:sz w:val="20"/>
                <w:szCs w:val="20"/>
              </w:rPr>
              <w:t xml:space="preserve">indirect rate percent within the (____%) area, in front of the % symbol. </w:t>
            </w:r>
            <w:r w:rsidR="001E4978" w:rsidRPr="007B75AC">
              <w:rPr>
                <w:rFonts w:cstheme="minorHAnsi"/>
                <w:sz w:val="20"/>
                <w:szCs w:val="20"/>
              </w:rPr>
              <w:t>If no indirect rate or if you have a cost allocation plan, enter “N/A”.</w:t>
            </w:r>
          </w:p>
        </w:tc>
      </w:tr>
      <w:tr w:rsidR="00E369F0" w:rsidRPr="007B75AC" w14:paraId="6143CD1F" w14:textId="77777777" w:rsidTr="00816A24">
        <w:tc>
          <w:tcPr>
            <w:tcW w:w="2700" w:type="dxa"/>
          </w:tcPr>
          <w:p w14:paraId="6B6DCDFC" w14:textId="77777777" w:rsidR="00E369F0" w:rsidRPr="007B75AC" w:rsidRDefault="00E369F0" w:rsidP="00E369F0">
            <w:pPr>
              <w:rPr>
                <w:rFonts w:cstheme="minorHAnsi"/>
                <w:b/>
                <w:sz w:val="20"/>
                <w:szCs w:val="20"/>
              </w:rPr>
            </w:pPr>
            <w:r w:rsidRPr="007B75AC">
              <w:rPr>
                <w:rFonts w:cstheme="minorHAnsi"/>
                <w:b/>
                <w:sz w:val="20"/>
                <w:szCs w:val="20"/>
              </w:rPr>
              <w:t>TOTAL EXPENDITURES</w:t>
            </w:r>
          </w:p>
        </w:tc>
        <w:tc>
          <w:tcPr>
            <w:tcW w:w="8005" w:type="dxa"/>
          </w:tcPr>
          <w:p w14:paraId="6E843721" w14:textId="77777777" w:rsidR="00E369F0" w:rsidRPr="007B75AC" w:rsidRDefault="00923D5E" w:rsidP="00550830">
            <w:pPr>
              <w:rPr>
                <w:rFonts w:cstheme="minorHAnsi"/>
                <w:sz w:val="20"/>
                <w:szCs w:val="20"/>
              </w:rPr>
            </w:pPr>
            <w:r>
              <w:rPr>
                <w:rFonts w:cstheme="minorHAnsi"/>
                <w:sz w:val="20"/>
                <w:szCs w:val="20"/>
              </w:rPr>
              <w:t>T</w:t>
            </w:r>
            <w:r w:rsidR="00E369F0" w:rsidRPr="007B75AC">
              <w:rPr>
                <w:rFonts w:cstheme="minorHAnsi"/>
                <w:sz w:val="20"/>
                <w:szCs w:val="20"/>
              </w:rPr>
              <w:t>he total of OHA/PHD and Non-OHA/PHD expenditures for each quarter and fiscal year to date.</w:t>
            </w:r>
            <w:r>
              <w:rPr>
                <w:rFonts w:cstheme="minorHAnsi"/>
                <w:sz w:val="20"/>
                <w:szCs w:val="20"/>
              </w:rPr>
              <w:t xml:space="preserve"> On the Excel report template, this is an auto sum field.</w:t>
            </w:r>
          </w:p>
        </w:tc>
      </w:tr>
      <w:tr w:rsidR="00E369F0" w:rsidRPr="007B75AC" w14:paraId="03E278AB" w14:textId="77777777" w:rsidTr="00816A24">
        <w:tc>
          <w:tcPr>
            <w:tcW w:w="2700" w:type="dxa"/>
          </w:tcPr>
          <w:p w14:paraId="0120F9E7" w14:textId="77777777" w:rsidR="00E369F0" w:rsidRPr="007B75AC" w:rsidRDefault="00E369F0" w:rsidP="00E369F0">
            <w:pPr>
              <w:rPr>
                <w:rFonts w:cstheme="minorHAnsi"/>
                <w:b/>
                <w:sz w:val="20"/>
                <w:szCs w:val="20"/>
              </w:rPr>
            </w:pPr>
            <w:r w:rsidRPr="007B75AC">
              <w:rPr>
                <w:rFonts w:cstheme="minorHAnsi"/>
                <w:b/>
                <w:sz w:val="20"/>
                <w:szCs w:val="20"/>
              </w:rPr>
              <w:t>Less Total Program Income</w:t>
            </w:r>
          </w:p>
        </w:tc>
        <w:tc>
          <w:tcPr>
            <w:tcW w:w="8005" w:type="dxa"/>
          </w:tcPr>
          <w:p w14:paraId="691FCC03" w14:textId="77777777" w:rsidR="00E369F0" w:rsidRPr="007B75AC" w:rsidRDefault="00923D5E" w:rsidP="0068162F">
            <w:pPr>
              <w:rPr>
                <w:rFonts w:cstheme="minorHAnsi"/>
                <w:sz w:val="20"/>
                <w:szCs w:val="20"/>
              </w:rPr>
            </w:pPr>
            <w:r>
              <w:rPr>
                <w:rFonts w:cstheme="minorHAnsi"/>
                <w:sz w:val="20"/>
                <w:szCs w:val="20"/>
              </w:rPr>
              <w:t>Take f</w:t>
            </w:r>
            <w:r w:rsidR="00E369F0" w:rsidRPr="007B75AC">
              <w:rPr>
                <w:rFonts w:cstheme="minorHAnsi"/>
                <w:sz w:val="20"/>
                <w:szCs w:val="20"/>
              </w:rPr>
              <w:t xml:space="preserve">rom the </w:t>
            </w:r>
            <w:r w:rsidR="0068162F">
              <w:rPr>
                <w:rFonts w:cstheme="minorHAnsi"/>
                <w:sz w:val="20"/>
                <w:szCs w:val="20"/>
              </w:rPr>
              <w:t>Program</w:t>
            </w:r>
            <w:r w:rsidR="00E369F0" w:rsidRPr="007B75AC">
              <w:rPr>
                <w:rFonts w:cstheme="minorHAnsi"/>
                <w:sz w:val="20"/>
                <w:szCs w:val="20"/>
              </w:rPr>
              <w:t xml:space="preserve"> Revenue, TOTAL PROGRAM INCOME line in the Revenue section for each quarter and fiscal year to date. This is the OHA/PHD income that gets deducted from OHA/PHD total expenditures.</w:t>
            </w:r>
            <w:r>
              <w:rPr>
                <w:rFonts w:cstheme="minorHAnsi"/>
                <w:sz w:val="20"/>
                <w:szCs w:val="20"/>
              </w:rPr>
              <w:t xml:space="preserve"> On the Excel report template, this is an auto fill field.</w:t>
            </w:r>
          </w:p>
        </w:tc>
      </w:tr>
      <w:tr w:rsidR="00E369F0" w:rsidRPr="007B75AC" w14:paraId="0C6C4C1B" w14:textId="77777777" w:rsidTr="00816A24">
        <w:tc>
          <w:tcPr>
            <w:tcW w:w="2700" w:type="dxa"/>
          </w:tcPr>
          <w:p w14:paraId="223BF471" w14:textId="77777777" w:rsidR="00E369F0" w:rsidRPr="007B75AC" w:rsidRDefault="00E369F0" w:rsidP="00E369F0">
            <w:pPr>
              <w:rPr>
                <w:rFonts w:cstheme="minorHAnsi"/>
                <w:b/>
                <w:sz w:val="20"/>
                <w:szCs w:val="20"/>
              </w:rPr>
            </w:pPr>
            <w:r w:rsidRPr="007B75AC">
              <w:rPr>
                <w:rFonts w:cstheme="minorHAnsi"/>
                <w:b/>
                <w:sz w:val="20"/>
                <w:szCs w:val="20"/>
              </w:rPr>
              <w:t>TOTAL REIMBURSALBE EXPENDITURES</w:t>
            </w:r>
          </w:p>
        </w:tc>
        <w:tc>
          <w:tcPr>
            <w:tcW w:w="8005" w:type="dxa"/>
          </w:tcPr>
          <w:p w14:paraId="711D4EFE" w14:textId="77777777" w:rsidR="00E369F0" w:rsidRPr="007B75AC" w:rsidRDefault="00923D5E" w:rsidP="00186995">
            <w:pPr>
              <w:rPr>
                <w:rFonts w:cstheme="minorHAnsi"/>
                <w:sz w:val="20"/>
                <w:szCs w:val="20"/>
              </w:rPr>
            </w:pPr>
            <w:r>
              <w:rPr>
                <w:rFonts w:cstheme="minorHAnsi"/>
                <w:sz w:val="20"/>
                <w:szCs w:val="20"/>
              </w:rPr>
              <w:t>T</w:t>
            </w:r>
            <w:r w:rsidR="00E369F0" w:rsidRPr="007B75AC">
              <w:rPr>
                <w:rFonts w:cstheme="minorHAnsi"/>
                <w:sz w:val="20"/>
                <w:szCs w:val="20"/>
              </w:rPr>
              <w:t>he total OHA/PHD expenditures less total program income for each</w:t>
            </w:r>
            <w:r w:rsidR="009C7364">
              <w:rPr>
                <w:rFonts w:cstheme="minorHAnsi"/>
                <w:sz w:val="20"/>
                <w:szCs w:val="20"/>
              </w:rPr>
              <w:t xml:space="preserve"> quarter and fiscal YT</w:t>
            </w:r>
            <w:r w:rsidR="00186995">
              <w:rPr>
                <w:rFonts w:cstheme="minorHAnsi"/>
                <w:sz w:val="20"/>
                <w:szCs w:val="20"/>
              </w:rPr>
              <w:t>D</w:t>
            </w:r>
            <w:r w:rsidR="00E369F0" w:rsidRPr="007B75AC">
              <w:rPr>
                <w:rFonts w:cstheme="minorHAnsi"/>
                <w:sz w:val="20"/>
                <w:szCs w:val="20"/>
              </w:rPr>
              <w:t xml:space="preserve">. </w:t>
            </w:r>
            <w:r w:rsidR="00186995">
              <w:rPr>
                <w:rFonts w:cstheme="minorHAnsi"/>
                <w:sz w:val="20"/>
                <w:szCs w:val="20"/>
              </w:rPr>
              <w:t>T</w:t>
            </w:r>
            <w:r w:rsidR="00E369F0" w:rsidRPr="007B75AC">
              <w:rPr>
                <w:rFonts w:cstheme="minorHAnsi"/>
                <w:sz w:val="20"/>
                <w:szCs w:val="20"/>
              </w:rPr>
              <w:t>he amount reimburs</w:t>
            </w:r>
            <w:r w:rsidR="006C6D15" w:rsidRPr="007B75AC">
              <w:rPr>
                <w:rFonts w:cstheme="minorHAnsi"/>
                <w:sz w:val="20"/>
                <w:szCs w:val="20"/>
              </w:rPr>
              <w:t>ed by OHA-PHD</w:t>
            </w:r>
            <w:r w:rsidR="00E369F0" w:rsidRPr="007B75AC">
              <w:rPr>
                <w:rFonts w:cstheme="minorHAnsi"/>
                <w:sz w:val="20"/>
                <w:szCs w:val="20"/>
              </w:rPr>
              <w:t>.</w:t>
            </w:r>
            <w:r>
              <w:rPr>
                <w:rFonts w:cstheme="minorHAnsi"/>
                <w:sz w:val="20"/>
                <w:szCs w:val="20"/>
              </w:rPr>
              <w:t xml:space="preserve"> On the Excel report template, this is an auto calculate field.</w:t>
            </w:r>
          </w:p>
        </w:tc>
      </w:tr>
      <w:tr w:rsidR="00E369F0" w:rsidRPr="007B75AC" w14:paraId="5840AE80" w14:textId="77777777" w:rsidTr="00816A24">
        <w:tc>
          <w:tcPr>
            <w:tcW w:w="2700" w:type="dxa"/>
          </w:tcPr>
          <w:p w14:paraId="31B05597" w14:textId="77777777" w:rsidR="00E369F0" w:rsidRPr="007B75AC" w:rsidRDefault="00E369F0" w:rsidP="00E369F0">
            <w:pPr>
              <w:rPr>
                <w:rFonts w:cstheme="minorHAnsi"/>
                <w:b/>
                <w:sz w:val="20"/>
                <w:szCs w:val="20"/>
              </w:rPr>
            </w:pPr>
            <w:r w:rsidRPr="007B75AC">
              <w:rPr>
                <w:rFonts w:cstheme="minorHAnsi"/>
                <w:b/>
                <w:sz w:val="20"/>
                <w:szCs w:val="20"/>
              </w:rPr>
              <w:t>Fiscal Year To Date</w:t>
            </w:r>
          </w:p>
        </w:tc>
        <w:tc>
          <w:tcPr>
            <w:tcW w:w="8005" w:type="dxa"/>
          </w:tcPr>
          <w:p w14:paraId="54D05B05" w14:textId="77777777" w:rsidR="00E369F0" w:rsidRPr="007B75AC" w:rsidRDefault="00923D5E" w:rsidP="00E369F0">
            <w:pPr>
              <w:rPr>
                <w:rFonts w:cstheme="minorHAnsi"/>
                <w:sz w:val="20"/>
                <w:szCs w:val="20"/>
              </w:rPr>
            </w:pPr>
            <w:r>
              <w:rPr>
                <w:rFonts w:cstheme="minorHAnsi"/>
                <w:sz w:val="20"/>
                <w:szCs w:val="20"/>
              </w:rPr>
              <w:t>T</w:t>
            </w:r>
            <w:r w:rsidR="00E369F0" w:rsidRPr="007B75AC">
              <w:rPr>
                <w:rFonts w:cstheme="minorHAnsi"/>
                <w:sz w:val="20"/>
                <w:szCs w:val="20"/>
              </w:rPr>
              <w:t>he YTD total of each expenditure category/subcategory of both OHA/PHD and Non-OHA/PHD for the fiscal year.</w:t>
            </w:r>
            <w:r>
              <w:rPr>
                <w:rFonts w:cstheme="minorHAnsi"/>
                <w:sz w:val="20"/>
                <w:szCs w:val="20"/>
              </w:rPr>
              <w:t xml:space="preserve"> On the Excel report template, this is an auto sum field.</w:t>
            </w:r>
          </w:p>
        </w:tc>
      </w:tr>
      <w:tr w:rsidR="00E369F0" w:rsidRPr="007B75AC" w14:paraId="76EC36B2" w14:textId="77777777" w:rsidTr="00816A24">
        <w:tc>
          <w:tcPr>
            <w:tcW w:w="2700" w:type="dxa"/>
          </w:tcPr>
          <w:p w14:paraId="44733C9E" w14:textId="77777777" w:rsidR="00E369F0" w:rsidRPr="007B75AC" w:rsidRDefault="00E369F0" w:rsidP="00E369F0">
            <w:pPr>
              <w:rPr>
                <w:rFonts w:cstheme="minorHAnsi"/>
                <w:b/>
                <w:sz w:val="20"/>
                <w:szCs w:val="20"/>
              </w:rPr>
            </w:pPr>
          </w:p>
        </w:tc>
        <w:tc>
          <w:tcPr>
            <w:tcW w:w="8005" w:type="dxa"/>
          </w:tcPr>
          <w:p w14:paraId="13E94441" w14:textId="77777777" w:rsidR="00E369F0" w:rsidRPr="007B75AC" w:rsidRDefault="00E369F0" w:rsidP="00E369F0">
            <w:pPr>
              <w:rPr>
                <w:rFonts w:cstheme="minorHAnsi"/>
                <w:sz w:val="20"/>
                <w:szCs w:val="20"/>
              </w:rPr>
            </w:pPr>
          </w:p>
        </w:tc>
      </w:tr>
      <w:tr w:rsidR="00E369F0" w:rsidRPr="007B75AC" w14:paraId="52C96C92" w14:textId="77777777" w:rsidTr="00816A24">
        <w:tc>
          <w:tcPr>
            <w:tcW w:w="2700" w:type="dxa"/>
            <w:shd w:val="clear" w:color="auto" w:fill="E7E6E6" w:themeFill="background2"/>
          </w:tcPr>
          <w:p w14:paraId="5EFB36A2" w14:textId="77777777" w:rsidR="00E369F0" w:rsidRPr="007B75AC" w:rsidRDefault="00E369F0" w:rsidP="00E369F0">
            <w:pPr>
              <w:pStyle w:val="ListParagraph"/>
              <w:numPr>
                <w:ilvl w:val="0"/>
                <w:numId w:val="1"/>
              </w:numPr>
              <w:rPr>
                <w:rFonts w:cstheme="minorHAnsi"/>
                <w:b/>
                <w:sz w:val="20"/>
                <w:szCs w:val="20"/>
              </w:rPr>
            </w:pPr>
            <w:r w:rsidRPr="007B75AC">
              <w:rPr>
                <w:rFonts w:cstheme="minorHAnsi"/>
                <w:b/>
                <w:sz w:val="20"/>
                <w:szCs w:val="20"/>
              </w:rPr>
              <w:t>WIC PROGRAM ONLY</w:t>
            </w:r>
          </w:p>
        </w:tc>
        <w:tc>
          <w:tcPr>
            <w:tcW w:w="8005" w:type="dxa"/>
            <w:shd w:val="clear" w:color="auto" w:fill="E7E6E6" w:themeFill="background2"/>
          </w:tcPr>
          <w:p w14:paraId="666BDB50" w14:textId="77777777" w:rsidR="00E369F0" w:rsidRPr="007B75AC" w:rsidRDefault="00E369F0" w:rsidP="0082219D">
            <w:pPr>
              <w:spacing w:after="60"/>
              <w:rPr>
                <w:rFonts w:cstheme="minorHAnsi"/>
                <w:sz w:val="20"/>
                <w:szCs w:val="20"/>
              </w:rPr>
            </w:pPr>
            <w:r w:rsidRPr="007B75AC">
              <w:rPr>
                <w:rFonts w:cstheme="minorHAnsi"/>
                <w:sz w:val="20"/>
                <w:szCs w:val="20"/>
              </w:rPr>
              <w:t xml:space="preserve">Report the Public Health Division expenditures </w:t>
            </w:r>
            <w:r w:rsidR="00397742" w:rsidRPr="007B75AC">
              <w:rPr>
                <w:rFonts w:cstheme="minorHAnsi"/>
                <w:sz w:val="20"/>
                <w:szCs w:val="20"/>
              </w:rPr>
              <w:t xml:space="preserve">for </w:t>
            </w:r>
            <w:r w:rsidRPr="007B75AC">
              <w:rPr>
                <w:rFonts w:cstheme="minorHAnsi"/>
                <w:sz w:val="20"/>
                <w:szCs w:val="20"/>
              </w:rPr>
              <w:t>the 4 categories listed in the WIC Program section for each quarter. Refer to Policy 315: Fiscal Requirements of the Oregon WIC Program Policy and Procedure Manual for definitions of the categories.</w:t>
            </w:r>
          </w:p>
        </w:tc>
      </w:tr>
      <w:tr w:rsidR="00617225" w:rsidRPr="007B75AC" w14:paraId="42A59329" w14:textId="77777777" w:rsidTr="00816A24">
        <w:tc>
          <w:tcPr>
            <w:tcW w:w="2700" w:type="dxa"/>
          </w:tcPr>
          <w:p w14:paraId="1456F515" w14:textId="77777777" w:rsidR="00617225" w:rsidRPr="007B75AC" w:rsidRDefault="00CD390E" w:rsidP="00E369F0">
            <w:pPr>
              <w:rPr>
                <w:rFonts w:cstheme="minorHAnsi"/>
                <w:b/>
                <w:sz w:val="20"/>
                <w:szCs w:val="20"/>
              </w:rPr>
            </w:pPr>
            <w:r>
              <w:rPr>
                <w:rFonts w:cstheme="minorHAnsi"/>
                <w:b/>
                <w:sz w:val="20"/>
                <w:szCs w:val="20"/>
              </w:rPr>
              <w:t>WIC GENERAL LEDGER REPORTING</w:t>
            </w:r>
          </w:p>
        </w:tc>
        <w:tc>
          <w:tcPr>
            <w:tcW w:w="8005" w:type="dxa"/>
          </w:tcPr>
          <w:p w14:paraId="6704EA83" w14:textId="211FA0EF" w:rsidR="00617225" w:rsidRDefault="00CD390E" w:rsidP="0082219D">
            <w:pPr>
              <w:spacing w:after="60"/>
              <w:rPr>
                <w:rFonts w:cstheme="minorHAnsi"/>
                <w:sz w:val="20"/>
                <w:szCs w:val="20"/>
              </w:rPr>
            </w:pPr>
            <w:r>
              <w:rPr>
                <w:rFonts w:cstheme="minorHAnsi"/>
                <w:sz w:val="20"/>
                <w:szCs w:val="20"/>
              </w:rPr>
              <w:t>Effective 1/1/19 General Ledger reports must be submitted with quarterly Expenditure and Revenue Report.  First report due is for FY19 Quarter 3.</w:t>
            </w:r>
            <w:r w:rsidR="00BC5C1A">
              <w:rPr>
                <w:rFonts w:cstheme="minorHAnsi"/>
                <w:sz w:val="20"/>
                <w:szCs w:val="20"/>
              </w:rPr>
              <w:t xml:space="preserve">  Reports should be cumulative for FY.</w:t>
            </w:r>
          </w:p>
        </w:tc>
      </w:tr>
      <w:tr w:rsidR="00E369F0" w:rsidRPr="007B75AC" w14:paraId="3383798D" w14:textId="77777777" w:rsidTr="00816A24">
        <w:tc>
          <w:tcPr>
            <w:tcW w:w="2700" w:type="dxa"/>
          </w:tcPr>
          <w:p w14:paraId="650B5120" w14:textId="77777777" w:rsidR="00E369F0" w:rsidRPr="007B75AC" w:rsidRDefault="00E369F0" w:rsidP="00E369F0">
            <w:pPr>
              <w:rPr>
                <w:rFonts w:cstheme="minorHAnsi"/>
                <w:b/>
                <w:sz w:val="20"/>
                <w:szCs w:val="20"/>
              </w:rPr>
            </w:pPr>
            <w:r w:rsidRPr="007B75AC">
              <w:rPr>
                <w:rFonts w:cstheme="minorHAnsi"/>
                <w:b/>
                <w:sz w:val="20"/>
                <w:szCs w:val="20"/>
              </w:rPr>
              <w:t>TOTAL WIC PROGRAM</w:t>
            </w:r>
          </w:p>
        </w:tc>
        <w:tc>
          <w:tcPr>
            <w:tcW w:w="8005" w:type="dxa"/>
          </w:tcPr>
          <w:p w14:paraId="7E343288" w14:textId="77777777" w:rsidR="00E369F0" w:rsidRPr="007B75AC" w:rsidRDefault="00923D5E" w:rsidP="0082219D">
            <w:pPr>
              <w:spacing w:after="60"/>
              <w:rPr>
                <w:rFonts w:cstheme="minorHAnsi"/>
                <w:sz w:val="20"/>
                <w:szCs w:val="20"/>
              </w:rPr>
            </w:pPr>
            <w:r>
              <w:rPr>
                <w:rFonts w:cstheme="minorHAnsi"/>
                <w:sz w:val="20"/>
                <w:szCs w:val="20"/>
              </w:rPr>
              <w:t>T</w:t>
            </w:r>
            <w:r w:rsidR="00E369F0" w:rsidRPr="007B75AC">
              <w:rPr>
                <w:rFonts w:cstheme="minorHAnsi"/>
                <w:sz w:val="20"/>
                <w:szCs w:val="20"/>
              </w:rPr>
              <w:t>he total of the four WIC expenditure categories for each quarter and fiscal year.</w:t>
            </w:r>
            <w:r>
              <w:rPr>
                <w:rFonts w:cstheme="minorHAnsi"/>
                <w:sz w:val="20"/>
                <w:szCs w:val="20"/>
              </w:rPr>
              <w:t xml:space="preserve"> On the Excel report template, this is an auto sum field.</w:t>
            </w:r>
          </w:p>
        </w:tc>
      </w:tr>
      <w:tr w:rsidR="00E369F0" w:rsidRPr="007B75AC" w14:paraId="401A2890" w14:textId="77777777" w:rsidTr="00816A24">
        <w:tc>
          <w:tcPr>
            <w:tcW w:w="2700" w:type="dxa"/>
          </w:tcPr>
          <w:p w14:paraId="55DAF0A9" w14:textId="77777777" w:rsidR="00E369F0" w:rsidRPr="007B75AC" w:rsidRDefault="00E369F0" w:rsidP="00E369F0">
            <w:pPr>
              <w:rPr>
                <w:rFonts w:cstheme="minorHAnsi"/>
                <w:b/>
                <w:sz w:val="20"/>
                <w:szCs w:val="20"/>
              </w:rPr>
            </w:pPr>
            <w:r w:rsidRPr="007B75AC">
              <w:rPr>
                <w:rFonts w:cstheme="minorHAnsi"/>
                <w:b/>
                <w:sz w:val="20"/>
                <w:szCs w:val="20"/>
              </w:rPr>
              <w:t>Fiscal Year to Date</w:t>
            </w:r>
          </w:p>
        </w:tc>
        <w:tc>
          <w:tcPr>
            <w:tcW w:w="8005" w:type="dxa"/>
          </w:tcPr>
          <w:p w14:paraId="4B4F6673" w14:textId="77777777" w:rsidR="00E369F0" w:rsidRPr="007B75AC" w:rsidRDefault="00923D5E" w:rsidP="00880C56">
            <w:pPr>
              <w:rPr>
                <w:rFonts w:cstheme="minorHAnsi"/>
                <w:sz w:val="20"/>
                <w:szCs w:val="20"/>
              </w:rPr>
            </w:pPr>
            <w:r>
              <w:rPr>
                <w:rFonts w:cstheme="minorHAnsi"/>
                <w:sz w:val="20"/>
                <w:szCs w:val="20"/>
              </w:rPr>
              <w:t>T</w:t>
            </w:r>
            <w:r w:rsidR="00E369F0" w:rsidRPr="007B75AC">
              <w:rPr>
                <w:rFonts w:cstheme="minorHAnsi"/>
                <w:sz w:val="20"/>
                <w:szCs w:val="20"/>
              </w:rPr>
              <w:t>he YTD total of each WIC category for the fiscal year.</w:t>
            </w:r>
            <w:r>
              <w:rPr>
                <w:rFonts w:cstheme="minorHAnsi"/>
                <w:sz w:val="20"/>
                <w:szCs w:val="20"/>
              </w:rPr>
              <w:t xml:space="preserve"> On the Excel report template, this is an auto sum field.</w:t>
            </w:r>
          </w:p>
        </w:tc>
      </w:tr>
      <w:tr w:rsidR="00E369F0" w:rsidRPr="007B75AC" w14:paraId="1F6A0B12" w14:textId="77777777" w:rsidTr="00816A24">
        <w:tc>
          <w:tcPr>
            <w:tcW w:w="2700" w:type="dxa"/>
          </w:tcPr>
          <w:p w14:paraId="4692ED89" w14:textId="77777777" w:rsidR="00E369F0" w:rsidRPr="007B75AC" w:rsidRDefault="00E369F0" w:rsidP="00E369F0">
            <w:pPr>
              <w:rPr>
                <w:rFonts w:cstheme="minorHAnsi"/>
                <w:b/>
                <w:sz w:val="20"/>
                <w:szCs w:val="20"/>
              </w:rPr>
            </w:pPr>
          </w:p>
        </w:tc>
        <w:tc>
          <w:tcPr>
            <w:tcW w:w="8005" w:type="dxa"/>
          </w:tcPr>
          <w:p w14:paraId="0DAF76B7" w14:textId="77777777" w:rsidR="00E369F0" w:rsidRPr="007B75AC" w:rsidRDefault="00E369F0" w:rsidP="00E369F0">
            <w:pPr>
              <w:rPr>
                <w:rFonts w:cstheme="minorHAnsi"/>
                <w:sz w:val="20"/>
                <w:szCs w:val="20"/>
              </w:rPr>
            </w:pPr>
          </w:p>
        </w:tc>
      </w:tr>
      <w:tr w:rsidR="00E369F0" w:rsidRPr="007B75AC" w14:paraId="4FC06CDE" w14:textId="77777777" w:rsidTr="00816A24">
        <w:tc>
          <w:tcPr>
            <w:tcW w:w="2700" w:type="dxa"/>
            <w:shd w:val="clear" w:color="auto" w:fill="E7E6E6" w:themeFill="background2"/>
          </w:tcPr>
          <w:p w14:paraId="42377B0B" w14:textId="77777777" w:rsidR="00E369F0" w:rsidRPr="007B75AC" w:rsidRDefault="00E369F0" w:rsidP="00E369F0">
            <w:pPr>
              <w:pStyle w:val="ListParagraph"/>
              <w:numPr>
                <w:ilvl w:val="0"/>
                <w:numId w:val="1"/>
              </w:numPr>
              <w:rPr>
                <w:rFonts w:cstheme="minorHAnsi"/>
                <w:b/>
                <w:sz w:val="20"/>
                <w:szCs w:val="20"/>
              </w:rPr>
            </w:pPr>
            <w:r w:rsidRPr="007B75AC">
              <w:rPr>
                <w:rFonts w:cstheme="minorHAnsi"/>
                <w:b/>
                <w:sz w:val="20"/>
                <w:szCs w:val="20"/>
              </w:rPr>
              <w:t>CERTIFICATE</w:t>
            </w:r>
          </w:p>
        </w:tc>
        <w:tc>
          <w:tcPr>
            <w:tcW w:w="8005" w:type="dxa"/>
            <w:shd w:val="clear" w:color="auto" w:fill="E7E6E6" w:themeFill="background2"/>
          </w:tcPr>
          <w:p w14:paraId="6578361A" w14:textId="77777777" w:rsidR="00E369F0" w:rsidRPr="007B75AC" w:rsidRDefault="00E369F0" w:rsidP="00E369F0">
            <w:pPr>
              <w:rPr>
                <w:rFonts w:cstheme="minorHAnsi"/>
                <w:sz w:val="20"/>
                <w:szCs w:val="20"/>
              </w:rPr>
            </w:pPr>
            <w:r w:rsidRPr="007B75AC">
              <w:rPr>
                <w:rFonts w:cstheme="minorHAnsi"/>
                <w:sz w:val="20"/>
                <w:szCs w:val="20"/>
              </w:rPr>
              <w:t>Certify the report.</w:t>
            </w:r>
          </w:p>
        </w:tc>
      </w:tr>
      <w:tr w:rsidR="00E369F0" w:rsidRPr="007B75AC" w14:paraId="2AFC4034" w14:textId="77777777" w:rsidTr="00816A24">
        <w:tc>
          <w:tcPr>
            <w:tcW w:w="2700" w:type="dxa"/>
          </w:tcPr>
          <w:p w14:paraId="241D704B" w14:textId="77777777" w:rsidR="00E369F0" w:rsidRPr="007B75AC" w:rsidRDefault="00E369F0" w:rsidP="00E369F0">
            <w:pPr>
              <w:rPr>
                <w:rFonts w:cstheme="minorHAnsi"/>
                <w:b/>
                <w:sz w:val="20"/>
                <w:szCs w:val="20"/>
              </w:rPr>
            </w:pPr>
            <w:r w:rsidRPr="007B75AC">
              <w:rPr>
                <w:rFonts w:cstheme="minorHAnsi"/>
                <w:b/>
                <w:sz w:val="20"/>
                <w:szCs w:val="20"/>
              </w:rPr>
              <w:t>Prepared By</w:t>
            </w:r>
          </w:p>
        </w:tc>
        <w:tc>
          <w:tcPr>
            <w:tcW w:w="8005" w:type="dxa"/>
          </w:tcPr>
          <w:p w14:paraId="1869B973" w14:textId="77777777" w:rsidR="00E369F0" w:rsidRPr="007B75AC" w:rsidRDefault="00E369F0" w:rsidP="007B75AC">
            <w:pPr>
              <w:spacing w:after="60"/>
              <w:rPr>
                <w:rFonts w:cstheme="minorHAnsi"/>
                <w:sz w:val="20"/>
                <w:szCs w:val="20"/>
              </w:rPr>
            </w:pPr>
            <w:r w:rsidRPr="007B75AC">
              <w:rPr>
                <w:rFonts w:cstheme="minorHAnsi"/>
                <w:sz w:val="20"/>
                <w:szCs w:val="20"/>
              </w:rPr>
              <w:t>Enter the name and phone number of the person preparing the report.</w:t>
            </w:r>
          </w:p>
        </w:tc>
      </w:tr>
      <w:tr w:rsidR="00E369F0" w:rsidRPr="007B75AC" w14:paraId="65309480" w14:textId="77777777" w:rsidTr="00816A24">
        <w:tc>
          <w:tcPr>
            <w:tcW w:w="2700" w:type="dxa"/>
          </w:tcPr>
          <w:p w14:paraId="2A37D30C" w14:textId="77777777" w:rsidR="00E369F0" w:rsidRPr="007B75AC" w:rsidRDefault="00E369F0" w:rsidP="00E369F0">
            <w:pPr>
              <w:rPr>
                <w:rFonts w:cstheme="minorHAnsi"/>
                <w:b/>
                <w:sz w:val="20"/>
                <w:szCs w:val="20"/>
              </w:rPr>
            </w:pPr>
            <w:r w:rsidRPr="007B75AC">
              <w:rPr>
                <w:rFonts w:cstheme="minorHAnsi"/>
                <w:b/>
                <w:sz w:val="20"/>
                <w:szCs w:val="20"/>
              </w:rPr>
              <w:t>Authorized Agent Signature</w:t>
            </w:r>
          </w:p>
        </w:tc>
        <w:tc>
          <w:tcPr>
            <w:tcW w:w="8005" w:type="dxa"/>
          </w:tcPr>
          <w:p w14:paraId="3AA84A21" w14:textId="77777777" w:rsidR="00E369F0" w:rsidRPr="007B75AC" w:rsidRDefault="00E369F0" w:rsidP="007B75AC">
            <w:pPr>
              <w:spacing w:after="60"/>
              <w:rPr>
                <w:rFonts w:cstheme="minorHAnsi"/>
                <w:sz w:val="20"/>
                <w:szCs w:val="20"/>
              </w:rPr>
            </w:pPr>
            <w:r w:rsidRPr="007B75AC">
              <w:rPr>
                <w:rFonts w:cstheme="minorHAnsi"/>
                <w:sz w:val="20"/>
                <w:szCs w:val="20"/>
              </w:rPr>
              <w:t>Obtain the signature, name and date of the authorized agent.</w:t>
            </w:r>
          </w:p>
        </w:tc>
      </w:tr>
      <w:tr w:rsidR="00E369F0" w:rsidRPr="007B75AC" w14:paraId="32E85C35" w14:textId="77777777" w:rsidTr="00816A24">
        <w:tc>
          <w:tcPr>
            <w:tcW w:w="2700" w:type="dxa"/>
          </w:tcPr>
          <w:p w14:paraId="13BDDB67" w14:textId="77777777" w:rsidR="00E369F0" w:rsidRPr="007B75AC" w:rsidRDefault="00E369F0" w:rsidP="00E369F0">
            <w:pPr>
              <w:rPr>
                <w:rFonts w:cstheme="minorHAnsi"/>
                <w:b/>
                <w:sz w:val="20"/>
                <w:szCs w:val="20"/>
              </w:rPr>
            </w:pPr>
            <w:r w:rsidRPr="007B75AC">
              <w:rPr>
                <w:rFonts w:cstheme="minorHAnsi"/>
                <w:b/>
                <w:sz w:val="20"/>
                <w:szCs w:val="20"/>
              </w:rPr>
              <w:t>Where to Submit Report</w:t>
            </w:r>
          </w:p>
        </w:tc>
        <w:tc>
          <w:tcPr>
            <w:tcW w:w="8005" w:type="dxa"/>
          </w:tcPr>
          <w:p w14:paraId="7596BD48" w14:textId="77777777" w:rsidR="00E369F0" w:rsidRPr="007B75AC" w:rsidRDefault="00E369F0" w:rsidP="007B75AC">
            <w:pPr>
              <w:spacing w:after="60"/>
              <w:rPr>
                <w:rFonts w:cstheme="minorHAnsi"/>
                <w:sz w:val="20"/>
                <w:szCs w:val="20"/>
              </w:rPr>
            </w:pPr>
            <w:r w:rsidRPr="007B75AC">
              <w:rPr>
                <w:rFonts w:cstheme="minorHAnsi"/>
                <w:sz w:val="20"/>
                <w:szCs w:val="20"/>
              </w:rPr>
              <w:t>Email the report to the Email To: address indicated on the form.</w:t>
            </w:r>
          </w:p>
        </w:tc>
      </w:tr>
      <w:tr w:rsidR="00E369F0" w:rsidRPr="007B75AC" w14:paraId="351B6186" w14:textId="77777777" w:rsidTr="00816A24">
        <w:tc>
          <w:tcPr>
            <w:tcW w:w="2700" w:type="dxa"/>
          </w:tcPr>
          <w:p w14:paraId="17262A35" w14:textId="77777777" w:rsidR="00E369F0" w:rsidRPr="007B75AC" w:rsidRDefault="00E369F0" w:rsidP="00E369F0">
            <w:pPr>
              <w:rPr>
                <w:rFonts w:cstheme="minorHAnsi"/>
                <w:b/>
                <w:sz w:val="20"/>
                <w:szCs w:val="20"/>
              </w:rPr>
            </w:pPr>
            <w:r w:rsidRPr="007B75AC">
              <w:rPr>
                <w:rFonts w:cstheme="minorHAnsi"/>
                <w:b/>
                <w:sz w:val="20"/>
                <w:szCs w:val="20"/>
              </w:rPr>
              <w:t>REIMBURSEMENT FROM THE STATE</w:t>
            </w:r>
          </w:p>
        </w:tc>
        <w:tc>
          <w:tcPr>
            <w:tcW w:w="8005" w:type="dxa"/>
          </w:tcPr>
          <w:p w14:paraId="2E2DFBA3" w14:textId="77777777" w:rsidR="00E369F0" w:rsidRPr="007B75AC" w:rsidRDefault="00E369F0" w:rsidP="007B75AC">
            <w:pPr>
              <w:spacing w:after="60"/>
              <w:rPr>
                <w:rFonts w:cstheme="minorHAnsi"/>
                <w:sz w:val="20"/>
                <w:szCs w:val="20"/>
              </w:rPr>
            </w:pPr>
            <w:r w:rsidRPr="007B75AC">
              <w:rPr>
                <w:rFonts w:cstheme="minorHAnsi"/>
                <w:sz w:val="20"/>
                <w:szCs w:val="20"/>
              </w:rPr>
              <w:t>Transfer document will be forwarded to the county treasurer (where appropriate) with a copy to the local agency when OHA Public Health Division makes reimbursement</w:t>
            </w:r>
          </w:p>
        </w:tc>
      </w:tr>
      <w:tr w:rsidR="00E369F0" w:rsidRPr="007B75AC" w14:paraId="6ED1557D" w14:textId="77777777" w:rsidTr="00816A24">
        <w:tc>
          <w:tcPr>
            <w:tcW w:w="2700" w:type="dxa"/>
          </w:tcPr>
          <w:p w14:paraId="76792C31" w14:textId="77777777" w:rsidR="00E369F0" w:rsidRPr="007B75AC" w:rsidRDefault="00E369F0" w:rsidP="00E369F0">
            <w:pPr>
              <w:rPr>
                <w:rFonts w:cstheme="minorHAnsi"/>
                <w:b/>
                <w:sz w:val="20"/>
                <w:szCs w:val="20"/>
              </w:rPr>
            </w:pPr>
            <w:r w:rsidRPr="007B75AC">
              <w:rPr>
                <w:rFonts w:cstheme="minorHAnsi"/>
                <w:b/>
                <w:sz w:val="20"/>
                <w:szCs w:val="20"/>
              </w:rPr>
              <w:t>WHEN A BUDGET REVISION IS REQUIRED</w:t>
            </w:r>
          </w:p>
        </w:tc>
        <w:tc>
          <w:tcPr>
            <w:tcW w:w="8005" w:type="dxa"/>
          </w:tcPr>
          <w:p w14:paraId="21A13DD4" w14:textId="77777777" w:rsidR="00E369F0" w:rsidRPr="007B75AC" w:rsidRDefault="00E369F0" w:rsidP="00E369F0">
            <w:pPr>
              <w:rPr>
                <w:rFonts w:cstheme="minorHAnsi"/>
                <w:sz w:val="20"/>
                <w:szCs w:val="20"/>
              </w:rPr>
            </w:pPr>
            <w:r w:rsidRPr="007B75AC">
              <w:rPr>
                <w:rFonts w:cstheme="minorHAnsi"/>
                <w:sz w:val="20"/>
                <w:szCs w:val="20"/>
              </w:rPr>
              <w:t>It is understood that the pattern of expenses will follow the estimates set forth in the approved budget application. To facilitate program development, however, transfers between expense categories may be made by the local agency except in the following instances, when a budget revision will be required:</w:t>
            </w:r>
          </w:p>
          <w:p w14:paraId="41CDA264" w14:textId="77777777" w:rsidR="00E369F0" w:rsidRPr="007B75AC" w:rsidRDefault="00E369F0" w:rsidP="00E369F0">
            <w:pPr>
              <w:rPr>
                <w:rFonts w:cstheme="minorHAnsi"/>
                <w:sz w:val="20"/>
                <w:szCs w:val="20"/>
              </w:rPr>
            </w:pPr>
            <w:r w:rsidRPr="007B75AC">
              <w:rPr>
                <w:rFonts w:cstheme="minorHAnsi"/>
                <w:sz w:val="20"/>
                <w:szCs w:val="20"/>
              </w:rPr>
              <w:t xml:space="preserve">● If a transfer would result in or reflect a significant change in the character or scope of the program. </w:t>
            </w:r>
          </w:p>
          <w:p w14:paraId="08DBAEE6" w14:textId="77777777" w:rsidR="00E369F0" w:rsidRPr="007B75AC" w:rsidRDefault="00E369F0" w:rsidP="00E369F0">
            <w:pPr>
              <w:rPr>
                <w:rFonts w:cstheme="minorHAnsi"/>
                <w:sz w:val="20"/>
                <w:szCs w:val="20"/>
              </w:rPr>
            </w:pPr>
            <w:r w:rsidRPr="007B75AC">
              <w:rPr>
                <w:rFonts w:cstheme="minorHAnsi"/>
                <w:sz w:val="20"/>
                <w:szCs w:val="20"/>
              </w:rPr>
              <w:t xml:space="preserve">● If there is a significant expenditure in a budget category for which funds were not initially budgeted in approved application. </w:t>
            </w:r>
          </w:p>
        </w:tc>
      </w:tr>
    </w:tbl>
    <w:p w14:paraId="6FC9957E" w14:textId="77777777" w:rsidR="00BD7B41" w:rsidRPr="007B75AC" w:rsidRDefault="00BD7B41">
      <w:pPr>
        <w:rPr>
          <w:rFonts w:cstheme="minorHAnsi"/>
          <w:b/>
          <w:sz w:val="20"/>
          <w:szCs w:val="20"/>
        </w:rPr>
      </w:pPr>
    </w:p>
    <w:sectPr w:rsidR="00BD7B41" w:rsidRPr="007B75AC" w:rsidSect="00293A5A">
      <w:headerReference w:type="default" r:id="rId8"/>
      <w:footerReference w:type="default" r:id="rId9"/>
      <w:pgSz w:w="12240" w:h="15840" w:code="1"/>
      <w:pgMar w:top="720" w:right="576" w:bottom="720" w:left="576"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93866" w14:textId="77777777" w:rsidR="00350641" w:rsidRDefault="00350641" w:rsidP="00BD7B41">
      <w:pPr>
        <w:spacing w:after="0" w:line="240" w:lineRule="auto"/>
      </w:pPr>
      <w:r>
        <w:separator/>
      </w:r>
    </w:p>
  </w:endnote>
  <w:endnote w:type="continuationSeparator" w:id="0">
    <w:p w14:paraId="3D909302" w14:textId="77777777" w:rsidR="00350641" w:rsidRDefault="00350641" w:rsidP="00BD7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9483105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0B7928D" w14:textId="44E8DFC1" w:rsidR="007C1DB2" w:rsidRPr="00DB7945" w:rsidRDefault="00936403" w:rsidP="00936403">
            <w:pPr>
              <w:pStyle w:val="Footer"/>
              <w:tabs>
                <w:tab w:val="clear" w:pos="9360"/>
                <w:tab w:val="right" w:pos="10710"/>
              </w:tabs>
              <w:rPr>
                <w:sz w:val="18"/>
                <w:szCs w:val="18"/>
              </w:rPr>
            </w:pPr>
            <w:r>
              <w:rPr>
                <w:sz w:val="18"/>
                <w:szCs w:val="18"/>
              </w:rPr>
              <w:t xml:space="preserve">Form Number: 23-152 </w:t>
            </w:r>
            <w:r>
              <w:rPr>
                <w:sz w:val="18"/>
                <w:szCs w:val="18"/>
              </w:rPr>
              <w:tab/>
            </w:r>
            <w:r w:rsidR="004151F2">
              <w:rPr>
                <w:sz w:val="18"/>
                <w:szCs w:val="18"/>
              </w:rPr>
              <w:tab/>
            </w:r>
            <w:r>
              <w:rPr>
                <w:sz w:val="18"/>
                <w:szCs w:val="18"/>
              </w:rPr>
              <w:t xml:space="preserve">Revised </w:t>
            </w:r>
            <w:r w:rsidR="005F0317">
              <w:rPr>
                <w:sz w:val="18"/>
                <w:szCs w:val="18"/>
              </w:rPr>
              <w:t>July</w:t>
            </w:r>
            <w:r w:rsidR="00025A4B">
              <w:rPr>
                <w:sz w:val="18"/>
                <w:szCs w:val="18"/>
              </w:rPr>
              <w:t xml:space="preserve"> 2019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D3BEF" w14:textId="77777777" w:rsidR="00350641" w:rsidRDefault="00350641" w:rsidP="00BD7B41">
      <w:pPr>
        <w:spacing w:after="0" w:line="240" w:lineRule="auto"/>
      </w:pPr>
      <w:r>
        <w:separator/>
      </w:r>
    </w:p>
  </w:footnote>
  <w:footnote w:type="continuationSeparator" w:id="0">
    <w:p w14:paraId="0A552B80" w14:textId="77777777" w:rsidR="00350641" w:rsidRDefault="00350641" w:rsidP="00BD7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A17F2" w14:textId="77777777" w:rsidR="00F529B9" w:rsidRPr="00C405BE" w:rsidRDefault="00F529B9" w:rsidP="00F529B9">
    <w:pPr>
      <w:tabs>
        <w:tab w:val="left" w:pos="3348"/>
      </w:tabs>
      <w:spacing w:after="0"/>
      <w:ind w:left="115"/>
      <w:rPr>
        <w:rFonts w:cstheme="minorHAnsi"/>
        <w:b/>
        <w:sz w:val="20"/>
        <w:szCs w:val="20"/>
        <w:u w:val="single"/>
      </w:rPr>
    </w:pPr>
    <w:r w:rsidRPr="00C405BE">
      <w:rPr>
        <w:rFonts w:cstheme="minorHAnsi"/>
        <w:b/>
        <w:sz w:val="20"/>
        <w:szCs w:val="20"/>
      </w:rPr>
      <w:t>TITLE OF FORM:</w:t>
    </w:r>
    <w:r w:rsidRPr="00C405BE">
      <w:rPr>
        <w:rFonts w:cstheme="minorHAnsi"/>
        <w:b/>
        <w:sz w:val="20"/>
        <w:szCs w:val="20"/>
      </w:rPr>
      <w:tab/>
    </w:r>
    <w:r w:rsidRPr="00C405BE">
      <w:rPr>
        <w:rFonts w:cstheme="minorHAnsi"/>
        <w:b/>
        <w:sz w:val="20"/>
        <w:szCs w:val="20"/>
        <w:u w:val="single"/>
      </w:rPr>
      <w:t>OHA Public Health Division Expenditure and Revenue Report</w:t>
    </w:r>
  </w:p>
  <w:p w14:paraId="7B454D37" w14:textId="77777777" w:rsidR="00F529B9" w:rsidRPr="00C405BE" w:rsidRDefault="00F529B9" w:rsidP="00F529B9">
    <w:pPr>
      <w:tabs>
        <w:tab w:val="left" w:pos="3348"/>
        <w:tab w:val="left" w:pos="4515"/>
      </w:tabs>
      <w:ind w:left="108"/>
      <w:rPr>
        <w:sz w:val="20"/>
        <w:szCs w:val="20"/>
      </w:rPr>
    </w:pPr>
    <w:r w:rsidRPr="00C405BE">
      <w:rPr>
        <w:rFonts w:cstheme="minorHAnsi"/>
        <w:b/>
        <w:sz w:val="20"/>
        <w:szCs w:val="20"/>
      </w:rPr>
      <w:t>FORM NUMBER:</w:t>
    </w:r>
    <w:r w:rsidRPr="00C405BE">
      <w:rPr>
        <w:rFonts w:cstheme="minorHAnsi"/>
        <w:b/>
        <w:sz w:val="20"/>
        <w:szCs w:val="20"/>
      </w:rPr>
      <w:tab/>
    </w:r>
    <w:r w:rsidRPr="00C405BE">
      <w:rPr>
        <w:rFonts w:cstheme="minorHAnsi"/>
        <w:b/>
        <w:sz w:val="20"/>
        <w:szCs w:val="20"/>
        <w:u w:val="single"/>
      </w:rPr>
      <w:t>23-152</w:t>
    </w:r>
    <w:r w:rsidR="000A3203" w:rsidRPr="00C405BE">
      <w:rPr>
        <w:rFonts w:cstheme="minorHAnsi"/>
        <w:b/>
        <w:sz w:val="20"/>
        <w:szCs w:val="20"/>
      </w:rPr>
      <w:t xml:space="preserv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A3BEA"/>
    <w:multiLevelType w:val="hybridMultilevel"/>
    <w:tmpl w:val="213E92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C4D6BDC"/>
    <w:multiLevelType w:val="hybridMultilevel"/>
    <w:tmpl w:val="FBCA0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B7"/>
    <w:rsid w:val="000175A9"/>
    <w:rsid w:val="0002168A"/>
    <w:rsid w:val="00025A4B"/>
    <w:rsid w:val="00031846"/>
    <w:rsid w:val="00044555"/>
    <w:rsid w:val="000A3203"/>
    <w:rsid w:val="000B049F"/>
    <w:rsid w:val="000D7E22"/>
    <w:rsid w:val="000E7AC4"/>
    <w:rsid w:val="0010305B"/>
    <w:rsid w:val="00115E8B"/>
    <w:rsid w:val="00121CFF"/>
    <w:rsid w:val="00125658"/>
    <w:rsid w:val="001406DF"/>
    <w:rsid w:val="0014402C"/>
    <w:rsid w:val="00183B21"/>
    <w:rsid w:val="00186995"/>
    <w:rsid w:val="00194E5F"/>
    <w:rsid w:val="001B1F99"/>
    <w:rsid w:val="001E4978"/>
    <w:rsid w:val="001F4782"/>
    <w:rsid w:val="00225F61"/>
    <w:rsid w:val="00225FAF"/>
    <w:rsid w:val="002361E2"/>
    <w:rsid w:val="0024474A"/>
    <w:rsid w:val="002471AF"/>
    <w:rsid w:val="00262B61"/>
    <w:rsid w:val="00265AC8"/>
    <w:rsid w:val="002670AA"/>
    <w:rsid w:val="0027106F"/>
    <w:rsid w:val="00271347"/>
    <w:rsid w:val="002733FE"/>
    <w:rsid w:val="00277046"/>
    <w:rsid w:val="002773D1"/>
    <w:rsid w:val="00285D14"/>
    <w:rsid w:val="00293739"/>
    <w:rsid w:val="00293A5A"/>
    <w:rsid w:val="002B1578"/>
    <w:rsid w:val="002B592B"/>
    <w:rsid w:val="002C35C0"/>
    <w:rsid w:val="00303595"/>
    <w:rsid w:val="003049EA"/>
    <w:rsid w:val="00325BE2"/>
    <w:rsid w:val="0033433E"/>
    <w:rsid w:val="0033505F"/>
    <w:rsid w:val="00340912"/>
    <w:rsid w:val="00343A71"/>
    <w:rsid w:val="0034420B"/>
    <w:rsid w:val="00350641"/>
    <w:rsid w:val="003729EF"/>
    <w:rsid w:val="00397742"/>
    <w:rsid w:val="003A2D98"/>
    <w:rsid w:val="003A3A29"/>
    <w:rsid w:val="003B757D"/>
    <w:rsid w:val="003D28EF"/>
    <w:rsid w:val="003D5427"/>
    <w:rsid w:val="003D5CA8"/>
    <w:rsid w:val="003E34BE"/>
    <w:rsid w:val="004127A8"/>
    <w:rsid w:val="004151F2"/>
    <w:rsid w:val="00433B62"/>
    <w:rsid w:val="00445E53"/>
    <w:rsid w:val="004652AE"/>
    <w:rsid w:val="004878E8"/>
    <w:rsid w:val="00493C98"/>
    <w:rsid w:val="004A420A"/>
    <w:rsid w:val="004A5AF5"/>
    <w:rsid w:val="004B63DC"/>
    <w:rsid w:val="004B758D"/>
    <w:rsid w:val="004B7BF1"/>
    <w:rsid w:val="004C20AE"/>
    <w:rsid w:val="004C219D"/>
    <w:rsid w:val="004D02E8"/>
    <w:rsid w:val="004D5A6D"/>
    <w:rsid w:val="004E202C"/>
    <w:rsid w:val="004E221B"/>
    <w:rsid w:val="004E5482"/>
    <w:rsid w:val="00502866"/>
    <w:rsid w:val="0053786B"/>
    <w:rsid w:val="00540A2C"/>
    <w:rsid w:val="00550830"/>
    <w:rsid w:val="00553715"/>
    <w:rsid w:val="0055627A"/>
    <w:rsid w:val="00584C44"/>
    <w:rsid w:val="005872D1"/>
    <w:rsid w:val="005B2E86"/>
    <w:rsid w:val="005B6807"/>
    <w:rsid w:val="005B78EB"/>
    <w:rsid w:val="005D5CDB"/>
    <w:rsid w:val="005D6E8D"/>
    <w:rsid w:val="005F0317"/>
    <w:rsid w:val="005F119C"/>
    <w:rsid w:val="005F1E87"/>
    <w:rsid w:val="0060299B"/>
    <w:rsid w:val="00617225"/>
    <w:rsid w:val="0062347A"/>
    <w:rsid w:val="00625B16"/>
    <w:rsid w:val="00640601"/>
    <w:rsid w:val="00640B65"/>
    <w:rsid w:val="0068162F"/>
    <w:rsid w:val="00685337"/>
    <w:rsid w:val="00690742"/>
    <w:rsid w:val="00696ADB"/>
    <w:rsid w:val="006A4205"/>
    <w:rsid w:val="006C12FF"/>
    <w:rsid w:val="006C1AFF"/>
    <w:rsid w:val="006C2A89"/>
    <w:rsid w:val="006C6D15"/>
    <w:rsid w:val="006C6DE1"/>
    <w:rsid w:val="006F3AE2"/>
    <w:rsid w:val="007212A3"/>
    <w:rsid w:val="00745E54"/>
    <w:rsid w:val="007473E9"/>
    <w:rsid w:val="00770814"/>
    <w:rsid w:val="007765DF"/>
    <w:rsid w:val="007814A4"/>
    <w:rsid w:val="007833A9"/>
    <w:rsid w:val="007B75AC"/>
    <w:rsid w:val="007C104F"/>
    <w:rsid w:val="007C1DB2"/>
    <w:rsid w:val="00810A4C"/>
    <w:rsid w:val="00813073"/>
    <w:rsid w:val="00814356"/>
    <w:rsid w:val="00816A24"/>
    <w:rsid w:val="00817C21"/>
    <w:rsid w:val="0082219D"/>
    <w:rsid w:val="008332F7"/>
    <w:rsid w:val="00834A01"/>
    <w:rsid w:val="0083558C"/>
    <w:rsid w:val="00847766"/>
    <w:rsid w:val="00854214"/>
    <w:rsid w:val="008627CB"/>
    <w:rsid w:val="0086570D"/>
    <w:rsid w:val="008706B6"/>
    <w:rsid w:val="00880C56"/>
    <w:rsid w:val="00883C81"/>
    <w:rsid w:val="00896E05"/>
    <w:rsid w:val="008E743D"/>
    <w:rsid w:val="008E771C"/>
    <w:rsid w:val="008E7FA9"/>
    <w:rsid w:val="009145B2"/>
    <w:rsid w:val="00923D5E"/>
    <w:rsid w:val="00926006"/>
    <w:rsid w:val="00931504"/>
    <w:rsid w:val="00936403"/>
    <w:rsid w:val="00944920"/>
    <w:rsid w:val="0094708E"/>
    <w:rsid w:val="00947424"/>
    <w:rsid w:val="00956F53"/>
    <w:rsid w:val="00960CD5"/>
    <w:rsid w:val="00977FD6"/>
    <w:rsid w:val="00993334"/>
    <w:rsid w:val="009A050D"/>
    <w:rsid w:val="009C7364"/>
    <w:rsid w:val="009E0580"/>
    <w:rsid w:val="00A175EE"/>
    <w:rsid w:val="00A22D83"/>
    <w:rsid w:val="00A25242"/>
    <w:rsid w:val="00A26B10"/>
    <w:rsid w:val="00A31DBF"/>
    <w:rsid w:val="00A40F5A"/>
    <w:rsid w:val="00A433D8"/>
    <w:rsid w:val="00A52EF3"/>
    <w:rsid w:val="00A626D3"/>
    <w:rsid w:val="00A64745"/>
    <w:rsid w:val="00A66CC5"/>
    <w:rsid w:val="00A757F8"/>
    <w:rsid w:val="00A822ED"/>
    <w:rsid w:val="00A955E5"/>
    <w:rsid w:val="00AB5E1A"/>
    <w:rsid w:val="00AD01DF"/>
    <w:rsid w:val="00B114C2"/>
    <w:rsid w:val="00B16EAE"/>
    <w:rsid w:val="00B24E73"/>
    <w:rsid w:val="00B30F7E"/>
    <w:rsid w:val="00B37C4E"/>
    <w:rsid w:val="00B41BC1"/>
    <w:rsid w:val="00B655E7"/>
    <w:rsid w:val="00B669FC"/>
    <w:rsid w:val="00B95A37"/>
    <w:rsid w:val="00B96B24"/>
    <w:rsid w:val="00BA459F"/>
    <w:rsid w:val="00BB309B"/>
    <w:rsid w:val="00BB6117"/>
    <w:rsid w:val="00BB68D4"/>
    <w:rsid w:val="00BC5C1A"/>
    <w:rsid w:val="00BC68B5"/>
    <w:rsid w:val="00BD7B41"/>
    <w:rsid w:val="00C06195"/>
    <w:rsid w:val="00C405BE"/>
    <w:rsid w:val="00C46B30"/>
    <w:rsid w:val="00C620AE"/>
    <w:rsid w:val="00C7041E"/>
    <w:rsid w:val="00C81A99"/>
    <w:rsid w:val="00CA5812"/>
    <w:rsid w:val="00CC7B9D"/>
    <w:rsid w:val="00CD390E"/>
    <w:rsid w:val="00CF4CEA"/>
    <w:rsid w:val="00D14FCB"/>
    <w:rsid w:val="00D1508B"/>
    <w:rsid w:val="00D32D3A"/>
    <w:rsid w:val="00D349A8"/>
    <w:rsid w:val="00D454F7"/>
    <w:rsid w:val="00D529CF"/>
    <w:rsid w:val="00D813E7"/>
    <w:rsid w:val="00D94048"/>
    <w:rsid w:val="00DA77E1"/>
    <w:rsid w:val="00DB1F5C"/>
    <w:rsid w:val="00DB7945"/>
    <w:rsid w:val="00DC7EFE"/>
    <w:rsid w:val="00DD0DB7"/>
    <w:rsid w:val="00E03606"/>
    <w:rsid w:val="00E14CF8"/>
    <w:rsid w:val="00E17B3F"/>
    <w:rsid w:val="00E233E2"/>
    <w:rsid w:val="00E31B66"/>
    <w:rsid w:val="00E336C1"/>
    <w:rsid w:val="00E35910"/>
    <w:rsid w:val="00E369F0"/>
    <w:rsid w:val="00E437CE"/>
    <w:rsid w:val="00E61B76"/>
    <w:rsid w:val="00E80EDA"/>
    <w:rsid w:val="00EA49DC"/>
    <w:rsid w:val="00EB4438"/>
    <w:rsid w:val="00EB7B73"/>
    <w:rsid w:val="00ED3A77"/>
    <w:rsid w:val="00F3440B"/>
    <w:rsid w:val="00F36F20"/>
    <w:rsid w:val="00F44A02"/>
    <w:rsid w:val="00F529B9"/>
    <w:rsid w:val="00F61F9A"/>
    <w:rsid w:val="00F7206F"/>
    <w:rsid w:val="00F727E9"/>
    <w:rsid w:val="00F90A97"/>
    <w:rsid w:val="00F96B1A"/>
    <w:rsid w:val="00FA6C87"/>
    <w:rsid w:val="00FA7E65"/>
    <w:rsid w:val="00FD0165"/>
    <w:rsid w:val="00FD1F5B"/>
    <w:rsid w:val="00FD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64798"/>
  <w15:chartTrackingRefBased/>
  <w15:docId w15:val="{16418764-B9A9-4BEA-A0A5-E137D201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7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B41"/>
  </w:style>
  <w:style w:type="paragraph" w:styleId="Footer">
    <w:name w:val="footer"/>
    <w:basedOn w:val="Normal"/>
    <w:link w:val="FooterChar"/>
    <w:uiPriority w:val="99"/>
    <w:unhideWhenUsed/>
    <w:rsid w:val="00BD7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B41"/>
  </w:style>
  <w:style w:type="paragraph" w:styleId="ListParagraph">
    <w:name w:val="List Paragraph"/>
    <w:basedOn w:val="Normal"/>
    <w:uiPriority w:val="34"/>
    <w:qFormat/>
    <w:rsid w:val="00FA7E65"/>
    <w:pPr>
      <w:ind w:left="720"/>
      <w:contextualSpacing/>
    </w:pPr>
  </w:style>
  <w:style w:type="paragraph" w:styleId="BalloonText">
    <w:name w:val="Balloon Text"/>
    <w:basedOn w:val="Normal"/>
    <w:link w:val="BalloonTextChar"/>
    <w:uiPriority w:val="99"/>
    <w:semiHidden/>
    <w:unhideWhenUsed/>
    <w:rsid w:val="0053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86B"/>
    <w:rPr>
      <w:rFonts w:ascii="Segoe UI" w:hAnsi="Segoe UI" w:cs="Segoe UI"/>
      <w:sz w:val="18"/>
      <w:szCs w:val="18"/>
    </w:rPr>
  </w:style>
  <w:style w:type="character" w:styleId="Hyperlink">
    <w:name w:val="Hyperlink"/>
    <w:basedOn w:val="DefaultParagraphFont"/>
    <w:uiPriority w:val="99"/>
    <w:unhideWhenUsed/>
    <w:rsid w:val="00931504"/>
    <w:rPr>
      <w:color w:val="0563C1" w:themeColor="hyperlink"/>
      <w:u w:val="single"/>
    </w:rPr>
  </w:style>
  <w:style w:type="character" w:styleId="UnresolvedMention">
    <w:name w:val="Unresolved Mention"/>
    <w:basedOn w:val="DefaultParagraphFont"/>
    <w:uiPriority w:val="99"/>
    <w:semiHidden/>
    <w:unhideWhenUsed/>
    <w:rsid w:val="00CC7B9D"/>
    <w:rPr>
      <w:color w:val="808080"/>
      <w:shd w:val="clear" w:color="auto" w:fill="E6E6E6"/>
    </w:rPr>
  </w:style>
  <w:style w:type="character" w:styleId="CommentReference">
    <w:name w:val="annotation reference"/>
    <w:basedOn w:val="DefaultParagraphFont"/>
    <w:uiPriority w:val="99"/>
    <w:semiHidden/>
    <w:unhideWhenUsed/>
    <w:rsid w:val="00EA49DC"/>
    <w:rPr>
      <w:sz w:val="16"/>
      <w:szCs w:val="16"/>
    </w:rPr>
  </w:style>
  <w:style w:type="paragraph" w:styleId="CommentText">
    <w:name w:val="annotation text"/>
    <w:basedOn w:val="Normal"/>
    <w:link w:val="CommentTextChar"/>
    <w:uiPriority w:val="99"/>
    <w:semiHidden/>
    <w:unhideWhenUsed/>
    <w:rsid w:val="00EA49DC"/>
    <w:pPr>
      <w:spacing w:line="240" w:lineRule="auto"/>
    </w:pPr>
    <w:rPr>
      <w:sz w:val="20"/>
      <w:szCs w:val="20"/>
    </w:rPr>
  </w:style>
  <w:style w:type="character" w:customStyle="1" w:styleId="CommentTextChar">
    <w:name w:val="Comment Text Char"/>
    <w:basedOn w:val="DefaultParagraphFont"/>
    <w:link w:val="CommentText"/>
    <w:uiPriority w:val="99"/>
    <w:semiHidden/>
    <w:rsid w:val="00EA49DC"/>
    <w:rPr>
      <w:sz w:val="20"/>
      <w:szCs w:val="20"/>
    </w:rPr>
  </w:style>
  <w:style w:type="paragraph" w:styleId="CommentSubject">
    <w:name w:val="annotation subject"/>
    <w:basedOn w:val="CommentText"/>
    <w:next w:val="CommentText"/>
    <w:link w:val="CommentSubjectChar"/>
    <w:uiPriority w:val="99"/>
    <w:semiHidden/>
    <w:unhideWhenUsed/>
    <w:rsid w:val="00EA49DC"/>
    <w:rPr>
      <w:b/>
      <w:bCs/>
    </w:rPr>
  </w:style>
  <w:style w:type="character" w:customStyle="1" w:styleId="CommentSubjectChar">
    <w:name w:val="Comment Subject Char"/>
    <w:basedOn w:val="CommentTextChar"/>
    <w:link w:val="CommentSubject"/>
    <w:uiPriority w:val="99"/>
    <w:semiHidden/>
    <w:rsid w:val="00EA49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83627">
      <w:bodyDiv w:val="1"/>
      <w:marLeft w:val="0"/>
      <w:marRight w:val="0"/>
      <w:marTop w:val="0"/>
      <w:marBottom w:val="0"/>
      <w:divBdr>
        <w:top w:val="none" w:sz="0" w:space="0" w:color="auto"/>
        <w:left w:val="none" w:sz="0" w:space="0" w:color="auto"/>
        <w:bottom w:val="none" w:sz="0" w:space="0" w:color="auto"/>
        <w:right w:val="none" w:sz="0" w:space="0" w:color="auto"/>
      </w:divBdr>
    </w:div>
    <w:div w:id="470101805">
      <w:bodyDiv w:val="1"/>
      <w:marLeft w:val="0"/>
      <w:marRight w:val="0"/>
      <w:marTop w:val="0"/>
      <w:marBottom w:val="0"/>
      <w:divBdr>
        <w:top w:val="none" w:sz="0" w:space="0" w:color="auto"/>
        <w:left w:val="none" w:sz="0" w:space="0" w:color="auto"/>
        <w:bottom w:val="none" w:sz="0" w:space="0" w:color="auto"/>
        <w:right w:val="none" w:sz="0" w:space="0" w:color="auto"/>
      </w:divBdr>
    </w:div>
    <w:div w:id="793013994">
      <w:bodyDiv w:val="1"/>
      <w:marLeft w:val="0"/>
      <w:marRight w:val="0"/>
      <w:marTop w:val="0"/>
      <w:marBottom w:val="0"/>
      <w:divBdr>
        <w:top w:val="none" w:sz="0" w:space="0" w:color="auto"/>
        <w:left w:val="none" w:sz="0" w:space="0" w:color="auto"/>
        <w:bottom w:val="none" w:sz="0" w:space="0" w:color="auto"/>
        <w:right w:val="none" w:sz="0" w:space="0" w:color="auto"/>
      </w:divBdr>
    </w:div>
    <w:div w:id="1156217605">
      <w:bodyDiv w:val="1"/>
      <w:marLeft w:val="0"/>
      <w:marRight w:val="0"/>
      <w:marTop w:val="0"/>
      <w:marBottom w:val="0"/>
      <w:divBdr>
        <w:top w:val="none" w:sz="0" w:space="0" w:color="auto"/>
        <w:left w:val="none" w:sz="0" w:space="0" w:color="auto"/>
        <w:bottom w:val="none" w:sz="0" w:space="0" w:color="auto"/>
        <w:right w:val="none" w:sz="0" w:space="0" w:color="auto"/>
      </w:divBdr>
    </w:div>
    <w:div w:id="214114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OHA-PHD.ExpendRevReport@dhsoha.state.or.u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AF213097129C4E9A3ABBD892EED684" ma:contentTypeVersion="18" ma:contentTypeDescription="Create a new document." ma:contentTypeScope="" ma:versionID="10b48143a768c04ef4637846a9253563">
  <xsd:schema xmlns:xsd="http://www.w3.org/2001/XMLSchema" xmlns:xs="http://www.w3.org/2001/XMLSchema" xmlns:p="http://schemas.microsoft.com/office/2006/metadata/properties" xmlns:ns1="http://schemas.microsoft.com/sharepoint/v3" xmlns:ns2="59da1016-2a1b-4f8a-9768-d7a4932f6f16" xmlns:ns3="b9e727c9-37af-4452-8534-630d889f6748" targetNamespace="http://schemas.microsoft.com/office/2006/metadata/properties" ma:root="true" ma:fieldsID="c13c345baae560816f3505c91f83d303" ns1:_="" ns2:_="" ns3:_="">
    <xsd:import namespace="http://schemas.microsoft.com/sharepoint/v3"/>
    <xsd:import namespace="59da1016-2a1b-4f8a-9768-d7a4932f6f16"/>
    <xsd:import namespace="b9e727c9-37af-4452-8534-630d889f674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e727c9-37af-4452-8534-630d889f674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b9e727c9-37af-4452-8534-630d889f6748" xsi:nil="true"/>
    <Meta_x0020_Keywords xmlns="b9e727c9-37af-4452-8534-630d889f674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43A299-67EE-4EF2-97EC-02CC6BD905FC}"/>
</file>

<file path=customXml/itemProps2.xml><?xml version="1.0" encoding="utf-8"?>
<ds:datastoreItem xmlns:ds="http://schemas.openxmlformats.org/officeDocument/2006/customXml" ds:itemID="{835B63E7-711A-4173-A34C-2553A13F0D19}"/>
</file>

<file path=customXml/itemProps3.xml><?xml version="1.0" encoding="utf-8"?>
<ds:datastoreItem xmlns:ds="http://schemas.openxmlformats.org/officeDocument/2006/customXml" ds:itemID="{97D22BEA-ABBC-4A0A-864C-C0B204EC9951}"/>
</file>

<file path=docProps/app.xml><?xml version="1.0" encoding="utf-8"?>
<Properties xmlns="http://schemas.openxmlformats.org/officeDocument/2006/extended-properties" xmlns:vt="http://schemas.openxmlformats.org/officeDocument/2006/docPropsVTypes">
  <Template>Normal</Template>
  <TotalTime>5</TotalTime>
  <Pages>3</Pages>
  <Words>1738</Words>
  <Characters>6590</Characters>
  <Application>Microsoft Office Word</Application>
  <DocSecurity>0</DocSecurity>
  <Lines>387</Lines>
  <Paragraphs>438</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Quach Mai</dc:creator>
  <cp:keywords/>
  <dc:description/>
  <cp:lastModifiedBy>Clark Derrick D</cp:lastModifiedBy>
  <cp:revision>5</cp:revision>
  <cp:lastPrinted>2017-12-07T23:00:00Z</cp:lastPrinted>
  <dcterms:created xsi:type="dcterms:W3CDTF">2019-03-20T16:00:00Z</dcterms:created>
  <dcterms:modified xsi:type="dcterms:W3CDTF">2019-03-20T21:40:00Z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0x0101005EAF213097129C4E9A3ABBD892EED684</vt:lpwstr>
  </property>
</Properties>
</file>