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3D05E" w14:textId="77777777" w:rsidR="004A0DBA" w:rsidRPr="0013287A" w:rsidRDefault="004A0DBA" w:rsidP="005D21A9">
      <w:pPr>
        <w:jc w:val="center"/>
        <w:rPr>
          <w:b/>
          <w:sz w:val="24"/>
          <w:szCs w:val="24"/>
        </w:rPr>
      </w:pPr>
      <w:r w:rsidRPr="0013287A">
        <w:rPr>
          <w:b/>
          <w:sz w:val="24"/>
          <w:szCs w:val="24"/>
        </w:rPr>
        <w:t>Oregon Housing and Community Services Department</w:t>
      </w:r>
    </w:p>
    <w:p w14:paraId="1F1D793F" w14:textId="66AFD1DD" w:rsidR="006C0C5E" w:rsidRPr="0013287A" w:rsidRDefault="005D21A9" w:rsidP="005D21A9">
      <w:pPr>
        <w:jc w:val="center"/>
        <w:rPr>
          <w:b/>
          <w:sz w:val="24"/>
          <w:szCs w:val="24"/>
        </w:rPr>
      </w:pPr>
      <w:r w:rsidRPr="0013287A">
        <w:rPr>
          <w:b/>
          <w:sz w:val="24"/>
          <w:szCs w:val="24"/>
        </w:rPr>
        <w:t>Request for Proposals #</w:t>
      </w:r>
      <w:r w:rsidR="009A2C0D">
        <w:rPr>
          <w:b/>
          <w:sz w:val="24"/>
          <w:szCs w:val="24"/>
        </w:rPr>
        <w:t>7255</w:t>
      </w:r>
    </w:p>
    <w:p w14:paraId="48C12A39" w14:textId="34FC687D" w:rsidR="005D21A9" w:rsidRPr="0013287A" w:rsidRDefault="009A2C0D" w:rsidP="005D21A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Mortgage Lien Release Services</w:t>
      </w:r>
    </w:p>
    <w:p w14:paraId="357D995C" w14:textId="77777777" w:rsidR="005D21A9" w:rsidRPr="0013287A" w:rsidRDefault="005D21A9" w:rsidP="005D21A9">
      <w:pPr>
        <w:jc w:val="center"/>
        <w:rPr>
          <w:b/>
          <w:sz w:val="24"/>
          <w:szCs w:val="24"/>
        </w:rPr>
      </w:pPr>
      <w:r w:rsidRPr="0013287A">
        <w:rPr>
          <w:b/>
          <w:sz w:val="24"/>
          <w:szCs w:val="24"/>
        </w:rPr>
        <w:t>Notice of Competitive Range</w:t>
      </w:r>
      <w:r w:rsidR="000C3EDD" w:rsidRPr="0013287A">
        <w:rPr>
          <w:b/>
          <w:sz w:val="24"/>
          <w:szCs w:val="24"/>
        </w:rPr>
        <w:t xml:space="preserve"> Determination</w:t>
      </w:r>
    </w:p>
    <w:p w14:paraId="2E71314B" w14:textId="6A4924AB" w:rsidR="00DA1FE3" w:rsidRPr="0013287A" w:rsidRDefault="009A2C0D" w:rsidP="005D21A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23, 2023</w:t>
      </w:r>
    </w:p>
    <w:p w14:paraId="477CE00A" w14:textId="77777777" w:rsidR="005D21A9" w:rsidRDefault="005D21A9" w:rsidP="005D21A9">
      <w:pPr>
        <w:jc w:val="center"/>
      </w:pPr>
    </w:p>
    <w:p w14:paraId="1CABB8A6" w14:textId="35045BFA" w:rsidR="005D21A9" w:rsidRDefault="005D21A9" w:rsidP="005D21A9">
      <w:r>
        <w:t>OHCS is issuing this Notice of Competitive Range</w:t>
      </w:r>
      <w:r w:rsidR="000C3EDD">
        <w:t xml:space="preserve"> Determination</w:t>
      </w:r>
      <w:r>
        <w:t xml:space="preserve"> for RFP #</w:t>
      </w:r>
      <w:r w:rsidR="009A2C0D">
        <w:t>7255</w:t>
      </w:r>
      <w:r>
        <w:t xml:space="preserve"> under section</w:t>
      </w:r>
      <w:r w:rsidR="004A0DBA">
        <w:t xml:space="preserve"> </w:t>
      </w:r>
      <w:r w:rsidR="009A2C0D">
        <w:t>4.10</w:t>
      </w:r>
      <w:r>
        <w:t xml:space="preserve">. The Proposers highlighted below will be advancing to Round 2 and will be invited to participate in Proposer </w:t>
      </w:r>
      <w:r w:rsidR="009A2C0D">
        <w:t>interviews</w:t>
      </w:r>
      <w:r w:rsidR="00921681">
        <w:t xml:space="preserve">, see section </w:t>
      </w:r>
      <w:r w:rsidR="009A2C0D">
        <w:t>4</w:t>
      </w:r>
      <w:r w:rsidR="00921681">
        <w:t>.11</w:t>
      </w:r>
      <w:r>
        <w:t xml:space="preserve">. </w:t>
      </w:r>
      <w:r w:rsidR="000C3EDD">
        <w:t xml:space="preserve">Additional information regarding the upcoming </w:t>
      </w:r>
      <w:r w:rsidR="00460E35">
        <w:t>interviews</w:t>
      </w:r>
      <w:r w:rsidR="000C3EDD">
        <w:t xml:space="preserve"> will be communicated via email to the participants advancing to Round 2. </w:t>
      </w:r>
      <w:r w:rsidR="00460E35">
        <w:t>Interviews</w:t>
      </w:r>
      <w:r w:rsidR="00921681">
        <w:t xml:space="preserve"> are anticipated to be scheduled for </w:t>
      </w:r>
      <w:r w:rsidR="00460E35">
        <w:t>April 2023</w:t>
      </w:r>
      <w:r w:rsidR="00921681">
        <w:t>.</w:t>
      </w:r>
    </w:p>
    <w:p w14:paraId="02D78A0E" w14:textId="77777777" w:rsidR="00903F9A" w:rsidRDefault="00903F9A" w:rsidP="005D21A9"/>
    <w:tbl>
      <w:tblPr>
        <w:tblW w:w="13105" w:type="dxa"/>
        <w:tblInd w:w="103" w:type="dxa"/>
        <w:tblLook w:val="04A0" w:firstRow="1" w:lastRow="0" w:firstColumn="1" w:lastColumn="0" w:noHBand="0" w:noVBand="1"/>
      </w:tblPr>
      <w:tblGrid>
        <w:gridCol w:w="5440"/>
        <w:gridCol w:w="1900"/>
        <w:gridCol w:w="2655"/>
        <w:gridCol w:w="270"/>
        <w:gridCol w:w="700"/>
        <w:gridCol w:w="640"/>
        <w:gridCol w:w="660"/>
        <w:gridCol w:w="840"/>
      </w:tblGrid>
      <w:tr w:rsidR="00DA1FE3" w:rsidRPr="00DA1FE3" w14:paraId="66CA383A" w14:textId="77777777" w:rsidTr="00DA1FE3">
        <w:trPr>
          <w:trHeight w:val="288"/>
        </w:trPr>
        <w:tc>
          <w:tcPr>
            <w:tcW w:w="9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FF"/>
            <w:noWrap/>
            <w:vAlign w:val="bottom"/>
            <w:hideMark/>
          </w:tcPr>
          <w:p w14:paraId="21D7F515" w14:textId="77777777" w:rsidR="00DA1FE3" w:rsidRPr="00DA1FE3" w:rsidRDefault="00DA1FE3" w:rsidP="00DA1FE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A1FE3">
              <w:rPr>
                <w:rFonts w:eastAsia="Times New Roman"/>
                <w:b/>
                <w:bCs/>
              </w:rPr>
              <w:t>Round 1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1F0BC" w14:textId="77777777" w:rsidR="00DA1FE3" w:rsidRPr="00DA1FE3" w:rsidRDefault="00DA1FE3" w:rsidP="00DA1FE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D3F6E" w14:textId="77777777" w:rsidR="00DA1FE3" w:rsidRPr="00DA1FE3" w:rsidRDefault="00DA1FE3" w:rsidP="00DA1FE3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71E6D" w14:textId="77777777" w:rsidR="00DA1FE3" w:rsidRPr="00DA1FE3" w:rsidRDefault="00DA1FE3" w:rsidP="00DA1FE3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70FAB" w14:textId="77777777" w:rsidR="00DA1FE3" w:rsidRPr="00DA1FE3" w:rsidRDefault="00DA1FE3" w:rsidP="00DA1FE3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0E550" w14:textId="77777777" w:rsidR="00DA1FE3" w:rsidRPr="00DA1FE3" w:rsidRDefault="00DA1FE3" w:rsidP="00DA1FE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DA1FE3" w:rsidRPr="00DA1FE3" w14:paraId="1DFC4A54" w14:textId="77777777" w:rsidTr="00DA1FE3">
        <w:trPr>
          <w:trHeight w:val="288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14:paraId="76DC072C" w14:textId="77777777" w:rsidR="00DA1FE3" w:rsidRPr="00DA1FE3" w:rsidRDefault="00DA1FE3" w:rsidP="00DA1FE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DA1FE3">
              <w:rPr>
                <w:rFonts w:eastAsia="Times New Roman"/>
                <w:b/>
                <w:bCs/>
              </w:rPr>
              <w:t>Vendor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14:paraId="720C17B8" w14:textId="77777777" w:rsidR="00DA1FE3" w:rsidRPr="00DA1FE3" w:rsidRDefault="00DA1FE3" w:rsidP="00DA1FE3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DA1FE3">
              <w:rPr>
                <w:rFonts w:eastAsia="Times New Roman"/>
                <w:b/>
                <w:bCs/>
              </w:rPr>
              <w:t>Combined Score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54F6EE0C" w14:textId="77777777" w:rsidR="00DA1FE3" w:rsidRPr="00DA1FE3" w:rsidRDefault="00DA1FE3" w:rsidP="00DA1FE3">
            <w:pPr>
              <w:spacing w:after="0" w:line="240" w:lineRule="auto"/>
              <w:rPr>
                <w:rFonts w:eastAsia="Times New Roman"/>
                <w:b/>
              </w:rPr>
            </w:pPr>
            <w:r w:rsidRPr="00DA1FE3">
              <w:rPr>
                <w:rFonts w:eastAsia="Times New Roman"/>
                <w:b/>
              </w:rPr>
              <w:t>Progressing to Round 2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7141C" w14:textId="77777777" w:rsidR="00DA1FE3" w:rsidRPr="00DA1FE3" w:rsidRDefault="00DA1FE3" w:rsidP="00DA1FE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B302B" w14:textId="77777777" w:rsidR="00DA1FE3" w:rsidRPr="00DA1FE3" w:rsidRDefault="00DA1FE3" w:rsidP="00DA1FE3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3ABBA" w14:textId="77777777" w:rsidR="00DA1FE3" w:rsidRPr="00DA1FE3" w:rsidRDefault="00DA1FE3" w:rsidP="00DA1FE3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FCAB3" w14:textId="77777777" w:rsidR="00DA1FE3" w:rsidRPr="00DA1FE3" w:rsidRDefault="00DA1FE3" w:rsidP="00DA1FE3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FFD7C" w14:textId="77777777" w:rsidR="00DA1FE3" w:rsidRPr="00DA1FE3" w:rsidRDefault="00DA1FE3" w:rsidP="00DA1FE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DA1FE3" w:rsidRPr="00DA1FE3" w14:paraId="1F80B818" w14:textId="77777777" w:rsidTr="00DA1FE3">
        <w:trPr>
          <w:trHeight w:val="288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2BC288B" w14:textId="2E405943" w:rsidR="00DA1FE3" w:rsidRPr="00DA1FE3" w:rsidRDefault="00460E35" w:rsidP="00DA1FE3">
            <w:pPr>
              <w:spacing w:after="0" w:line="240" w:lineRule="auto"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MetaSource</w:t>
            </w:r>
            <w:proofErr w:type="spellEnd"/>
            <w:r>
              <w:rPr>
                <w:rFonts w:eastAsia="Times New Roman"/>
              </w:rPr>
              <w:t>, LLC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76C46E5" w14:textId="183C8800" w:rsidR="00DA1FE3" w:rsidRPr="00DA1FE3" w:rsidRDefault="00460E35" w:rsidP="00DA1FE3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73.3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4FE89655" w14:textId="77777777" w:rsidR="00DA1FE3" w:rsidRPr="00DA1FE3" w:rsidRDefault="00DA1FE3" w:rsidP="00DA1FE3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Yes</w:t>
            </w:r>
          </w:p>
        </w:tc>
        <w:tc>
          <w:tcPr>
            <w:tcW w:w="3110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8DC1E3C" w14:textId="77777777" w:rsidR="00DA1FE3" w:rsidRPr="00DA1FE3" w:rsidRDefault="00DA1FE3" w:rsidP="00DA1FE3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460E35" w:rsidRPr="00DA1FE3" w14:paraId="6D09E1D4" w14:textId="77777777" w:rsidTr="00DA1FE3">
        <w:trPr>
          <w:trHeight w:val="288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8233175" w14:textId="688F7DA8" w:rsidR="00460E35" w:rsidRPr="00DA1FE3" w:rsidRDefault="00460E35" w:rsidP="00460E35">
            <w:pPr>
              <w:spacing w:after="0" w:line="240" w:lineRule="auto"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AmeriNational</w:t>
            </w:r>
            <w:proofErr w:type="spellEnd"/>
            <w:r>
              <w:rPr>
                <w:rFonts w:eastAsia="Times New Roman"/>
              </w:rPr>
              <w:t xml:space="preserve"> Community Services</w:t>
            </w:r>
            <w:r>
              <w:rPr>
                <w:rFonts w:eastAsia="Times New Roman"/>
              </w:rPr>
              <w:t>, LLC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92D2CF1" w14:textId="3F452D87" w:rsidR="00460E35" w:rsidRPr="00DA1FE3" w:rsidRDefault="00460E35" w:rsidP="00460E35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63.7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052218C8" w14:textId="77777777" w:rsidR="00460E35" w:rsidRPr="00DA1FE3" w:rsidRDefault="00460E35" w:rsidP="00460E35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Yes</w:t>
            </w:r>
          </w:p>
        </w:tc>
        <w:tc>
          <w:tcPr>
            <w:tcW w:w="311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81D7478" w14:textId="77777777" w:rsidR="00460E35" w:rsidRPr="00DA1FE3" w:rsidRDefault="00460E35" w:rsidP="00460E35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DA1FE3" w:rsidRPr="00DA1FE3" w14:paraId="0C57F26B" w14:textId="77777777" w:rsidTr="00460E35">
        <w:trPr>
          <w:trHeight w:val="288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F2971BC" w14:textId="407E9722" w:rsidR="00DA1FE3" w:rsidRPr="00DA1FE3" w:rsidRDefault="00460E35" w:rsidP="00DA1FE3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Nationwide Title Clearing, d/b/a </w:t>
            </w:r>
            <w:proofErr w:type="spellStart"/>
            <w:r>
              <w:rPr>
                <w:rFonts w:eastAsia="Times New Roman"/>
              </w:rPr>
              <w:t>Covius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3FD0C8A" w14:textId="41918409" w:rsidR="00DA1FE3" w:rsidRPr="00DA1FE3" w:rsidRDefault="00460E35" w:rsidP="00DA1FE3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58.3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7DD702C4" w14:textId="2AC25117" w:rsidR="00DA1FE3" w:rsidRPr="00AD37C0" w:rsidRDefault="00460E35" w:rsidP="00AD37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Yes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203FA" w14:textId="77777777" w:rsidR="00DA1FE3" w:rsidRPr="00DA1FE3" w:rsidRDefault="00DA1FE3" w:rsidP="00DA1FE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F6184" w14:textId="77777777" w:rsidR="00DA1FE3" w:rsidRPr="00DA1FE3" w:rsidRDefault="00DA1FE3" w:rsidP="00DA1FE3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CDAAD" w14:textId="77777777" w:rsidR="00DA1FE3" w:rsidRPr="00DA1FE3" w:rsidRDefault="00DA1FE3" w:rsidP="00DA1FE3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DCA88" w14:textId="77777777" w:rsidR="00DA1FE3" w:rsidRPr="00DA1FE3" w:rsidRDefault="00DA1FE3" w:rsidP="00DA1FE3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F9947" w14:textId="77777777" w:rsidR="00DA1FE3" w:rsidRPr="00DA1FE3" w:rsidRDefault="00DA1FE3" w:rsidP="00DA1FE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DA1FE3" w:rsidRPr="00DA1FE3" w14:paraId="1D79E918" w14:textId="77777777" w:rsidTr="00AD37C0">
        <w:trPr>
          <w:trHeight w:val="288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B9A23" w14:textId="20E9146B" w:rsidR="00DA1FE3" w:rsidRPr="00DA1FE3" w:rsidRDefault="00460E35" w:rsidP="00DA1FE3">
            <w:pPr>
              <w:spacing w:after="0" w:line="240" w:lineRule="auto"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Nemovi</w:t>
            </w:r>
            <w:proofErr w:type="spellEnd"/>
            <w:r>
              <w:rPr>
                <w:rFonts w:eastAsia="Times New Roman"/>
              </w:rPr>
              <w:t xml:space="preserve"> Law Group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4EB15" w14:textId="64869859" w:rsidR="00DA1FE3" w:rsidRPr="00DA1FE3" w:rsidRDefault="00460E35" w:rsidP="00DA1FE3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50.8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CB7193" w14:textId="77777777" w:rsidR="00DA1FE3" w:rsidRPr="00AD37C0" w:rsidRDefault="00AD37C0" w:rsidP="00AD37C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Not </w:t>
            </w:r>
            <w:proofErr w:type="gramStart"/>
            <w:r>
              <w:rPr>
                <w:rFonts w:eastAsia="Times New Roman"/>
              </w:rPr>
              <w:t>at this time</w:t>
            </w:r>
            <w:proofErr w:type="gramEnd"/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0F249" w14:textId="77777777" w:rsidR="00DA1FE3" w:rsidRPr="00DA1FE3" w:rsidRDefault="00DA1FE3" w:rsidP="00DA1FE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BCB37" w14:textId="77777777" w:rsidR="00DA1FE3" w:rsidRPr="00DA1FE3" w:rsidRDefault="00DA1FE3" w:rsidP="00DA1FE3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FB7A5" w14:textId="77777777" w:rsidR="00DA1FE3" w:rsidRPr="00DA1FE3" w:rsidRDefault="00DA1FE3" w:rsidP="00DA1FE3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53DC3" w14:textId="77777777" w:rsidR="00DA1FE3" w:rsidRPr="00DA1FE3" w:rsidRDefault="00DA1FE3" w:rsidP="00DA1FE3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F2F64" w14:textId="77777777" w:rsidR="00DA1FE3" w:rsidRPr="00DA1FE3" w:rsidRDefault="00DA1FE3" w:rsidP="00DA1FE3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14:paraId="68F0086C" w14:textId="77777777" w:rsidR="000C3EDD" w:rsidRDefault="000C3EDD" w:rsidP="005D21A9"/>
    <w:p w14:paraId="5B7FF4BE" w14:textId="77777777" w:rsidR="000C3EDD" w:rsidRDefault="000C3EDD" w:rsidP="005D21A9"/>
    <w:p w14:paraId="56DD113C" w14:textId="77777777" w:rsidR="005D21A9" w:rsidRDefault="005D21A9" w:rsidP="005D21A9">
      <w:pPr>
        <w:jc w:val="center"/>
      </w:pPr>
    </w:p>
    <w:sectPr w:rsidR="005D2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2E3"/>
    <w:rsid w:val="000C3EDD"/>
    <w:rsid w:val="0013287A"/>
    <w:rsid w:val="0019730A"/>
    <w:rsid w:val="001C69DE"/>
    <w:rsid w:val="001E0592"/>
    <w:rsid w:val="00460E35"/>
    <w:rsid w:val="004A0DBA"/>
    <w:rsid w:val="00572243"/>
    <w:rsid w:val="005D21A9"/>
    <w:rsid w:val="006C0C5E"/>
    <w:rsid w:val="008162C0"/>
    <w:rsid w:val="00883BF8"/>
    <w:rsid w:val="00903F9A"/>
    <w:rsid w:val="00921681"/>
    <w:rsid w:val="009312E3"/>
    <w:rsid w:val="009A2C0D"/>
    <w:rsid w:val="00A94D61"/>
    <w:rsid w:val="00AD37C0"/>
    <w:rsid w:val="00BE1191"/>
    <w:rsid w:val="00DA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822E8"/>
  <w15:docId w15:val="{77B0AD9D-CAC8-480A-9E58-AD01B9C8C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8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FF0056AC1A4C4886C670670AEF3264" ma:contentTypeVersion="2" ma:contentTypeDescription="Create a new document." ma:contentTypeScope="" ma:versionID="0ec569c1dd762e0486890323b22a1e35">
  <xsd:schema xmlns:xsd="http://www.w3.org/2001/XMLSchema" xmlns:xs="http://www.w3.org/2001/XMLSchema" xmlns:p="http://schemas.microsoft.com/office/2006/metadata/properties" xmlns:ns1="http://schemas.microsoft.com/sharepoint/v3" xmlns:ns2="414e15ea-35fd-4cff-b780-bb342b3dfcbd" targetNamespace="http://schemas.microsoft.com/office/2006/metadata/properties" ma:root="true" ma:fieldsID="228ed2aec82a4673187ed6d06b0265ae" ns1:_="" ns2:_="">
    <xsd:import namespace="http://schemas.microsoft.com/sharepoint/v3"/>
    <xsd:import namespace="414e15ea-35fd-4cff-b780-bb342b3dfc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e15ea-35fd-4cff-b780-bb342b3dfc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E682B7-AA91-42D9-B86C-389D2055C60D}"/>
</file>

<file path=customXml/itemProps2.xml><?xml version="1.0" encoding="utf-8"?>
<ds:datastoreItem xmlns:ds="http://schemas.openxmlformats.org/officeDocument/2006/customXml" ds:itemID="{29B1BBA3-26B6-42A3-89C9-22C3503CF68B}"/>
</file>

<file path=customXml/itemProps3.xml><?xml version="1.0" encoding="utf-8"?>
<ds:datastoreItem xmlns:ds="http://schemas.openxmlformats.org/officeDocument/2006/customXml" ds:itemID="{21EC451E-677D-4726-9E95-0C94145A9A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OHCS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Nelson</dc:creator>
  <cp:lastModifiedBy>KING Amanda * HCS</cp:lastModifiedBy>
  <cp:revision>3</cp:revision>
  <dcterms:created xsi:type="dcterms:W3CDTF">2019-08-08T19:56:00Z</dcterms:created>
  <dcterms:modified xsi:type="dcterms:W3CDTF">2023-03-23T18:42:00Z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artDox GUID">
    <vt:lpwstr>9cf7622c-2682-43be-9abb-79c875f700a4</vt:lpwstr>
  </property>
  <property fmtid="{D5CDD505-2E9C-101B-9397-08002B2CF9AE}" pid="3" name="ContentTypeId">
    <vt:lpwstr>0x01010021FF0056AC1A4C4886C670670AEF3264</vt:lpwstr>
  </property>
</Properties>
</file>