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65E8" w14:textId="4BBB6B0E" w:rsidR="00864DAD" w:rsidRDefault="00864DAD" w:rsidP="00EE24AC">
      <w:pPr>
        <w:jc w:val="center"/>
        <w:rPr>
          <w:rFonts w:ascii="Century Gothic" w:hAnsi="Century Gothic" w:cstheme="majorHAnsi"/>
          <w:b/>
          <w:bCs/>
          <w:sz w:val="28"/>
          <w:szCs w:val="28"/>
        </w:rPr>
      </w:pPr>
      <w:r>
        <w:rPr>
          <w:rFonts w:ascii="Century Gothic" w:hAnsi="Century Gothic" w:cstheme="majorHAnsi"/>
          <w:b/>
          <w:bCs/>
          <w:sz w:val="28"/>
          <w:szCs w:val="28"/>
        </w:rPr>
        <w:t xml:space="preserve">ATTACHMENT </w:t>
      </w:r>
      <w:r w:rsidR="004730F9">
        <w:rPr>
          <w:rFonts w:ascii="Century Gothic" w:hAnsi="Century Gothic" w:cstheme="majorHAnsi"/>
          <w:b/>
          <w:bCs/>
          <w:sz w:val="28"/>
          <w:szCs w:val="28"/>
        </w:rPr>
        <w:t>F</w:t>
      </w:r>
    </w:p>
    <w:p w14:paraId="32F57048" w14:textId="1A0F0D8A" w:rsidR="000B1221" w:rsidRDefault="000B1221" w:rsidP="00EE24AC">
      <w:pPr>
        <w:jc w:val="center"/>
        <w:rPr>
          <w:rFonts w:ascii="Century Gothic" w:hAnsi="Century Gothic" w:cstheme="majorHAnsi"/>
          <w:b/>
          <w:bCs/>
          <w:sz w:val="28"/>
          <w:szCs w:val="28"/>
        </w:rPr>
      </w:pPr>
      <w:r>
        <w:rPr>
          <w:rFonts w:ascii="Century Gothic" w:hAnsi="Century Gothic" w:cstheme="majorHAnsi"/>
          <w:b/>
          <w:bCs/>
          <w:sz w:val="28"/>
          <w:szCs w:val="28"/>
        </w:rPr>
        <w:t>RFA #7344</w:t>
      </w:r>
    </w:p>
    <w:p w14:paraId="04EF1A5D" w14:textId="77777777" w:rsidR="00864DAD" w:rsidRDefault="00864DAD" w:rsidP="00EE24AC">
      <w:pPr>
        <w:jc w:val="center"/>
        <w:rPr>
          <w:rFonts w:ascii="Century Gothic" w:hAnsi="Century Gothic" w:cstheme="majorHAnsi"/>
          <w:b/>
          <w:bCs/>
          <w:sz w:val="28"/>
          <w:szCs w:val="28"/>
        </w:rPr>
      </w:pPr>
    </w:p>
    <w:p w14:paraId="6A093A87" w14:textId="77777777" w:rsidR="0005259F" w:rsidRDefault="0005259F" w:rsidP="0005259F">
      <w:pPr>
        <w:jc w:val="center"/>
        <w:rPr>
          <w:rFonts w:ascii="Century Gothic" w:hAnsi="Century Gothic" w:cstheme="majorHAnsi"/>
          <w:b/>
          <w:bCs/>
          <w:sz w:val="28"/>
          <w:szCs w:val="28"/>
        </w:rPr>
      </w:pPr>
      <w:r>
        <w:rPr>
          <w:rFonts w:ascii="Century Gothic" w:hAnsi="Century Gothic" w:cstheme="majorHAnsi"/>
          <w:b/>
          <w:bCs/>
          <w:sz w:val="28"/>
          <w:szCs w:val="28"/>
        </w:rPr>
        <w:t>Examples and I</w:t>
      </w:r>
      <w:r w:rsidRPr="00EE24AC">
        <w:rPr>
          <w:rFonts w:ascii="Century Gothic" w:hAnsi="Century Gothic" w:cstheme="majorHAnsi"/>
          <w:b/>
          <w:bCs/>
          <w:sz w:val="28"/>
          <w:szCs w:val="28"/>
        </w:rPr>
        <w:t xml:space="preserve">deas </w:t>
      </w:r>
      <w:r>
        <w:rPr>
          <w:rFonts w:ascii="Century Gothic" w:hAnsi="Century Gothic" w:cstheme="majorHAnsi"/>
          <w:b/>
          <w:bCs/>
          <w:sz w:val="28"/>
          <w:szCs w:val="28"/>
        </w:rPr>
        <w:t xml:space="preserve">for Additional Language Access and Targeted Outreach Activities </w:t>
      </w:r>
    </w:p>
    <w:p w14:paraId="14E54898" w14:textId="77777777" w:rsidR="00864DAD" w:rsidRDefault="00864DAD" w:rsidP="00EE24AC">
      <w:pPr>
        <w:jc w:val="center"/>
        <w:rPr>
          <w:rFonts w:ascii="Century Gothic" w:hAnsi="Century Gothic" w:cstheme="majorHAnsi"/>
          <w:b/>
          <w:bCs/>
          <w:sz w:val="28"/>
          <w:szCs w:val="28"/>
        </w:rPr>
      </w:pPr>
    </w:p>
    <w:p w14:paraId="3B02D699" w14:textId="3B1E9B81" w:rsidR="00E7247C" w:rsidRDefault="00E7247C" w:rsidP="00EE24AC">
      <w:pPr>
        <w:jc w:val="center"/>
        <w:rPr>
          <w:rFonts w:ascii="Century Gothic" w:hAnsi="Century Gothic" w:cstheme="majorHAnsi"/>
          <w:b/>
          <w:bCs/>
          <w:sz w:val="28"/>
          <w:szCs w:val="28"/>
        </w:rPr>
      </w:pPr>
      <w:r>
        <w:rPr>
          <w:noProof/>
        </w:rPr>
        <w:drawing>
          <wp:inline distT="0" distB="0" distL="0" distR="0" wp14:anchorId="5A7FF8B4" wp14:editId="7A74F39E">
            <wp:extent cx="662940" cy="662940"/>
            <wp:effectExtent l="0" t="0" r="3810" b="381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9"/>
                    <a:stretch>
                      <a:fillRect/>
                    </a:stretch>
                  </pic:blipFill>
                  <pic:spPr>
                    <a:xfrm>
                      <a:off x="0" y="0"/>
                      <a:ext cx="662940" cy="662940"/>
                    </a:xfrm>
                    <a:prstGeom prst="rect">
                      <a:avLst/>
                    </a:prstGeom>
                  </pic:spPr>
                </pic:pic>
              </a:graphicData>
            </a:graphic>
          </wp:inline>
        </w:drawing>
      </w:r>
    </w:p>
    <w:p w14:paraId="204064C1" w14:textId="6165FF20" w:rsidR="00864DAD" w:rsidRDefault="00864DAD" w:rsidP="00EE24AC">
      <w:pPr>
        <w:jc w:val="center"/>
        <w:rPr>
          <w:rFonts w:ascii="Century Gothic" w:hAnsi="Century Gothic" w:cstheme="majorHAnsi"/>
          <w:b/>
          <w:bCs/>
          <w:sz w:val="28"/>
          <w:szCs w:val="28"/>
        </w:rPr>
      </w:pPr>
    </w:p>
    <w:p w14:paraId="20F9659D" w14:textId="77777777" w:rsidR="00864DAD" w:rsidRPr="00EE24AC" w:rsidRDefault="00864DAD" w:rsidP="00EE24AC">
      <w:pPr>
        <w:jc w:val="center"/>
        <w:rPr>
          <w:rFonts w:ascii="Century Gothic" w:hAnsi="Century Gothic" w:cstheme="majorHAnsi"/>
          <w:b/>
          <w:bCs/>
          <w:sz w:val="28"/>
          <w:szCs w:val="28"/>
        </w:rPr>
      </w:pPr>
    </w:p>
    <w:p w14:paraId="3A85CF09" w14:textId="77777777" w:rsidR="0005259F" w:rsidRPr="006B1780" w:rsidRDefault="0005259F" w:rsidP="0005259F">
      <w:pPr>
        <w:spacing w:line="276" w:lineRule="auto"/>
        <w:jc w:val="both"/>
        <w:rPr>
          <w:rFonts w:ascii="Century Gothic" w:hAnsi="Century Gothic" w:cstheme="majorBidi"/>
          <w:sz w:val="22"/>
          <w:szCs w:val="22"/>
        </w:rPr>
      </w:pPr>
      <w:r w:rsidRPr="006B1780">
        <w:rPr>
          <w:rFonts w:ascii="Century Gothic" w:hAnsi="Century Gothic" w:cstheme="majorBidi"/>
          <w:sz w:val="22"/>
          <w:szCs w:val="22"/>
        </w:rPr>
        <w:t xml:space="preserve">The following lists </w:t>
      </w:r>
      <w:r>
        <w:rPr>
          <w:rFonts w:ascii="Century Gothic" w:hAnsi="Century Gothic" w:cstheme="majorBidi"/>
          <w:sz w:val="22"/>
          <w:szCs w:val="22"/>
        </w:rPr>
        <w:t>d</w:t>
      </w:r>
      <w:r w:rsidRPr="006B1780">
        <w:rPr>
          <w:rFonts w:ascii="Century Gothic" w:hAnsi="Century Gothic" w:cstheme="majorBidi"/>
          <w:sz w:val="22"/>
          <w:szCs w:val="22"/>
        </w:rPr>
        <w:t>o not seek to limit the types of activities that appl</w:t>
      </w:r>
      <w:r>
        <w:rPr>
          <w:rFonts w:ascii="Century Gothic" w:hAnsi="Century Gothic" w:cstheme="majorBidi"/>
          <w:sz w:val="22"/>
          <w:szCs w:val="22"/>
        </w:rPr>
        <w:t xml:space="preserve">icants </w:t>
      </w:r>
      <w:r w:rsidRPr="006B1780">
        <w:rPr>
          <w:rFonts w:ascii="Century Gothic" w:hAnsi="Century Gothic" w:cstheme="majorBidi"/>
          <w:sz w:val="22"/>
          <w:szCs w:val="22"/>
        </w:rPr>
        <w:t xml:space="preserve">may propose </w:t>
      </w:r>
      <w:r>
        <w:rPr>
          <w:rFonts w:ascii="Century Gothic" w:hAnsi="Century Gothic" w:cstheme="majorBidi"/>
          <w:sz w:val="22"/>
          <w:szCs w:val="22"/>
        </w:rPr>
        <w:t xml:space="preserve">to </w:t>
      </w:r>
      <w:r w:rsidRPr="006B1780">
        <w:rPr>
          <w:rFonts w:ascii="Century Gothic" w:hAnsi="Century Gothic" w:cstheme="majorBidi"/>
          <w:sz w:val="22"/>
          <w:szCs w:val="22"/>
        </w:rPr>
        <w:t xml:space="preserve">implement through this RFA. They are </w:t>
      </w:r>
      <w:r>
        <w:rPr>
          <w:rFonts w:ascii="Century Gothic" w:hAnsi="Century Gothic" w:cstheme="majorBidi"/>
          <w:sz w:val="22"/>
          <w:szCs w:val="22"/>
        </w:rPr>
        <w:t xml:space="preserve">only </w:t>
      </w:r>
      <w:r w:rsidRPr="006B1780">
        <w:rPr>
          <w:rFonts w:ascii="Century Gothic" w:hAnsi="Century Gothic" w:cstheme="majorBidi"/>
          <w:sz w:val="22"/>
          <w:szCs w:val="22"/>
        </w:rPr>
        <w:t xml:space="preserve">shown </w:t>
      </w:r>
      <w:r>
        <w:rPr>
          <w:rFonts w:ascii="Century Gothic" w:hAnsi="Century Gothic" w:cstheme="majorBidi"/>
          <w:sz w:val="22"/>
          <w:szCs w:val="22"/>
        </w:rPr>
        <w:t xml:space="preserve">as </w:t>
      </w:r>
      <w:r w:rsidRPr="006B1780">
        <w:rPr>
          <w:rFonts w:ascii="Century Gothic" w:hAnsi="Century Gothic" w:cstheme="majorBidi"/>
          <w:sz w:val="22"/>
          <w:szCs w:val="22"/>
        </w:rPr>
        <w:t xml:space="preserve">examples </w:t>
      </w:r>
      <w:r>
        <w:rPr>
          <w:rFonts w:ascii="Century Gothic" w:hAnsi="Century Gothic" w:cstheme="majorBidi"/>
          <w:sz w:val="22"/>
          <w:szCs w:val="22"/>
        </w:rPr>
        <w:t xml:space="preserve">of activities that may be implemented under the activities listed on the RFA and as ideas for additional activities that can be proposed by applicants to </w:t>
      </w:r>
      <w:r w:rsidRPr="006B1780">
        <w:rPr>
          <w:rFonts w:ascii="Century Gothic" w:hAnsi="Century Gothic" w:cstheme="majorBidi"/>
          <w:sz w:val="22"/>
          <w:szCs w:val="22"/>
        </w:rPr>
        <w:t xml:space="preserve">be </w:t>
      </w:r>
      <w:r>
        <w:rPr>
          <w:rFonts w:ascii="Century Gothic" w:hAnsi="Century Gothic" w:cstheme="majorBidi"/>
          <w:sz w:val="22"/>
          <w:szCs w:val="22"/>
        </w:rPr>
        <w:t>funded. These lists are</w:t>
      </w:r>
      <w:r w:rsidRPr="006B1780">
        <w:rPr>
          <w:rFonts w:ascii="Century Gothic" w:hAnsi="Century Gothic" w:cstheme="majorBidi"/>
          <w:sz w:val="22"/>
          <w:szCs w:val="22"/>
        </w:rPr>
        <w:t xml:space="preserve"> non-comprehensive</w:t>
      </w:r>
      <w:r>
        <w:rPr>
          <w:rFonts w:ascii="Century Gothic" w:hAnsi="Century Gothic" w:cstheme="majorBidi"/>
          <w:sz w:val="22"/>
          <w:szCs w:val="22"/>
        </w:rPr>
        <w:t xml:space="preserve"> and additional ideas are welcomed and will be considered for funding through the application for funds.</w:t>
      </w:r>
    </w:p>
    <w:p w14:paraId="3A6463F0" w14:textId="77777777" w:rsidR="0005259F" w:rsidRPr="006B1780" w:rsidRDefault="0005259F" w:rsidP="0005259F">
      <w:pPr>
        <w:rPr>
          <w:rFonts w:ascii="Century Gothic" w:hAnsi="Century Gothic" w:cstheme="majorHAnsi"/>
          <w:b/>
          <w:bCs/>
          <w:sz w:val="22"/>
          <w:szCs w:val="22"/>
        </w:rPr>
      </w:pPr>
    </w:p>
    <w:p w14:paraId="385AB598" w14:textId="77777777" w:rsidR="0005259F" w:rsidRPr="006B1780" w:rsidRDefault="0005259F" w:rsidP="0005259F">
      <w:pPr>
        <w:rPr>
          <w:rFonts w:ascii="Century Gothic" w:eastAsia="Calibri Light" w:hAnsi="Century Gothic" w:cs="Calibri Light"/>
          <w:b/>
          <w:sz w:val="22"/>
          <w:szCs w:val="22"/>
        </w:rPr>
      </w:pPr>
      <w:r w:rsidRPr="006B1780">
        <w:rPr>
          <w:rFonts w:ascii="Century Gothic" w:eastAsia="Calibri Light" w:hAnsi="Century Gothic" w:cs="Calibri Light"/>
          <w:b/>
          <w:sz w:val="22"/>
          <w:szCs w:val="22"/>
        </w:rPr>
        <w:t xml:space="preserve">Ideas and examples of homeownership-related materials that can be translated: </w:t>
      </w:r>
    </w:p>
    <w:p w14:paraId="0AF56608" w14:textId="77777777" w:rsidR="0005259F" w:rsidRPr="006B1780" w:rsidRDefault="0005259F" w:rsidP="0005259F">
      <w:pPr>
        <w:spacing w:line="257" w:lineRule="auto"/>
        <w:rPr>
          <w:rFonts w:ascii="Century Gothic" w:eastAsia="Calibri Light" w:hAnsi="Century Gothic" w:cs="Calibri Light"/>
          <w:sz w:val="22"/>
          <w:szCs w:val="22"/>
        </w:rPr>
      </w:pPr>
    </w:p>
    <w:p w14:paraId="03580445" w14:textId="77777777" w:rsidR="0005259F" w:rsidRPr="006B1780" w:rsidRDefault="0005259F" w:rsidP="0005259F">
      <w:pPr>
        <w:spacing w:line="257" w:lineRule="auto"/>
        <w:jc w:val="both"/>
        <w:rPr>
          <w:rFonts w:ascii="Century Gothic" w:eastAsia="Calibri Light" w:hAnsi="Century Gothic" w:cs="Calibri Light"/>
          <w:sz w:val="22"/>
          <w:szCs w:val="22"/>
        </w:rPr>
      </w:pPr>
      <w:r w:rsidRPr="006B1780">
        <w:rPr>
          <w:rFonts w:ascii="Century Gothic" w:hAnsi="Century Gothic" w:cs="Calibri Light"/>
          <w:sz w:val="22"/>
          <w:szCs w:val="22"/>
        </w:rPr>
        <w:t>Homebuyer guides, c</w:t>
      </w:r>
      <w:r w:rsidRPr="006B1780">
        <w:rPr>
          <w:rFonts w:ascii="Century Gothic" w:eastAsia="Calibri Light" w:hAnsi="Century Gothic" w:cs="Calibri Light"/>
          <w:sz w:val="22"/>
          <w:szCs w:val="22"/>
        </w:rPr>
        <w:t xml:space="preserve">urriculum materials, FAQ or fact sheets, information sheets, booklets, pamphlets, videos, presentation materials, web page content, program manuals, marketing materials (flyers, posters, signs, brochures), advertising materials, application materials,  program forms, service notices, radio scripts, handwritten and client-directed correspondence, annual reports, social media content, legislative information, legal information or documents, voicemail messages, contact information, and email templates.  </w:t>
      </w:r>
    </w:p>
    <w:p w14:paraId="62A889DB" w14:textId="77777777" w:rsidR="0005259F" w:rsidRPr="006B1780" w:rsidRDefault="0005259F" w:rsidP="0005259F">
      <w:pPr>
        <w:spacing w:line="257" w:lineRule="auto"/>
        <w:jc w:val="both"/>
        <w:rPr>
          <w:rFonts w:ascii="Century Gothic" w:eastAsia="Calibri Light" w:hAnsi="Century Gothic" w:cs="Calibri Light"/>
          <w:sz w:val="22"/>
          <w:szCs w:val="22"/>
        </w:rPr>
      </w:pPr>
    </w:p>
    <w:p w14:paraId="76BD78A3" w14:textId="77777777" w:rsidR="0005259F" w:rsidRPr="006B1780" w:rsidRDefault="0005259F" w:rsidP="0005259F">
      <w:pPr>
        <w:spacing w:line="257" w:lineRule="auto"/>
        <w:jc w:val="both"/>
        <w:rPr>
          <w:rFonts w:ascii="Century Gothic" w:eastAsia="Calibri Light" w:hAnsi="Century Gothic" w:cs="Calibri Light"/>
          <w:sz w:val="22"/>
          <w:szCs w:val="22"/>
        </w:rPr>
      </w:pPr>
      <w:r w:rsidRPr="006B1780">
        <w:rPr>
          <w:rFonts w:ascii="Century Gothic" w:eastAsia="Calibri Light" w:hAnsi="Century Gothic" w:cs="Calibri Light"/>
          <w:sz w:val="22"/>
          <w:szCs w:val="22"/>
        </w:rPr>
        <w:t>The materials to be translated can be physical or electronic. They may be related to homebuyer education, homeownership-related counseling, pre-homeownership counseling, foreclosure counseling, financial education</w:t>
      </w:r>
      <w:r>
        <w:rPr>
          <w:rFonts w:ascii="Century Gothic" w:eastAsia="Calibri Light" w:hAnsi="Century Gothic" w:cs="Calibri Light"/>
          <w:sz w:val="22"/>
          <w:szCs w:val="22"/>
        </w:rPr>
        <w:t xml:space="preserve">, financial </w:t>
      </w:r>
      <w:r w:rsidRPr="006B1780">
        <w:rPr>
          <w:rFonts w:ascii="Century Gothic" w:eastAsia="Calibri Light" w:hAnsi="Century Gothic" w:cs="Calibri Light"/>
          <w:sz w:val="22"/>
          <w:szCs w:val="22"/>
        </w:rPr>
        <w:t>counseling</w:t>
      </w:r>
      <w:r>
        <w:rPr>
          <w:rFonts w:ascii="Century Gothic" w:eastAsia="Calibri Light" w:hAnsi="Century Gothic" w:cs="Calibri Light"/>
          <w:sz w:val="22"/>
          <w:szCs w:val="22"/>
        </w:rPr>
        <w:t xml:space="preserve">, financial planning, </w:t>
      </w:r>
      <w:r w:rsidRPr="006B1780">
        <w:rPr>
          <w:rFonts w:ascii="Century Gothic" w:eastAsia="Calibri Light" w:hAnsi="Century Gothic" w:cs="Calibri Light"/>
          <w:sz w:val="22"/>
          <w:szCs w:val="22"/>
        </w:rPr>
        <w:t>Individual Development Accounts, down payment assistance, home repair services, manufactured home replacement, services for residents of manufactured home and marina communities, foreclosure assistance, Oregon Bond Residential Loan Program, Local Innovation and Fast Track (LIFT) Homeownership, and other homeownership related programs.</w:t>
      </w:r>
    </w:p>
    <w:p w14:paraId="5DC9FC80" w14:textId="77777777" w:rsidR="0005259F" w:rsidRPr="006B1780" w:rsidRDefault="0005259F" w:rsidP="0005259F">
      <w:pPr>
        <w:spacing w:line="257" w:lineRule="auto"/>
        <w:jc w:val="both"/>
        <w:rPr>
          <w:rFonts w:ascii="Century Gothic" w:eastAsia="Calibri Light" w:hAnsi="Century Gothic" w:cs="Calibri Light"/>
          <w:sz w:val="22"/>
          <w:szCs w:val="22"/>
        </w:rPr>
      </w:pPr>
    </w:p>
    <w:p w14:paraId="28E89AEF" w14:textId="77777777" w:rsidR="0005259F" w:rsidRPr="006B1780" w:rsidRDefault="0005259F" w:rsidP="0005259F">
      <w:pPr>
        <w:rPr>
          <w:rFonts w:ascii="Century Gothic" w:hAnsi="Century Gothic" w:cs="Calibri Light"/>
          <w:b/>
          <w:bCs/>
          <w:sz w:val="22"/>
          <w:szCs w:val="22"/>
        </w:rPr>
      </w:pPr>
      <w:r w:rsidRPr="006B1780">
        <w:rPr>
          <w:rFonts w:ascii="Century Gothic" w:hAnsi="Century Gothic" w:cs="Calibri Light"/>
          <w:b/>
          <w:bCs/>
          <w:sz w:val="22"/>
          <w:szCs w:val="22"/>
        </w:rPr>
        <w:t xml:space="preserve">Ideas for outreach and community engagement activities: </w:t>
      </w:r>
    </w:p>
    <w:p w14:paraId="7E8C93E5" w14:textId="77777777" w:rsidR="0005259F" w:rsidRPr="006B1780" w:rsidRDefault="0005259F" w:rsidP="0005259F">
      <w:pPr>
        <w:rPr>
          <w:rFonts w:ascii="Century Gothic" w:hAnsi="Century Gothic"/>
          <w:b/>
          <w:bCs/>
          <w:sz w:val="22"/>
          <w:szCs w:val="22"/>
        </w:rPr>
      </w:pPr>
    </w:p>
    <w:p w14:paraId="4977298C" w14:textId="5D9A2417" w:rsidR="00E7247C" w:rsidRDefault="0005259F" w:rsidP="66524DDC">
      <w:pPr>
        <w:spacing w:line="257" w:lineRule="auto"/>
        <w:jc w:val="both"/>
        <w:rPr>
          <w:rFonts w:ascii="Century Gothic" w:eastAsia="Century Gothic" w:hAnsi="Century Gothic" w:cs="Century Gothic"/>
          <w:color w:val="191919"/>
          <w:sz w:val="22"/>
          <w:szCs w:val="22"/>
        </w:rPr>
      </w:pPr>
      <w:r w:rsidRPr="006B1780">
        <w:rPr>
          <w:rFonts w:ascii="Century Gothic" w:eastAsia="Century Gothic" w:hAnsi="Century Gothic" w:cs="Century Gothic"/>
          <w:sz w:val="22"/>
          <w:szCs w:val="22"/>
        </w:rPr>
        <w:t>Marketing campaigns, creating culturally or community</w:t>
      </w:r>
      <w:r>
        <w:rPr>
          <w:rFonts w:ascii="Century Gothic" w:eastAsia="Century Gothic" w:hAnsi="Century Gothic" w:cs="Century Gothic"/>
          <w:sz w:val="22"/>
          <w:szCs w:val="22"/>
        </w:rPr>
        <w:t xml:space="preserve"> meaningful </w:t>
      </w:r>
      <w:r w:rsidRPr="006B1780">
        <w:rPr>
          <w:rFonts w:ascii="Century Gothic" w:eastAsia="Century Gothic" w:hAnsi="Century Gothic" w:cs="Century Gothic"/>
          <w:sz w:val="22"/>
          <w:szCs w:val="22"/>
        </w:rPr>
        <w:t xml:space="preserve">social media posts, hosting a booth or table at local community </w:t>
      </w:r>
      <w:r>
        <w:rPr>
          <w:rFonts w:ascii="Century Gothic" w:eastAsia="Century Gothic" w:hAnsi="Century Gothic" w:cs="Century Gothic"/>
          <w:sz w:val="22"/>
          <w:szCs w:val="22"/>
        </w:rPr>
        <w:t>events</w:t>
      </w:r>
      <w:r w:rsidRPr="006B1780">
        <w:rPr>
          <w:rFonts w:ascii="Century Gothic" w:eastAsia="Century Gothic" w:hAnsi="Century Gothic" w:cs="Century Gothic"/>
          <w:sz w:val="22"/>
          <w:szCs w:val="22"/>
        </w:rPr>
        <w:t xml:space="preserve">, advertising in local or community-specific newspapers, TV or radio stations, using billboards, meeting members of the community to deliver in-person homeownership services, providing door-to-door information, attending or hosting informational events at places were the community congregates such as markets, fair or festivals, hosting webinars or groups that prioritize listening to feedback directly from a specific community, attending community fairs or events to share homeownership information, printing and posting flyers, partnering with community leaders or peer organizations for an outreach initiative, </w:t>
      </w:r>
      <w:r>
        <w:rPr>
          <w:rFonts w:ascii="Century Gothic" w:eastAsia="Century Gothic" w:hAnsi="Century Gothic" w:cs="Century Gothic"/>
          <w:sz w:val="22"/>
          <w:szCs w:val="22"/>
        </w:rPr>
        <w:t xml:space="preserve">or </w:t>
      </w:r>
      <w:r w:rsidRPr="006B1780">
        <w:rPr>
          <w:rFonts w:ascii="Century Gothic" w:eastAsia="Century Gothic" w:hAnsi="Century Gothic" w:cs="Century Gothic"/>
          <w:sz w:val="22"/>
          <w:szCs w:val="22"/>
        </w:rPr>
        <w:t>d</w:t>
      </w:r>
      <w:r w:rsidRPr="006B1780">
        <w:rPr>
          <w:rFonts w:ascii="Century Gothic" w:eastAsia="Century Gothic" w:hAnsi="Century Gothic" w:cs="Century Gothic"/>
          <w:color w:val="191919"/>
          <w:sz w:val="22"/>
          <w:szCs w:val="22"/>
        </w:rPr>
        <w:t xml:space="preserve">eveloping </w:t>
      </w:r>
      <w:r>
        <w:rPr>
          <w:rFonts w:ascii="Century Gothic" w:eastAsia="Century Gothic" w:hAnsi="Century Gothic" w:cs="Century Gothic"/>
          <w:color w:val="191919"/>
          <w:sz w:val="22"/>
          <w:szCs w:val="22"/>
        </w:rPr>
        <w:t xml:space="preserve">organizational policies or processes to facilitate communication and engagement with individuals with limited English proficiency or special communication needs. </w:t>
      </w:r>
    </w:p>
    <w:p w14:paraId="2C8D601E" w14:textId="080B2491" w:rsidR="00E7247C" w:rsidRPr="006B1780" w:rsidRDefault="00E7247C" w:rsidP="00E7247C">
      <w:pPr>
        <w:spacing w:line="257" w:lineRule="auto"/>
        <w:jc w:val="center"/>
        <w:rPr>
          <w:rFonts w:ascii="Century Gothic" w:eastAsia="Century Gothic" w:hAnsi="Century Gothic" w:cs="Century Gothic"/>
          <w:sz w:val="22"/>
          <w:szCs w:val="22"/>
        </w:rPr>
      </w:pPr>
    </w:p>
    <w:sectPr w:rsidR="00E7247C" w:rsidRPr="006B1780" w:rsidSect="00E724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F0BD1"/>
    <w:multiLevelType w:val="hybridMultilevel"/>
    <w:tmpl w:val="E0663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91B11"/>
    <w:multiLevelType w:val="hybridMultilevel"/>
    <w:tmpl w:val="2ED61DCE"/>
    <w:lvl w:ilvl="0" w:tplc="E0083890">
      <w:start w:val="1"/>
      <w:numFmt w:val="bullet"/>
      <w:lvlText w:val=""/>
      <w:lvlJc w:val="left"/>
      <w:pPr>
        <w:ind w:left="720" w:hanging="360"/>
      </w:pPr>
      <w:rPr>
        <w:rFonts w:ascii="Symbol" w:hAnsi="Symbol" w:hint="default"/>
      </w:rPr>
    </w:lvl>
    <w:lvl w:ilvl="1" w:tplc="56CEA53A">
      <w:start w:val="1"/>
      <w:numFmt w:val="bullet"/>
      <w:lvlText w:val="o"/>
      <w:lvlJc w:val="left"/>
      <w:pPr>
        <w:ind w:left="1440" w:hanging="360"/>
      </w:pPr>
      <w:rPr>
        <w:rFonts w:ascii="Courier New" w:hAnsi="Courier New" w:hint="default"/>
      </w:rPr>
    </w:lvl>
    <w:lvl w:ilvl="2" w:tplc="37123F44">
      <w:start w:val="1"/>
      <w:numFmt w:val="bullet"/>
      <w:lvlText w:val=""/>
      <w:lvlJc w:val="left"/>
      <w:pPr>
        <w:ind w:left="2160" w:hanging="360"/>
      </w:pPr>
      <w:rPr>
        <w:rFonts w:ascii="Wingdings" w:hAnsi="Wingdings" w:hint="default"/>
      </w:rPr>
    </w:lvl>
    <w:lvl w:ilvl="3" w:tplc="7AA23B9A">
      <w:start w:val="1"/>
      <w:numFmt w:val="bullet"/>
      <w:lvlText w:val=""/>
      <w:lvlJc w:val="left"/>
      <w:pPr>
        <w:ind w:left="2880" w:hanging="360"/>
      </w:pPr>
      <w:rPr>
        <w:rFonts w:ascii="Symbol" w:hAnsi="Symbol" w:hint="default"/>
      </w:rPr>
    </w:lvl>
    <w:lvl w:ilvl="4" w:tplc="14F41E30">
      <w:start w:val="1"/>
      <w:numFmt w:val="bullet"/>
      <w:lvlText w:val="o"/>
      <w:lvlJc w:val="left"/>
      <w:pPr>
        <w:ind w:left="3600" w:hanging="360"/>
      </w:pPr>
      <w:rPr>
        <w:rFonts w:ascii="Courier New" w:hAnsi="Courier New" w:hint="default"/>
      </w:rPr>
    </w:lvl>
    <w:lvl w:ilvl="5" w:tplc="8C2CFCAA">
      <w:start w:val="1"/>
      <w:numFmt w:val="bullet"/>
      <w:lvlText w:val=""/>
      <w:lvlJc w:val="left"/>
      <w:pPr>
        <w:ind w:left="4320" w:hanging="360"/>
      </w:pPr>
      <w:rPr>
        <w:rFonts w:ascii="Wingdings" w:hAnsi="Wingdings" w:hint="default"/>
      </w:rPr>
    </w:lvl>
    <w:lvl w:ilvl="6" w:tplc="AB2650D8">
      <w:start w:val="1"/>
      <w:numFmt w:val="bullet"/>
      <w:lvlText w:val=""/>
      <w:lvlJc w:val="left"/>
      <w:pPr>
        <w:ind w:left="5040" w:hanging="360"/>
      </w:pPr>
      <w:rPr>
        <w:rFonts w:ascii="Symbol" w:hAnsi="Symbol" w:hint="default"/>
      </w:rPr>
    </w:lvl>
    <w:lvl w:ilvl="7" w:tplc="E9587DD6">
      <w:start w:val="1"/>
      <w:numFmt w:val="bullet"/>
      <w:lvlText w:val="o"/>
      <w:lvlJc w:val="left"/>
      <w:pPr>
        <w:ind w:left="5760" w:hanging="360"/>
      </w:pPr>
      <w:rPr>
        <w:rFonts w:ascii="Courier New" w:hAnsi="Courier New" w:hint="default"/>
      </w:rPr>
    </w:lvl>
    <w:lvl w:ilvl="8" w:tplc="FB348202">
      <w:start w:val="1"/>
      <w:numFmt w:val="bullet"/>
      <w:lvlText w:val=""/>
      <w:lvlJc w:val="left"/>
      <w:pPr>
        <w:ind w:left="6480" w:hanging="360"/>
      </w:pPr>
      <w:rPr>
        <w:rFonts w:ascii="Wingdings" w:hAnsi="Wingdings" w:hint="default"/>
      </w:rPr>
    </w:lvl>
  </w:abstractNum>
  <w:num w:numId="1" w16cid:durableId="1996566072">
    <w:abstractNumId w:val="1"/>
  </w:num>
  <w:num w:numId="2" w16cid:durableId="116019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AC"/>
    <w:rsid w:val="0005259F"/>
    <w:rsid w:val="000B1221"/>
    <w:rsid w:val="001257B8"/>
    <w:rsid w:val="00180786"/>
    <w:rsid w:val="001C6BB3"/>
    <w:rsid w:val="001D7A75"/>
    <w:rsid w:val="0020082E"/>
    <w:rsid w:val="0031734C"/>
    <w:rsid w:val="003F3BB6"/>
    <w:rsid w:val="004730F9"/>
    <w:rsid w:val="004F0D31"/>
    <w:rsid w:val="006B1780"/>
    <w:rsid w:val="006D5B77"/>
    <w:rsid w:val="008477A9"/>
    <w:rsid w:val="00864DAD"/>
    <w:rsid w:val="00C161FE"/>
    <w:rsid w:val="00D527A8"/>
    <w:rsid w:val="00DD381E"/>
    <w:rsid w:val="00E71281"/>
    <w:rsid w:val="00E7247C"/>
    <w:rsid w:val="00EA5C91"/>
    <w:rsid w:val="00EE24AC"/>
    <w:rsid w:val="00FC4420"/>
    <w:rsid w:val="0222A865"/>
    <w:rsid w:val="06DCF12B"/>
    <w:rsid w:val="0A1491ED"/>
    <w:rsid w:val="1E56196C"/>
    <w:rsid w:val="1F9A08BD"/>
    <w:rsid w:val="21A2E43D"/>
    <w:rsid w:val="23298A8F"/>
    <w:rsid w:val="24C55AF0"/>
    <w:rsid w:val="257C6CFF"/>
    <w:rsid w:val="25F26607"/>
    <w:rsid w:val="28B6D4BE"/>
    <w:rsid w:val="2973740E"/>
    <w:rsid w:val="32F7BB4C"/>
    <w:rsid w:val="399DB506"/>
    <w:rsid w:val="3CD555C8"/>
    <w:rsid w:val="3D916087"/>
    <w:rsid w:val="41A8C6EB"/>
    <w:rsid w:val="4364BE87"/>
    <w:rsid w:val="4DDF3C85"/>
    <w:rsid w:val="4E86DEA7"/>
    <w:rsid w:val="532B2DDE"/>
    <w:rsid w:val="544E7E09"/>
    <w:rsid w:val="55147F67"/>
    <w:rsid w:val="60F5238B"/>
    <w:rsid w:val="66524DDC"/>
    <w:rsid w:val="695AD994"/>
    <w:rsid w:val="6A11EF8C"/>
    <w:rsid w:val="6DB41739"/>
    <w:rsid w:val="706A4CD6"/>
    <w:rsid w:val="7CD3F484"/>
    <w:rsid w:val="7D4F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AE18"/>
  <w15:chartTrackingRefBased/>
  <w15:docId w15:val="{B9A35AE8-CF9F-426A-879A-5974528D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1FE"/>
    <w:pPr>
      <w:ind w:left="720"/>
      <w:contextualSpacing/>
    </w:pPr>
  </w:style>
  <w:style w:type="paragraph" w:styleId="Revision">
    <w:name w:val="Revision"/>
    <w:hidden/>
    <w:uiPriority w:val="99"/>
    <w:semiHidden/>
    <w:rsid w:val="0005259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FF0056AC1A4C4886C670670AEF3264" ma:contentTypeVersion="2" ma:contentTypeDescription="Create a new document." ma:contentTypeScope="" ma:versionID="0ec569c1dd762e0486890323b22a1e35">
  <xsd:schema xmlns:xsd="http://www.w3.org/2001/XMLSchema" xmlns:xs="http://www.w3.org/2001/XMLSchema" xmlns:p="http://schemas.microsoft.com/office/2006/metadata/properties" xmlns:ns1="http://schemas.microsoft.com/sharepoint/v3" xmlns:ns2="414e15ea-35fd-4cff-b780-bb342b3dfcbd" targetNamespace="http://schemas.microsoft.com/office/2006/metadata/properties" ma:root="true" ma:fieldsID="228ed2aec82a4673187ed6d06b0265ae" ns1:_="" ns2:_="">
    <xsd:import namespace="http://schemas.microsoft.com/sharepoint/v3"/>
    <xsd:import namespace="414e15ea-35fd-4cff-b780-bb342b3dfc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e15ea-35fd-4cff-b780-bb342b3df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2ECEA-BC0F-416D-B2D0-E207F17BBEBF}">
  <ds:schemaRefs>
    <ds:schemaRef ds:uri="http://www.w3.org/XML/1998/namespace"/>
    <ds:schemaRef ds:uri="http://purl.org/dc/terms/"/>
    <ds:schemaRef ds:uri="d905cba7-ffbe-4f80-916d-a1107c866b50"/>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e81d0b44-8f9c-4f87-8a3f-823c82633673"/>
    <ds:schemaRef ds:uri="http://purl.org/dc/dcmitype/"/>
  </ds:schemaRefs>
</ds:datastoreItem>
</file>

<file path=customXml/itemProps2.xml><?xml version="1.0" encoding="utf-8"?>
<ds:datastoreItem xmlns:ds="http://schemas.openxmlformats.org/officeDocument/2006/customXml" ds:itemID="{1A595A16-1D28-4C0B-ABEF-C2F3DFDA5A9C}">
  <ds:schemaRefs>
    <ds:schemaRef ds:uri="http://schemas.openxmlformats.org/officeDocument/2006/bibliography"/>
  </ds:schemaRefs>
</ds:datastoreItem>
</file>

<file path=customXml/itemProps3.xml><?xml version="1.0" encoding="utf-8"?>
<ds:datastoreItem xmlns:ds="http://schemas.openxmlformats.org/officeDocument/2006/customXml" ds:itemID="{F8BA8873-9D0D-44B3-B9CC-B4F9A968DF76}">
  <ds:schemaRefs>
    <ds:schemaRef ds:uri="http://schemas.microsoft.com/sharepoint/v3/contenttype/forms"/>
  </ds:schemaRefs>
</ds:datastoreItem>
</file>

<file path=customXml/itemProps4.xml><?xml version="1.0" encoding="utf-8"?>
<ds:datastoreItem xmlns:ds="http://schemas.openxmlformats.org/officeDocument/2006/customXml" ds:itemID="{C3AADB9C-A5C2-4359-8EF5-8001DF54DDC4}"/>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BEJARANO Magda * HCS</dc:creator>
  <cp:keywords/>
  <dc:description/>
  <cp:lastModifiedBy>BEJARANO Magda * HCS</cp:lastModifiedBy>
  <cp:revision>5</cp:revision>
  <dcterms:created xsi:type="dcterms:W3CDTF">2022-12-02T14:50:00Z</dcterms:created>
  <dcterms:modified xsi:type="dcterms:W3CDTF">2022-12-09T00:05:00Z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0x01010021FF0056AC1A4C4886C670670AEF3264</vt:lpwstr>
  </property>
  <property fmtid="{D5CDD505-2E9C-101B-9397-08002B2CF9AE}" pid="3" name="GrammarlyDocumentId">
    <vt:lpwstr>c3d6942feac73beca468ff07f63ddb0cd209885d55219104c7075ddca41150b2</vt:lpwstr>
  </property>
  <property fmtid="{D5CDD505-2E9C-101B-9397-08002B2CF9AE}" pid="4" name="SmartDox GUID">
    <vt:lpwstr>fd261c8f-cd4b-441a-83de-ceb96132e4de</vt:lpwstr>
  </property>
</Properties>
</file>