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9D52" w14:textId="18A84FBE" w:rsidR="00C847AA" w:rsidRDefault="00890FB6" w:rsidP="00C66323">
      <w:pPr>
        <w:spacing w:after="0" w:line="240" w:lineRule="auto"/>
        <w:ind w:firstLine="360"/>
        <w:jc w:val="both"/>
        <w:rPr>
          <w:small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07F229" wp14:editId="5696DA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6478" cy="835863"/>
            <wp:effectExtent l="0" t="0" r="3175" b="2540"/>
            <wp:wrapSquare wrapText="bothSides"/>
            <wp:docPr id="1750049150" name="Picture 7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A picture containing calenda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78" cy="835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2DDB" w:rsidRPr="00C847AA">
        <w:rPr>
          <w:smallCaps/>
          <w:sz w:val="32"/>
          <w:szCs w:val="32"/>
        </w:rPr>
        <w:t xml:space="preserve">Oregon State Emergency Response Commission (SERC) </w:t>
      </w:r>
      <w:r w:rsidR="00740BF5">
        <w:rPr>
          <w:smallCaps/>
          <w:sz w:val="32"/>
          <w:szCs w:val="32"/>
        </w:rPr>
        <w:t>and</w:t>
      </w:r>
      <w:r w:rsidR="00E0675F" w:rsidRPr="00C847AA">
        <w:rPr>
          <w:smallCaps/>
          <w:sz w:val="32"/>
          <w:szCs w:val="32"/>
        </w:rPr>
        <w:t xml:space="preserve"> </w:t>
      </w:r>
    </w:p>
    <w:p w14:paraId="370F0345" w14:textId="77777777" w:rsidR="00722DDB" w:rsidRDefault="00722DDB" w:rsidP="00C66323">
      <w:pPr>
        <w:spacing w:after="0" w:line="240" w:lineRule="auto"/>
        <w:ind w:firstLine="360"/>
        <w:jc w:val="both"/>
        <w:rPr>
          <w:smallCaps/>
          <w:sz w:val="32"/>
          <w:szCs w:val="32"/>
        </w:rPr>
      </w:pPr>
      <w:r w:rsidRPr="00C847AA">
        <w:rPr>
          <w:smallCaps/>
          <w:sz w:val="32"/>
          <w:szCs w:val="32"/>
        </w:rPr>
        <w:t xml:space="preserve">Local Emergency Planning Committee (LEPC) </w:t>
      </w:r>
      <w:r w:rsidR="002565F2">
        <w:rPr>
          <w:smallCaps/>
          <w:sz w:val="32"/>
          <w:szCs w:val="32"/>
        </w:rPr>
        <w:t>FAQ</w:t>
      </w:r>
      <w:r w:rsidRPr="00C847AA">
        <w:rPr>
          <w:smallCaps/>
          <w:sz w:val="32"/>
          <w:szCs w:val="32"/>
        </w:rPr>
        <w:t xml:space="preserve"> Sheet</w:t>
      </w:r>
    </w:p>
    <w:p w14:paraId="60332A88" w14:textId="77777777" w:rsidR="002D672A" w:rsidRPr="00C847AA" w:rsidRDefault="002D672A" w:rsidP="00C66323">
      <w:pPr>
        <w:spacing w:after="0" w:line="240" w:lineRule="auto"/>
        <w:ind w:firstLine="360"/>
        <w:jc w:val="both"/>
        <w:rPr>
          <w:smallCaps/>
          <w:sz w:val="32"/>
          <w:szCs w:val="32"/>
        </w:rPr>
      </w:pPr>
    </w:p>
    <w:p w14:paraId="55FD358C" w14:textId="02C87FD3" w:rsidR="003160B6" w:rsidRPr="00D375D0" w:rsidRDefault="00B41A57" w:rsidP="00535D81">
      <w:pPr>
        <w:spacing w:before="80" w:after="0" w:line="252" w:lineRule="auto"/>
        <w:rPr>
          <w:noProof/>
          <w:sz w:val="21"/>
          <w:szCs w:val="21"/>
        </w:rPr>
      </w:pPr>
      <w:r w:rsidRPr="00D375D0">
        <w:rPr>
          <w:sz w:val="21"/>
          <w:szCs w:val="21"/>
        </w:rPr>
        <w:t>In 1986, Congress passed the Emergency Planning &amp; Community Right to Know Act (EPCRA)</w:t>
      </w:r>
      <w:r w:rsidR="00704DCE" w:rsidRPr="00D375D0">
        <w:rPr>
          <w:sz w:val="21"/>
          <w:szCs w:val="21"/>
        </w:rPr>
        <w:t xml:space="preserve"> after a series of incidents in the United States and abroad raised concerns about a lack of planning and preparation for accidental releases of hazardous materials</w:t>
      </w:r>
      <w:r w:rsidRPr="00D375D0">
        <w:rPr>
          <w:sz w:val="21"/>
          <w:szCs w:val="21"/>
        </w:rPr>
        <w:t xml:space="preserve">.  The </w:t>
      </w:r>
      <w:r w:rsidR="00704DCE" w:rsidRPr="00D375D0">
        <w:rPr>
          <w:sz w:val="21"/>
          <w:szCs w:val="21"/>
        </w:rPr>
        <w:t>goal</w:t>
      </w:r>
      <w:r w:rsidRPr="00D375D0">
        <w:rPr>
          <w:sz w:val="21"/>
          <w:szCs w:val="21"/>
        </w:rPr>
        <w:t xml:space="preserve"> is to give emergency responders, emergency planners and the public information on the types and quantities of</w:t>
      </w:r>
      <w:r w:rsidR="00011052" w:rsidRPr="00D375D0">
        <w:rPr>
          <w:sz w:val="21"/>
          <w:szCs w:val="21"/>
        </w:rPr>
        <w:t xml:space="preserve"> extremely</w:t>
      </w:r>
      <w:r w:rsidRPr="00D375D0">
        <w:rPr>
          <w:sz w:val="21"/>
          <w:szCs w:val="21"/>
        </w:rPr>
        <w:t xml:space="preserve"> hazardous substances</w:t>
      </w:r>
      <w:r w:rsidR="00011052" w:rsidRPr="00D375D0">
        <w:rPr>
          <w:sz w:val="21"/>
          <w:szCs w:val="21"/>
        </w:rPr>
        <w:t xml:space="preserve"> (EHS)</w:t>
      </w:r>
      <w:r w:rsidRPr="00D375D0">
        <w:rPr>
          <w:sz w:val="21"/>
          <w:szCs w:val="21"/>
        </w:rPr>
        <w:t xml:space="preserve"> </w:t>
      </w:r>
      <w:r w:rsidR="00704DCE" w:rsidRPr="00D375D0">
        <w:rPr>
          <w:sz w:val="21"/>
          <w:szCs w:val="21"/>
        </w:rPr>
        <w:t>within their communities</w:t>
      </w:r>
      <w:r w:rsidR="008721B7" w:rsidRPr="00D375D0">
        <w:rPr>
          <w:sz w:val="21"/>
          <w:szCs w:val="21"/>
        </w:rPr>
        <w:t xml:space="preserve">.  With this information, </w:t>
      </w:r>
      <w:r w:rsidR="00704DCE" w:rsidRPr="00D375D0">
        <w:rPr>
          <w:sz w:val="21"/>
          <w:szCs w:val="21"/>
        </w:rPr>
        <w:t xml:space="preserve">they can develop and tailor a chemical emergency planning and response program </w:t>
      </w:r>
      <w:r w:rsidR="00467FD6" w:rsidRPr="00D375D0">
        <w:rPr>
          <w:sz w:val="21"/>
          <w:szCs w:val="21"/>
        </w:rPr>
        <w:t>to</w:t>
      </w:r>
      <w:r w:rsidR="00704DCE" w:rsidRPr="00D375D0">
        <w:rPr>
          <w:sz w:val="21"/>
          <w:szCs w:val="21"/>
        </w:rPr>
        <w:t xml:space="preserve"> protect the public and their communities in the event of a hazardous material release.</w:t>
      </w:r>
      <w:r w:rsidR="00732B87" w:rsidRPr="00D375D0">
        <w:rPr>
          <w:sz w:val="21"/>
          <w:szCs w:val="21"/>
        </w:rPr>
        <w:t xml:space="preserve">  In order for this mandate to be addressed, the law requires each state to establish a SERC, develop </w:t>
      </w:r>
      <w:r w:rsidR="00467FD6" w:rsidRPr="00D375D0">
        <w:rPr>
          <w:sz w:val="21"/>
          <w:szCs w:val="21"/>
        </w:rPr>
        <w:t xml:space="preserve">Emergency </w:t>
      </w:r>
      <w:r w:rsidR="00732B87" w:rsidRPr="00D375D0">
        <w:rPr>
          <w:sz w:val="21"/>
          <w:szCs w:val="21"/>
        </w:rPr>
        <w:t xml:space="preserve">Planning Districts </w:t>
      </w:r>
      <w:r w:rsidR="00467FD6" w:rsidRPr="00D375D0">
        <w:rPr>
          <w:sz w:val="21"/>
          <w:szCs w:val="21"/>
        </w:rPr>
        <w:t xml:space="preserve">(EPD)s </w:t>
      </w:r>
      <w:r w:rsidR="00732B87" w:rsidRPr="00D375D0">
        <w:rPr>
          <w:sz w:val="21"/>
          <w:szCs w:val="21"/>
        </w:rPr>
        <w:t>throughout the state and appoint LEPCs to each of</w:t>
      </w:r>
      <w:r w:rsidR="00467FD6" w:rsidRPr="00D375D0">
        <w:rPr>
          <w:sz w:val="21"/>
          <w:szCs w:val="21"/>
        </w:rPr>
        <w:t xml:space="preserve"> those districts.</w:t>
      </w:r>
    </w:p>
    <w:p w14:paraId="6DFC20A3" w14:textId="60DC7A2F" w:rsidR="00011052" w:rsidRPr="00C706C3" w:rsidRDefault="00B73D16" w:rsidP="003160B6">
      <w:pPr>
        <w:spacing w:after="0" w:line="264" w:lineRule="auto"/>
        <w:jc w:val="right"/>
        <w:rPr>
          <w:sz w:val="8"/>
          <w:szCs w:val="8"/>
        </w:rPr>
      </w:pPr>
      <w:r w:rsidRPr="00D375D0">
        <w:rPr>
          <w:noProof/>
          <w:sz w:val="21"/>
          <w:szCs w:val="21"/>
        </w:rPr>
        <w:drawing>
          <wp:anchor distT="0" distB="0" distL="91440" distR="91440" simplePos="0" relativeHeight="251660288" behindDoc="0" locked="0" layoutInCell="1" allowOverlap="1" wp14:anchorId="42CC0DD1" wp14:editId="21B19755">
            <wp:simplePos x="0" y="0"/>
            <wp:positionH relativeFrom="column">
              <wp:posOffset>4411882</wp:posOffset>
            </wp:positionH>
            <wp:positionV relativeFrom="page">
              <wp:posOffset>2285467</wp:posOffset>
            </wp:positionV>
            <wp:extent cx="2343785" cy="1497965"/>
            <wp:effectExtent l="0" t="0" r="0" b="6985"/>
            <wp:wrapSquare wrapText="bothSides"/>
            <wp:docPr id="3" name="Picture 3" descr="C:\Users\TWolfe\AppData\Local\Microsoft\Windows\Temporary Internet Files\Content.Word\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olfe\AppData\Local\Microsoft\Windows\Temporary Internet Files\Content.Word\Pictur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97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F2D0" w14:textId="2B81F1DD" w:rsidR="003160B6" w:rsidRPr="00D375D0" w:rsidRDefault="00187FDB" w:rsidP="00D375D0">
      <w:pPr>
        <w:spacing w:after="80" w:line="252" w:lineRule="auto"/>
        <w:rPr>
          <w:sz w:val="21"/>
          <w:szCs w:val="21"/>
        </w:rPr>
      </w:pPr>
      <w:r w:rsidRPr="00D5180F">
        <w:rPr>
          <w:b/>
          <w:sz w:val="21"/>
          <w:szCs w:val="21"/>
          <w:u w:val="single"/>
        </w:rPr>
        <w:t xml:space="preserve">What is </w:t>
      </w:r>
      <w:r w:rsidR="00B52590">
        <w:rPr>
          <w:b/>
          <w:sz w:val="21"/>
          <w:szCs w:val="21"/>
          <w:u w:val="single"/>
        </w:rPr>
        <w:t>the</w:t>
      </w:r>
      <w:r w:rsidRPr="00D5180F">
        <w:rPr>
          <w:b/>
          <w:sz w:val="21"/>
          <w:szCs w:val="21"/>
          <w:u w:val="single"/>
        </w:rPr>
        <w:t xml:space="preserve"> SERC?</w:t>
      </w:r>
      <w:r w:rsidR="00A21A22">
        <w:rPr>
          <w:b/>
          <w:sz w:val="21"/>
          <w:szCs w:val="21"/>
        </w:rPr>
        <w:tab/>
      </w:r>
      <w:r w:rsidR="007234E7">
        <w:rPr>
          <w:sz w:val="21"/>
          <w:szCs w:val="21"/>
        </w:rPr>
        <w:t xml:space="preserve">The SERC </w:t>
      </w:r>
      <w:r w:rsidR="00BA079B">
        <w:rPr>
          <w:sz w:val="21"/>
          <w:szCs w:val="21"/>
        </w:rPr>
        <w:t>is a team</w:t>
      </w:r>
      <w:r w:rsidR="00467FD6" w:rsidRPr="00D375D0">
        <w:rPr>
          <w:sz w:val="21"/>
          <w:szCs w:val="21"/>
        </w:rPr>
        <w:t xml:space="preserve"> of individuals from State and local government</w:t>
      </w:r>
      <w:r w:rsidR="00BA293D">
        <w:rPr>
          <w:sz w:val="21"/>
          <w:szCs w:val="21"/>
        </w:rPr>
        <w:t>, industry</w:t>
      </w:r>
      <w:r w:rsidR="00855762">
        <w:rPr>
          <w:sz w:val="21"/>
          <w:szCs w:val="21"/>
        </w:rPr>
        <w:t>, and the</w:t>
      </w:r>
      <w:r w:rsidR="00BA293D">
        <w:rPr>
          <w:sz w:val="21"/>
          <w:szCs w:val="21"/>
        </w:rPr>
        <w:t xml:space="preserve"> </w:t>
      </w:r>
      <w:r w:rsidR="00E913E4" w:rsidRPr="00D375D0">
        <w:rPr>
          <w:sz w:val="21"/>
          <w:szCs w:val="21"/>
        </w:rPr>
        <w:t>public</w:t>
      </w:r>
      <w:r w:rsidR="00467FD6" w:rsidRPr="00D375D0">
        <w:rPr>
          <w:sz w:val="21"/>
          <w:szCs w:val="21"/>
        </w:rPr>
        <w:t xml:space="preserve"> </w:t>
      </w:r>
      <w:r w:rsidR="00BA293D">
        <w:rPr>
          <w:sz w:val="21"/>
          <w:szCs w:val="21"/>
        </w:rPr>
        <w:t>s</w:t>
      </w:r>
      <w:r w:rsidR="00467FD6" w:rsidRPr="00D375D0">
        <w:rPr>
          <w:sz w:val="21"/>
          <w:szCs w:val="21"/>
        </w:rPr>
        <w:t>ector</w:t>
      </w:r>
      <w:r w:rsidR="002241DB">
        <w:rPr>
          <w:sz w:val="21"/>
          <w:szCs w:val="21"/>
        </w:rPr>
        <w:t xml:space="preserve"> that have</w:t>
      </w:r>
      <w:r w:rsidR="00467FD6" w:rsidRPr="00D375D0">
        <w:rPr>
          <w:sz w:val="21"/>
          <w:szCs w:val="21"/>
        </w:rPr>
        <w:t xml:space="preserve"> </w:t>
      </w:r>
      <w:r w:rsidR="00E913E4" w:rsidRPr="00D375D0">
        <w:rPr>
          <w:sz w:val="21"/>
          <w:szCs w:val="21"/>
        </w:rPr>
        <w:t>technical expertise in the emergency planning and response field.  The primary goals of the SERC are to develop EPDs throughout the state, appoint LEPCs to each EPD and</w:t>
      </w:r>
      <w:r w:rsidR="00A21A22">
        <w:rPr>
          <w:sz w:val="21"/>
          <w:szCs w:val="21"/>
        </w:rPr>
        <w:t xml:space="preserve"> to</w:t>
      </w:r>
      <w:r w:rsidR="00E913E4" w:rsidRPr="00D375D0">
        <w:rPr>
          <w:sz w:val="21"/>
          <w:szCs w:val="21"/>
        </w:rPr>
        <w:t xml:space="preserve"> assist the LEPCs in accomplishing their mandates.</w:t>
      </w:r>
    </w:p>
    <w:p w14:paraId="607C2174" w14:textId="48E8E1BB" w:rsidR="00C706C3" w:rsidRPr="00D375D0" w:rsidRDefault="00E913E4" w:rsidP="00A32107">
      <w:pPr>
        <w:widowControl w:val="0"/>
        <w:spacing w:after="80" w:line="252" w:lineRule="auto"/>
        <w:rPr>
          <w:rFonts w:ascii="Calibri" w:hAnsi="Calibri" w:cs="Arial"/>
          <w:sz w:val="21"/>
          <w:szCs w:val="21"/>
        </w:rPr>
      </w:pPr>
      <w:r w:rsidRPr="00D5180F">
        <w:rPr>
          <w:b/>
          <w:sz w:val="21"/>
          <w:szCs w:val="21"/>
          <w:u w:val="single"/>
        </w:rPr>
        <w:t>What is a LEPC?</w:t>
      </w:r>
      <w:r w:rsidRPr="00D375D0">
        <w:rPr>
          <w:sz w:val="21"/>
          <w:szCs w:val="21"/>
        </w:rPr>
        <w:tab/>
      </w:r>
      <w:r w:rsidRPr="00D375D0">
        <w:rPr>
          <w:rFonts w:ascii="Calibri" w:hAnsi="Calibri"/>
          <w:sz w:val="21"/>
          <w:szCs w:val="21"/>
        </w:rPr>
        <w:t xml:space="preserve">A committee </w:t>
      </w:r>
      <w:r w:rsidR="00693CE8">
        <w:rPr>
          <w:rFonts w:ascii="Calibri" w:hAnsi="Calibri"/>
          <w:sz w:val="21"/>
          <w:szCs w:val="21"/>
        </w:rPr>
        <w:t>of</w:t>
      </w:r>
      <w:r w:rsidR="002241DB">
        <w:rPr>
          <w:rFonts w:ascii="Calibri" w:hAnsi="Calibri"/>
          <w:sz w:val="21"/>
          <w:szCs w:val="21"/>
        </w:rPr>
        <w:t xml:space="preserve"> </w:t>
      </w:r>
      <w:r w:rsidRPr="00D375D0">
        <w:rPr>
          <w:rFonts w:ascii="Calibri" w:hAnsi="Calibri"/>
          <w:sz w:val="21"/>
          <w:szCs w:val="21"/>
        </w:rPr>
        <w:t xml:space="preserve">individuals from state and local government, emergency responders, </w:t>
      </w:r>
      <w:r w:rsidR="00B66783" w:rsidRPr="00D375D0">
        <w:rPr>
          <w:rFonts w:ascii="Calibri" w:hAnsi="Calibri"/>
          <w:sz w:val="21"/>
          <w:szCs w:val="21"/>
        </w:rPr>
        <w:t xml:space="preserve">emergency planners, </w:t>
      </w:r>
      <w:r w:rsidR="008E22C0" w:rsidRPr="00D375D0">
        <w:rPr>
          <w:rFonts w:ascii="Calibri" w:hAnsi="Calibri"/>
          <w:sz w:val="21"/>
          <w:szCs w:val="21"/>
        </w:rPr>
        <w:t>hospital, transportation, health, environmental groups, media</w:t>
      </w:r>
      <w:r w:rsidR="009947D9">
        <w:rPr>
          <w:rFonts w:ascii="Calibri" w:hAnsi="Calibri"/>
          <w:sz w:val="21"/>
          <w:szCs w:val="21"/>
        </w:rPr>
        <w:t>, industry and the local community</w:t>
      </w:r>
      <w:r w:rsidR="008E22C0" w:rsidRPr="00D375D0">
        <w:rPr>
          <w:rFonts w:ascii="Calibri" w:hAnsi="Calibri"/>
          <w:sz w:val="21"/>
          <w:szCs w:val="21"/>
        </w:rPr>
        <w:t>.</w:t>
      </w:r>
      <w:r w:rsidR="003160B6" w:rsidRPr="00D375D0">
        <w:rPr>
          <w:rFonts w:ascii="Calibri" w:hAnsi="Calibri"/>
          <w:sz w:val="21"/>
          <w:szCs w:val="21"/>
        </w:rPr>
        <w:t xml:space="preserve">  </w:t>
      </w:r>
      <w:r w:rsidR="008E233A" w:rsidRPr="00A21A22">
        <w:rPr>
          <w:rFonts w:ascii="Calibri" w:hAnsi="Calibri" w:cs="Arial"/>
          <w:sz w:val="21"/>
          <w:szCs w:val="21"/>
        </w:rPr>
        <w:t>LEPCs address risk</w:t>
      </w:r>
      <w:r w:rsidR="0054789C">
        <w:rPr>
          <w:rFonts w:ascii="Calibri" w:hAnsi="Calibri" w:cs="Arial"/>
          <w:sz w:val="21"/>
          <w:szCs w:val="21"/>
        </w:rPr>
        <w:t>s</w:t>
      </w:r>
      <w:r w:rsidR="008E233A" w:rsidRPr="00A21A22">
        <w:rPr>
          <w:rFonts w:ascii="Calibri" w:hAnsi="Calibri" w:cs="Arial"/>
          <w:sz w:val="21"/>
          <w:szCs w:val="21"/>
        </w:rPr>
        <w:t xml:space="preserve"> from hazardous chemical releases at fixed sites or in transit.  They use a variety of methods and strategies to ensure emergency planning and preparedness is accomplished within their districts.</w:t>
      </w:r>
      <w:r w:rsidR="008E233A" w:rsidRPr="00D375D0">
        <w:rPr>
          <w:rFonts w:ascii="Calibri" w:hAnsi="Calibri" w:cs="Arial"/>
          <w:w w:val="90"/>
          <w:sz w:val="21"/>
          <w:szCs w:val="21"/>
        </w:rPr>
        <w:t xml:space="preserve"> </w:t>
      </w:r>
      <w:r w:rsidR="00E23E9E">
        <w:rPr>
          <w:rFonts w:ascii="Calibri" w:hAnsi="Calibri" w:cs="Arial"/>
          <w:w w:val="90"/>
          <w:sz w:val="21"/>
          <w:szCs w:val="21"/>
        </w:rPr>
        <w:t xml:space="preserve"> </w:t>
      </w:r>
      <w:r w:rsidR="008E233A" w:rsidRPr="00D375D0">
        <w:rPr>
          <w:rFonts w:ascii="Calibri" w:hAnsi="Calibri" w:cs="Arial"/>
          <w:sz w:val="21"/>
          <w:szCs w:val="21"/>
        </w:rPr>
        <w:t>LEPCs do not respond to emergencies</w:t>
      </w:r>
      <w:r w:rsidR="00E23E9E">
        <w:rPr>
          <w:rFonts w:ascii="Calibri" w:hAnsi="Calibri" w:cs="Arial"/>
          <w:sz w:val="21"/>
          <w:szCs w:val="21"/>
        </w:rPr>
        <w:t>, r</w:t>
      </w:r>
      <w:r w:rsidR="008E233A" w:rsidRPr="00D375D0">
        <w:rPr>
          <w:rFonts w:ascii="Calibri" w:hAnsi="Calibri" w:cs="Arial"/>
          <w:sz w:val="21"/>
          <w:szCs w:val="21"/>
        </w:rPr>
        <w:t xml:space="preserve">ather, they are tasked with ensuring the broad issues of planning for </w:t>
      </w:r>
      <w:r w:rsidR="0054789C">
        <w:rPr>
          <w:rFonts w:ascii="Calibri" w:hAnsi="Calibri" w:cs="Arial"/>
          <w:sz w:val="21"/>
          <w:szCs w:val="21"/>
        </w:rPr>
        <w:t xml:space="preserve">a </w:t>
      </w:r>
      <w:r w:rsidR="008E233A" w:rsidRPr="00D375D0">
        <w:rPr>
          <w:rFonts w:ascii="Calibri" w:hAnsi="Calibri" w:cs="Arial"/>
          <w:sz w:val="21"/>
          <w:szCs w:val="21"/>
        </w:rPr>
        <w:t>response to a chemical incident has occurred.</w:t>
      </w:r>
    </w:p>
    <w:p w14:paraId="151C3DC7" w14:textId="5528BD4A" w:rsidR="00AE26B0" w:rsidRPr="00D375D0" w:rsidRDefault="00A21A22" w:rsidP="00D375D0">
      <w:pPr>
        <w:spacing w:after="80" w:line="252" w:lineRule="auto"/>
        <w:rPr>
          <w:rFonts w:ascii="Calibri" w:hAnsi="Calibri"/>
          <w:sz w:val="21"/>
          <w:szCs w:val="21"/>
        </w:rPr>
      </w:pPr>
      <w:r w:rsidRPr="00D5180F">
        <w:rPr>
          <w:noProof/>
          <w:sz w:val="21"/>
          <w:szCs w:val="21"/>
          <w:u w:val="single"/>
        </w:rPr>
        <w:drawing>
          <wp:anchor distT="0" distB="0" distL="114300" distR="114300" simplePos="0" relativeHeight="251662336" behindDoc="1" locked="0" layoutInCell="1" allowOverlap="1" wp14:anchorId="51813ABB" wp14:editId="65B6F73E">
            <wp:simplePos x="0" y="0"/>
            <wp:positionH relativeFrom="column">
              <wp:posOffset>4646295</wp:posOffset>
            </wp:positionH>
            <wp:positionV relativeFrom="paragraph">
              <wp:posOffset>992505</wp:posOffset>
            </wp:positionV>
            <wp:extent cx="2306955" cy="1530350"/>
            <wp:effectExtent l="0" t="0" r="0" b="0"/>
            <wp:wrapTight wrapText="bothSides">
              <wp:wrapPolygon edited="0">
                <wp:start x="713" y="0"/>
                <wp:lineTo x="0" y="538"/>
                <wp:lineTo x="0" y="20973"/>
                <wp:lineTo x="713" y="21241"/>
                <wp:lineTo x="20690" y="21241"/>
                <wp:lineTo x="21404" y="20973"/>
                <wp:lineTo x="21404" y="538"/>
                <wp:lineTo x="20690" y="0"/>
                <wp:lineTo x="713" y="0"/>
              </wp:wrapPolygon>
            </wp:wrapTight>
            <wp:docPr id="9" name="Picture 9" descr="C:\Users\TWolfe\AppData\Local\Microsoft\Window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Wolfe\AppData\Local\Microsoft\Window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3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81" w:rsidRPr="00D5180F">
        <w:rPr>
          <w:rFonts w:ascii="Calibri" w:hAnsi="Calibri"/>
          <w:b/>
          <w:noProof/>
          <w:sz w:val="21"/>
          <w:szCs w:val="21"/>
          <w:u w:val="single"/>
        </w:rPr>
        <w:drawing>
          <wp:anchor distT="0" distB="0" distL="91440" distR="91440" simplePos="0" relativeHeight="251661312" behindDoc="0" locked="0" layoutInCell="1" allowOverlap="1" wp14:anchorId="3737E129" wp14:editId="75C5C15A">
            <wp:simplePos x="0" y="0"/>
            <wp:positionH relativeFrom="column">
              <wp:posOffset>-117475</wp:posOffset>
            </wp:positionH>
            <wp:positionV relativeFrom="paragraph">
              <wp:posOffset>41910</wp:posOffset>
            </wp:positionV>
            <wp:extent cx="2397760" cy="1413510"/>
            <wp:effectExtent l="0" t="0" r="2540" b="0"/>
            <wp:wrapSquare wrapText="bothSides"/>
            <wp:docPr id="6" name="Picture 6" descr="C:\Users\TWolfe\Desktop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Wolfe\Desktop\New Pic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4135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6B0" w:rsidRPr="00D5180F">
        <w:rPr>
          <w:rFonts w:ascii="Calibri" w:hAnsi="Calibri"/>
          <w:b/>
          <w:sz w:val="21"/>
          <w:szCs w:val="21"/>
          <w:u w:val="single"/>
        </w:rPr>
        <w:t>What is an Emergency Planning District?</w:t>
      </w:r>
      <w:r w:rsidR="001E4596">
        <w:rPr>
          <w:rFonts w:ascii="Calibri" w:hAnsi="Calibri"/>
          <w:b/>
          <w:sz w:val="21"/>
          <w:szCs w:val="21"/>
        </w:rPr>
        <w:t xml:space="preserve"> </w:t>
      </w:r>
      <w:r w:rsidR="00AE26B0" w:rsidRPr="00D375D0">
        <w:rPr>
          <w:rFonts w:ascii="Calibri" w:hAnsi="Calibri"/>
          <w:sz w:val="21"/>
          <w:szCs w:val="21"/>
        </w:rPr>
        <w:t xml:space="preserve">One of </w:t>
      </w:r>
      <w:r w:rsidR="0054789C">
        <w:rPr>
          <w:rFonts w:ascii="Calibri" w:hAnsi="Calibri"/>
          <w:sz w:val="21"/>
          <w:szCs w:val="21"/>
        </w:rPr>
        <w:t xml:space="preserve">the </w:t>
      </w:r>
      <w:r w:rsidR="00AE26B0" w:rsidRPr="00D375D0">
        <w:rPr>
          <w:rFonts w:ascii="Calibri" w:hAnsi="Calibri"/>
          <w:sz w:val="21"/>
          <w:szCs w:val="21"/>
        </w:rPr>
        <w:t xml:space="preserve">responsibilities of the SERC is to </w:t>
      </w:r>
      <w:r w:rsidR="0054789C">
        <w:rPr>
          <w:rFonts w:ascii="Calibri" w:hAnsi="Calibri"/>
          <w:sz w:val="21"/>
          <w:szCs w:val="21"/>
        </w:rPr>
        <w:t>divide</w:t>
      </w:r>
      <w:r w:rsidR="00AE26B0" w:rsidRPr="00D375D0">
        <w:rPr>
          <w:rFonts w:ascii="Calibri" w:hAnsi="Calibri"/>
          <w:sz w:val="21"/>
          <w:szCs w:val="21"/>
        </w:rPr>
        <w:t xml:space="preserve"> the state into EPDs.  </w:t>
      </w:r>
      <w:r w:rsidR="006A799E">
        <w:rPr>
          <w:rFonts w:ascii="Calibri" w:hAnsi="Calibri"/>
          <w:sz w:val="21"/>
          <w:szCs w:val="21"/>
        </w:rPr>
        <w:t>Currently i</w:t>
      </w:r>
      <w:r w:rsidR="00AE26B0" w:rsidRPr="00D375D0">
        <w:rPr>
          <w:rFonts w:ascii="Calibri" w:hAnsi="Calibri"/>
          <w:sz w:val="21"/>
          <w:szCs w:val="21"/>
        </w:rPr>
        <w:t>n Oregon,</w:t>
      </w:r>
      <w:r>
        <w:rPr>
          <w:rFonts w:ascii="Calibri" w:hAnsi="Calibri"/>
          <w:sz w:val="21"/>
          <w:szCs w:val="21"/>
        </w:rPr>
        <w:t xml:space="preserve"> these</w:t>
      </w:r>
      <w:r w:rsidR="00AE26B0" w:rsidRPr="00D375D0">
        <w:rPr>
          <w:rFonts w:ascii="Calibri" w:hAnsi="Calibri"/>
          <w:sz w:val="21"/>
          <w:szCs w:val="21"/>
        </w:rPr>
        <w:t xml:space="preserve"> planning districts mirror county boundaries</w:t>
      </w:r>
      <w:r w:rsidR="009759B9" w:rsidRPr="00D375D0">
        <w:rPr>
          <w:rFonts w:ascii="Calibri" w:hAnsi="Calibri"/>
          <w:sz w:val="21"/>
          <w:szCs w:val="21"/>
        </w:rPr>
        <w:t>.  T</w:t>
      </w:r>
      <w:r w:rsidR="00AE26B0" w:rsidRPr="00D375D0">
        <w:rPr>
          <w:rFonts w:ascii="Calibri" w:hAnsi="Calibri"/>
          <w:sz w:val="21"/>
          <w:szCs w:val="21"/>
        </w:rPr>
        <w:t xml:space="preserve">wo or more counties </w:t>
      </w:r>
      <w:r w:rsidR="009759B9" w:rsidRPr="00D375D0">
        <w:rPr>
          <w:rFonts w:ascii="Calibri" w:hAnsi="Calibri"/>
          <w:sz w:val="21"/>
          <w:szCs w:val="21"/>
        </w:rPr>
        <w:t>can</w:t>
      </w:r>
      <w:r w:rsidR="00AE26B0" w:rsidRPr="00D375D0">
        <w:rPr>
          <w:rFonts w:ascii="Calibri" w:hAnsi="Calibri"/>
          <w:sz w:val="21"/>
          <w:szCs w:val="21"/>
        </w:rPr>
        <w:t xml:space="preserve"> create a single multi-county planning district if they so choose.  An LEPC is responsible to facilitate preparation and implementation of the LEPC emergency response plan within their</w:t>
      </w:r>
      <w:r>
        <w:rPr>
          <w:rFonts w:ascii="Calibri" w:hAnsi="Calibri"/>
          <w:sz w:val="21"/>
          <w:szCs w:val="21"/>
        </w:rPr>
        <w:t xml:space="preserve"> EPD</w:t>
      </w:r>
      <w:r w:rsidR="00AE26B0" w:rsidRPr="00D375D0">
        <w:rPr>
          <w:rFonts w:ascii="Calibri" w:hAnsi="Calibri"/>
          <w:sz w:val="21"/>
          <w:szCs w:val="21"/>
        </w:rPr>
        <w:t>.</w:t>
      </w:r>
    </w:p>
    <w:p w14:paraId="777ABE93" w14:textId="45DEC8F9" w:rsidR="00300E8C" w:rsidRPr="00D375D0" w:rsidRDefault="00300E8C" w:rsidP="00D375D0">
      <w:pPr>
        <w:spacing w:after="80" w:line="252" w:lineRule="auto"/>
        <w:rPr>
          <w:rFonts w:ascii="Calibri" w:hAnsi="Calibri"/>
          <w:b/>
          <w:sz w:val="21"/>
          <w:szCs w:val="21"/>
        </w:rPr>
      </w:pPr>
      <w:r w:rsidRPr="00D5180F">
        <w:rPr>
          <w:rFonts w:ascii="Calibri" w:hAnsi="Calibri"/>
          <w:b/>
          <w:sz w:val="21"/>
          <w:szCs w:val="21"/>
          <w:u w:val="single"/>
        </w:rPr>
        <w:t>What is required in the plan?</w:t>
      </w:r>
      <w:r w:rsidR="00535D81" w:rsidRPr="00D375D0">
        <w:rPr>
          <w:rFonts w:ascii="Calibri" w:hAnsi="Calibri"/>
          <w:b/>
          <w:sz w:val="21"/>
          <w:szCs w:val="21"/>
        </w:rPr>
        <w:tab/>
      </w:r>
      <w:r w:rsidRPr="00D375D0">
        <w:rPr>
          <w:rFonts w:ascii="Calibri" w:eastAsia="Times New Roman" w:hAnsi="Calibri" w:cs="Arial"/>
          <w:color w:val="000000"/>
          <w:sz w:val="21"/>
          <w:szCs w:val="21"/>
        </w:rPr>
        <w:t xml:space="preserve">Each </w:t>
      </w:r>
      <w:r w:rsidR="00A21A22">
        <w:rPr>
          <w:rFonts w:ascii="Calibri" w:eastAsia="Times New Roman" w:hAnsi="Calibri" w:cs="Arial"/>
          <w:color w:val="000000"/>
          <w:sz w:val="21"/>
          <w:szCs w:val="21"/>
        </w:rPr>
        <w:t>EPD</w:t>
      </w:r>
      <w:r w:rsidRPr="00D375D0">
        <w:rPr>
          <w:rFonts w:ascii="Calibri" w:eastAsia="Times New Roman" w:hAnsi="Calibri" w:cs="Arial"/>
          <w:color w:val="000000"/>
          <w:sz w:val="21"/>
          <w:szCs w:val="21"/>
        </w:rPr>
        <w:t xml:space="preserve"> must have a written plan that covers response to incidents involving </w:t>
      </w:r>
      <w:r w:rsidR="008D310C" w:rsidRPr="00D375D0">
        <w:rPr>
          <w:rFonts w:ascii="Calibri" w:hAnsi="Calibri"/>
          <w:sz w:val="21"/>
          <w:szCs w:val="21"/>
        </w:rPr>
        <w:t xml:space="preserve">facilities with a threshold planning quantity (TPQ) of EHS.  </w:t>
      </w:r>
      <w:r w:rsidRPr="00D375D0">
        <w:rPr>
          <w:rFonts w:ascii="Calibri" w:eastAsia="Times New Roman" w:hAnsi="Calibri" w:cs="Arial"/>
          <w:color w:val="000000"/>
          <w:sz w:val="21"/>
          <w:szCs w:val="21"/>
        </w:rPr>
        <w:t xml:space="preserve">These plans </w:t>
      </w:r>
      <w:r w:rsidR="00C40DB1">
        <w:rPr>
          <w:rFonts w:ascii="Calibri" w:eastAsia="Times New Roman" w:hAnsi="Calibri" w:cs="Arial"/>
          <w:color w:val="000000"/>
          <w:sz w:val="21"/>
          <w:szCs w:val="21"/>
        </w:rPr>
        <w:t xml:space="preserve">identify </w:t>
      </w:r>
      <w:r w:rsidR="0055534F">
        <w:rPr>
          <w:rFonts w:ascii="Calibri" w:eastAsia="Times New Roman" w:hAnsi="Calibri" w:cs="Arial"/>
          <w:color w:val="000000"/>
          <w:sz w:val="21"/>
          <w:szCs w:val="21"/>
        </w:rPr>
        <w:t>at risk areas,</w:t>
      </w:r>
      <w:r w:rsidRPr="00D375D0">
        <w:rPr>
          <w:rFonts w:ascii="Calibri" w:eastAsia="Times New Roman" w:hAnsi="Calibri" w:cs="Arial"/>
          <w:color w:val="000000"/>
          <w:sz w:val="21"/>
          <w:szCs w:val="21"/>
        </w:rPr>
        <w:t xml:space="preserve"> </w:t>
      </w:r>
      <w:r w:rsidR="00C01CCA">
        <w:rPr>
          <w:rFonts w:ascii="Calibri" w:eastAsia="Times New Roman" w:hAnsi="Calibri" w:cs="Arial"/>
          <w:color w:val="000000"/>
          <w:sz w:val="21"/>
          <w:szCs w:val="21"/>
        </w:rPr>
        <w:t>response responsibilities</w:t>
      </w:r>
      <w:r w:rsidR="009360AD">
        <w:rPr>
          <w:rFonts w:ascii="Calibri" w:eastAsia="Times New Roman" w:hAnsi="Calibri" w:cs="Arial"/>
          <w:color w:val="000000"/>
          <w:sz w:val="21"/>
          <w:szCs w:val="21"/>
        </w:rPr>
        <w:t xml:space="preserve"> on and off the facility, </w:t>
      </w:r>
      <w:r w:rsidR="00C17C76">
        <w:rPr>
          <w:rFonts w:ascii="Calibri" w:eastAsia="Times New Roman" w:hAnsi="Calibri" w:cs="Arial"/>
          <w:color w:val="000000"/>
          <w:sz w:val="21"/>
          <w:szCs w:val="21"/>
        </w:rPr>
        <w:t xml:space="preserve">and </w:t>
      </w:r>
      <w:proofErr w:type="gramStart"/>
      <w:r w:rsidR="00C17C76">
        <w:rPr>
          <w:rFonts w:ascii="Calibri" w:eastAsia="Times New Roman" w:hAnsi="Calibri" w:cs="Arial"/>
          <w:color w:val="000000"/>
          <w:sz w:val="21"/>
          <w:szCs w:val="21"/>
        </w:rPr>
        <w:t>describes</w:t>
      </w:r>
      <w:proofErr w:type="gramEnd"/>
      <w:r w:rsidR="00C17C76">
        <w:rPr>
          <w:rFonts w:ascii="Calibri" w:eastAsia="Times New Roman" w:hAnsi="Calibri" w:cs="Arial"/>
          <w:color w:val="000000"/>
          <w:sz w:val="21"/>
          <w:szCs w:val="21"/>
        </w:rPr>
        <w:t xml:space="preserve"> evacuation plans</w:t>
      </w:r>
      <w:r w:rsidR="00887FB3">
        <w:rPr>
          <w:rFonts w:ascii="Calibri" w:eastAsia="Times New Roman" w:hAnsi="Calibri" w:cs="Arial"/>
          <w:color w:val="000000"/>
          <w:sz w:val="21"/>
          <w:szCs w:val="21"/>
        </w:rPr>
        <w:t xml:space="preserve">. </w:t>
      </w:r>
      <w:r w:rsidR="007364A0">
        <w:rPr>
          <w:rFonts w:ascii="Calibri" w:eastAsia="Times New Roman" w:hAnsi="Calibri" w:cs="Arial"/>
          <w:color w:val="000000"/>
          <w:sz w:val="21"/>
          <w:szCs w:val="21"/>
        </w:rPr>
        <w:t xml:space="preserve">This allows both planning and practicing of the plan. </w:t>
      </w:r>
      <w:r w:rsidRPr="00D375D0">
        <w:rPr>
          <w:rFonts w:ascii="Calibri" w:eastAsia="Times New Roman" w:hAnsi="Calibri" w:cs="Arial"/>
          <w:color w:val="000000"/>
          <w:sz w:val="21"/>
          <w:szCs w:val="21"/>
        </w:rPr>
        <w:t xml:space="preserve"> </w:t>
      </w:r>
    </w:p>
    <w:p w14:paraId="3AEE11F3" w14:textId="782292D2" w:rsidR="008E233A" w:rsidRPr="00D375D0" w:rsidRDefault="00C706C3" w:rsidP="00D375D0">
      <w:pPr>
        <w:spacing w:after="80" w:line="252" w:lineRule="auto"/>
        <w:rPr>
          <w:sz w:val="21"/>
          <w:szCs w:val="21"/>
        </w:rPr>
      </w:pPr>
      <w:r w:rsidRPr="00D5180F">
        <w:rPr>
          <w:b/>
          <w:sz w:val="21"/>
          <w:szCs w:val="21"/>
          <w:u w:val="single"/>
        </w:rPr>
        <w:t>What is an EHS?</w:t>
      </w:r>
      <w:r w:rsidR="00A21A22">
        <w:rPr>
          <w:b/>
          <w:sz w:val="21"/>
          <w:szCs w:val="21"/>
        </w:rPr>
        <w:tab/>
      </w:r>
      <w:r w:rsidRPr="00D375D0">
        <w:rPr>
          <w:sz w:val="21"/>
          <w:szCs w:val="21"/>
        </w:rPr>
        <w:tab/>
        <w:t>Although all chemicals can be dangerous to life and health, EPA has established a list of over 3</w:t>
      </w:r>
      <w:r w:rsidR="00467B51">
        <w:rPr>
          <w:sz w:val="21"/>
          <w:szCs w:val="21"/>
        </w:rPr>
        <w:t>3</w:t>
      </w:r>
      <w:r w:rsidR="003D2E25">
        <w:rPr>
          <w:sz w:val="21"/>
          <w:szCs w:val="21"/>
        </w:rPr>
        <w:t xml:space="preserve">0 </w:t>
      </w:r>
      <w:r w:rsidR="00523265" w:rsidRPr="00D375D0">
        <w:rPr>
          <w:sz w:val="21"/>
          <w:szCs w:val="21"/>
        </w:rPr>
        <w:t>chemicals</w:t>
      </w:r>
      <w:r w:rsidRPr="00D375D0">
        <w:rPr>
          <w:sz w:val="21"/>
          <w:szCs w:val="21"/>
        </w:rPr>
        <w:t xml:space="preserve"> </w:t>
      </w:r>
      <w:r w:rsidR="001F30DC" w:rsidRPr="00D375D0">
        <w:rPr>
          <w:sz w:val="21"/>
          <w:szCs w:val="21"/>
        </w:rPr>
        <w:t>considered to be</w:t>
      </w:r>
      <w:r w:rsidRPr="00D375D0">
        <w:rPr>
          <w:sz w:val="21"/>
          <w:szCs w:val="21"/>
        </w:rPr>
        <w:t xml:space="preserve"> “</w:t>
      </w:r>
      <w:r w:rsidRPr="00D375D0">
        <w:rPr>
          <w:b/>
          <w:sz w:val="21"/>
          <w:szCs w:val="21"/>
        </w:rPr>
        <w:t>E</w:t>
      </w:r>
      <w:r w:rsidRPr="00D375D0">
        <w:rPr>
          <w:sz w:val="21"/>
          <w:szCs w:val="21"/>
        </w:rPr>
        <w:t xml:space="preserve">xtremely </w:t>
      </w:r>
      <w:r w:rsidRPr="00D375D0">
        <w:rPr>
          <w:b/>
          <w:sz w:val="21"/>
          <w:szCs w:val="21"/>
        </w:rPr>
        <w:t>H</w:t>
      </w:r>
      <w:r w:rsidRPr="00D375D0">
        <w:rPr>
          <w:sz w:val="21"/>
          <w:szCs w:val="21"/>
        </w:rPr>
        <w:t xml:space="preserve">azardous </w:t>
      </w:r>
      <w:r w:rsidRPr="00D375D0">
        <w:rPr>
          <w:b/>
          <w:sz w:val="21"/>
          <w:szCs w:val="21"/>
        </w:rPr>
        <w:t>S</w:t>
      </w:r>
      <w:r w:rsidRPr="00D375D0">
        <w:rPr>
          <w:sz w:val="21"/>
          <w:szCs w:val="21"/>
        </w:rPr>
        <w:t>ubstances</w:t>
      </w:r>
      <w:r w:rsidR="00447E33" w:rsidRPr="00D375D0">
        <w:rPr>
          <w:sz w:val="21"/>
          <w:szCs w:val="21"/>
        </w:rPr>
        <w:t>”</w:t>
      </w:r>
      <w:r w:rsidRPr="00D375D0">
        <w:rPr>
          <w:sz w:val="21"/>
          <w:szCs w:val="21"/>
        </w:rPr>
        <w:t>.  These are substances that even in very small amounts can be immediately dangerous to life and the environment.</w:t>
      </w:r>
      <w:r w:rsidR="00F24151" w:rsidRPr="00D375D0">
        <w:rPr>
          <w:sz w:val="21"/>
          <w:szCs w:val="21"/>
        </w:rPr>
        <w:t xml:space="preserve">  The EHS list includes substances such as chlorine, phosgene, anhydrous ammonia and formaldehyde.</w:t>
      </w:r>
    </w:p>
    <w:p w14:paraId="5A337D8E" w14:textId="77777777" w:rsidR="00E913E4" w:rsidRDefault="009759B9" w:rsidP="00D375D0">
      <w:pPr>
        <w:spacing w:after="80" w:line="252" w:lineRule="auto"/>
        <w:rPr>
          <w:sz w:val="21"/>
          <w:szCs w:val="21"/>
        </w:rPr>
      </w:pPr>
      <w:r w:rsidRPr="00D5180F">
        <w:rPr>
          <w:b/>
          <w:sz w:val="21"/>
          <w:szCs w:val="21"/>
          <w:u w:val="single"/>
        </w:rPr>
        <w:t>What is a Threshold Planning Quantity (TPQ)?</w:t>
      </w:r>
      <w:r w:rsidRPr="00D375D0">
        <w:rPr>
          <w:b/>
          <w:sz w:val="21"/>
          <w:szCs w:val="21"/>
        </w:rPr>
        <w:tab/>
      </w:r>
      <w:r w:rsidRPr="00D375D0">
        <w:rPr>
          <w:sz w:val="21"/>
          <w:szCs w:val="21"/>
        </w:rPr>
        <w:t xml:space="preserve">For each of the </w:t>
      </w:r>
      <w:r w:rsidR="00523265" w:rsidRPr="00D375D0">
        <w:rPr>
          <w:sz w:val="21"/>
          <w:szCs w:val="21"/>
        </w:rPr>
        <w:t>chemicals</w:t>
      </w:r>
      <w:r w:rsidRPr="00D375D0">
        <w:rPr>
          <w:sz w:val="21"/>
          <w:szCs w:val="21"/>
        </w:rPr>
        <w:t xml:space="preserve"> on the EPA EHS list, there is a corresponding </w:t>
      </w:r>
      <w:r w:rsidR="002565F2" w:rsidRPr="00D375D0">
        <w:rPr>
          <w:sz w:val="21"/>
          <w:szCs w:val="21"/>
        </w:rPr>
        <w:t xml:space="preserve">threshold quantity that if exceeded, subjects the facility possessing the substance to the requirements of EPCRA and participation with the LEPC in the </w:t>
      </w:r>
      <w:r w:rsidR="00D63599">
        <w:rPr>
          <w:sz w:val="21"/>
          <w:szCs w:val="21"/>
        </w:rPr>
        <w:t>planning process</w:t>
      </w:r>
      <w:r w:rsidR="002565F2" w:rsidRPr="00D375D0">
        <w:rPr>
          <w:sz w:val="21"/>
          <w:szCs w:val="21"/>
        </w:rPr>
        <w:t>.</w:t>
      </w:r>
    </w:p>
    <w:p w14:paraId="285DD91D" w14:textId="77777777" w:rsidR="000F696C" w:rsidRPr="00D375D0" w:rsidRDefault="000F696C" w:rsidP="00D375D0">
      <w:pPr>
        <w:spacing w:after="80" w:line="252" w:lineRule="auto"/>
        <w:rPr>
          <w:sz w:val="21"/>
          <w:szCs w:val="21"/>
        </w:rPr>
      </w:pPr>
    </w:p>
    <w:p w14:paraId="3DDA3770" w14:textId="760D7BAB" w:rsidR="001D3E31" w:rsidRDefault="0052418C" w:rsidP="00D1716A">
      <w:pPr>
        <w:spacing w:after="0"/>
        <w:rPr>
          <w:sz w:val="20"/>
          <w:szCs w:val="20"/>
        </w:rPr>
      </w:pPr>
      <w:r>
        <w:rPr>
          <w:b/>
          <w:sz w:val="21"/>
          <w:szCs w:val="21"/>
          <w:u w:val="single"/>
        </w:rPr>
        <w:t>How can I learn more?</w:t>
      </w:r>
      <w:r>
        <w:rPr>
          <w:b/>
          <w:sz w:val="21"/>
          <w:szCs w:val="21"/>
        </w:rPr>
        <w:t xml:space="preserve"> </w:t>
      </w:r>
      <w:r w:rsidR="00E010E8">
        <w:rPr>
          <w:sz w:val="20"/>
          <w:szCs w:val="20"/>
        </w:rPr>
        <w:t>For more information on Oregon’s SERC</w:t>
      </w:r>
      <w:r w:rsidR="00291B6A">
        <w:rPr>
          <w:sz w:val="20"/>
          <w:szCs w:val="20"/>
        </w:rPr>
        <w:t xml:space="preserve"> or </w:t>
      </w:r>
      <w:r w:rsidR="00E010E8">
        <w:rPr>
          <w:sz w:val="20"/>
          <w:szCs w:val="20"/>
        </w:rPr>
        <w:t>LEPCs</w:t>
      </w:r>
      <w:r w:rsidR="001D3E31">
        <w:rPr>
          <w:sz w:val="20"/>
          <w:szCs w:val="20"/>
        </w:rPr>
        <w:t xml:space="preserve"> </w:t>
      </w:r>
      <w:r w:rsidR="00E010E8">
        <w:rPr>
          <w:sz w:val="20"/>
          <w:szCs w:val="20"/>
        </w:rPr>
        <w:t xml:space="preserve">go to the State Fire Marshal’s website at </w:t>
      </w:r>
      <w:hyperlink r:id="rId9" w:history="1">
        <w:r w:rsidR="00291B6A" w:rsidRPr="00FB0775">
          <w:rPr>
            <w:rStyle w:val="Hyperlink"/>
            <w:sz w:val="20"/>
            <w:szCs w:val="20"/>
          </w:rPr>
          <w:t>https://www.oregon.gov/osfm/emergency_response/Pages/LEPC.aspx</w:t>
        </w:r>
      </w:hyperlink>
    </w:p>
    <w:p w14:paraId="1E73C73F" w14:textId="77777777" w:rsidR="00D85FD8" w:rsidRDefault="00D85FD8" w:rsidP="00D1716A">
      <w:pPr>
        <w:spacing w:after="0"/>
        <w:rPr>
          <w:sz w:val="20"/>
          <w:szCs w:val="20"/>
        </w:rPr>
      </w:pPr>
    </w:p>
    <w:p w14:paraId="4790B819" w14:textId="3AE0ACCA" w:rsidR="00291B6A" w:rsidRDefault="00291B6A" w:rsidP="00D1716A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more information on EHS facilities in your area go to the State Fire Marshal’s website at</w:t>
      </w:r>
      <w:r w:rsidR="002D672A">
        <w:rPr>
          <w:sz w:val="20"/>
          <w:szCs w:val="20"/>
        </w:rPr>
        <w:t xml:space="preserve"> </w:t>
      </w:r>
      <w:hyperlink r:id="rId10" w:history="1">
        <w:r w:rsidR="002D672A" w:rsidRPr="00FB0775">
          <w:rPr>
            <w:rStyle w:val="Hyperlink"/>
            <w:sz w:val="20"/>
            <w:szCs w:val="20"/>
          </w:rPr>
          <w:t>https://www.oregon.gov/osfm/industry/Pages/CR2K.aspx</w:t>
        </w:r>
      </w:hyperlink>
      <w:r w:rsidR="002D672A">
        <w:rPr>
          <w:sz w:val="20"/>
          <w:szCs w:val="20"/>
        </w:rPr>
        <w:t xml:space="preserve"> </w:t>
      </w:r>
    </w:p>
    <w:p w14:paraId="1FC62D48" w14:textId="1E00B563" w:rsidR="00D1716A" w:rsidRDefault="00D1716A" w:rsidP="00D1716A">
      <w:pPr>
        <w:spacing w:after="0"/>
        <w:rPr>
          <w:sz w:val="20"/>
          <w:szCs w:val="20"/>
        </w:rPr>
      </w:pPr>
      <w:r w:rsidRPr="00D375D0">
        <w:rPr>
          <w:smallCap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E978345" wp14:editId="5593C55B">
            <wp:simplePos x="1870710" y="457200"/>
            <wp:positionH relativeFrom="margin">
              <wp:align>right</wp:align>
            </wp:positionH>
            <wp:positionV relativeFrom="margin">
              <wp:align>bottom</wp:align>
            </wp:positionV>
            <wp:extent cx="1870710" cy="6235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PC logo Statewid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644" cy="62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3E2D9" w14:textId="550B4AFA" w:rsidR="004972C7" w:rsidRPr="004972C7" w:rsidRDefault="0047146E" w:rsidP="00922B82">
      <w:pPr>
        <w:spacing w:after="80"/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</w:rPr>
        <w:t>F</w:t>
      </w:r>
      <w:r w:rsidR="00A32107">
        <w:rPr>
          <w:sz w:val="20"/>
          <w:szCs w:val="20"/>
        </w:rPr>
        <w:t xml:space="preserve">or questions, </w:t>
      </w:r>
      <w:r w:rsidR="004972C7">
        <w:rPr>
          <w:sz w:val="20"/>
          <w:szCs w:val="20"/>
        </w:rPr>
        <w:t xml:space="preserve">send an email to </w:t>
      </w:r>
      <w:r w:rsidR="00D5180F" w:rsidRPr="00D5180F">
        <w:rPr>
          <w:color w:val="00B0F0"/>
          <w:sz w:val="20"/>
          <w:szCs w:val="20"/>
        </w:rPr>
        <w:t>MaryAnn.Christian@osfm.oregon.gov</w:t>
      </w:r>
    </w:p>
    <w:sectPr w:rsidR="004972C7" w:rsidRPr="004972C7" w:rsidSect="00922B82">
      <w:pgSz w:w="12240" w:h="15840"/>
      <w:pgMar w:top="576" w:right="720" w:bottom="576" w:left="720" w:header="720" w:footer="720" w:gutter="0"/>
      <w:pgBorders w:offsetFrom="page">
        <w:top w:val="thickThinLargeGap" w:sz="24" w:space="24" w:color="365F91" w:themeColor="accent1" w:themeShade="BF"/>
        <w:left w:val="thickThinLargeGap" w:sz="24" w:space="24" w:color="365F91" w:themeColor="accent1" w:themeShade="BF"/>
        <w:bottom w:val="thickThinLargeGap" w:sz="24" w:space="24" w:color="365F91" w:themeColor="accent1" w:themeShade="BF"/>
        <w:right w:val="thickThinLarge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20"/>
    <w:rsid w:val="00011052"/>
    <w:rsid w:val="00035E92"/>
    <w:rsid w:val="000457A6"/>
    <w:rsid w:val="000B4788"/>
    <w:rsid w:val="000C5D55"/>
    <w:rsid w:val="000F696C"/>
    <w:rsid w:val="00150142"/>
    <w:rsid w:val="00187FDB"/>
    <w:rsid w:val="001931AB"/>
    <w:rsid w:val="001B2514"/>
    <w:rsid w:val="001D3E31"/>
    <w:rsid w:val="001E4596"/>
    <w:rsid w:val="001F1EA7"/>
    <w:rsid w:val="001F30DC"/>
    <w:rsid w:val="002241DB"/>
    <w:rsid w:val="002565F2"/>
    <w:rsid w:val="00291B6A"/>
    <w:rsid w:val="002D2EE3"/>
    <w:rsid w:val="002D672A"/>
    <w:rsid w:val="002E572C"/>
    <w:rsid w:val="00300E8C"/>
    <w:rsid w:val="003160B6"/>
    <w:rsid w:val="003D2E25"/>
    <w:rsid w:val="00447E33"/>
    <w:rsid w:val="004627BB"/>
    <w:rsid w:val="00467B51"/>
    <w:rsid w:val="00467FD6"/>
    <w:rsid w:val="0047146E"/>
    <w:rsid w:val="004972C7"/>
    <w:rsid w:val="004B5A80"/>
    <w:rsid w:val="00523265"/>
    <w:rsid w:val="0052418C"/>
    <w:rsid w:val="00535D81"/>
    <w:rsid w:val="0054789C"/>
    <w:rsid w:val="0055534F"/>
    <w:rsid w:val="00625D93"/>
    <w:rsid w:val="00631803"/>
    <w:rsid w:val="00636695"/>
    <w:rsid w:val="00640F3A"/>
    <w:rsid w:val="00686A3D"/>
    <w:rsid w:val="00693CE8"/>
    <w:rsid w:val="006A799E"/>
    <w:rsid w:val="00704DCE"/>
    <w:rsid w:val="00722DDB"/>
    <w:rsid w:val="007234E7"/>
    <w:rsid w:val="00732B87"/>
    <w:rsid w:val="007364A0"/>
    <w:rsid w:val="00740BF5"/>
    <w:rsid w:val="0077353D"/>
    <w:rsid w:val="00791692"/>
    <w:rsid w:val="007E5C91"/>
    <w:rsid w:val="007E694D"/>
    <w:rsid w:val="00822DF9"/>
    <w:rsid w:val="00855762"/>
    <w:rsid w:val="008721B7"/>
    <w:rsid w:val="00887FB3"/>
    <w:rsid w:val="00890FB6"/>
    <w:rsid w:val="008D310C"/>
    <w:rsid w:val="008E22C0"/>
    <w:rsid w:val="008E233A"/>
    <w:rsid w:val="008E496E"/>
    <w:rsid w:val="00922B82"/>
    <w:rsid w:val="009360AD"/>
    <w:rsid w:val="009759B9"/>
    <w:rsid w:val="009947D9"/>
    <w:rsid w:val="009E1148"/>
    <w:rsid w:val="00A21A22"/>
    <w:rsid w:val="00A32107"/>
    <w:rsid w:val="00A407C2"/>
    <w:rsid w:val="00A7431E"/>
    <w:rsid w:val="00AE26B0"/>
    <w:rsid w:val="00B054F8"/>
    <w:rsid w:val="00B13364"/>
    <w:rsid w:val="00B139A4"/>
    <w:rsid w:val="00B41A57"/>
    <w:rsid w:val="00B52590"/>
    <w:rsid w:val="00B60120"/>
    <w:rsid w:val="00B66783"/>
    <w:rsid w:val="00B73D16"/>
    <w:rsid w:val="00BA079B"/>
    <w:rsid w:val="00BA293D"/>
    <w:rsid w:val="00BC1188"/>
    <w:rsid w:val="00BE38D9"/>
    <w:rsid w:val="00C01CCA"/>
    <w:rsid w:val="00C17C76"/>
    <w:rsid w:val="00C40DB1"/>
    <w:rsid w:val="00C66323"/>
    <w:rsid w:val="00C706C3"/>
    <w:rsid w:val="00C847AA"/>
    <w:rsid w:val="00C9540A"/>
    <w:rsid w:val="00D1716A"/>
    <w:rsid w:val="00D1718C"/>
    <w:rsid w:val="00D2276A"/>
    <w:rsid w:val="00D375D0"/>
    <w:rsid w:val="00D5180F"/>
    <w:rsid w:val="00D63599"/>
    <w:rsid w:val="00D85FD8"/>
    <w:rsid w:val="00DE2FD6"/>
    <w:rsid w:val="00E010E8"/>
    <w:rsid w:val="00E0675F"/>
    <w:rsid w:val="00E23E9E"/>
    <w:rsid w:val="00E839A9"/>
    <w:rsid w:val="00E913E4"/>
    <w:rsid w:val="00F24151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BC3D"/>
  <w15:docId w15:val="{688B8BB8-2BA5-43D5-8B20-8A231B05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5D0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DefaultParagraphFont"/>
    <w:rsid w:val="004972C7"/>
  </w:style>
  <w:style w:type="character" w:styleId="FollowedHyperlink">
    <w:name w:val="FollowedHyperlink"/>
    <w:basedOn w:val="DefaultParagraphFont"/>
    <w:uiPriority w:val="99"/>
    <w:semiHidden/>
    <w:unhideWhenUsed/>
    <w:rsid w:val="00922B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osfm/industry/Pages/CR2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sfm/emergency_response/Pages/LEPC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41AEE15CE74FB0AF77C50D89D760" ma:contentTypeVersion="2" ma:contentTypeDescription="Create a new document." ma:contentTypeScope="" ma:versionID="97f2a990d95f0b9708d2a780d23254b2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targetNamespace="http://schemas.microsoft.com/office/2006/metadata/properties" ma:root="true" ma:fieldsID="0de2eac8c574c320c6277ad42b23bf79" ns1:_="" ns2:_="">
    <xsd:import namespace="http://schemas.microsoft.com/sharepoint/v3"/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20AAF8-80FB-4FDF-A349-326D57557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F7266-480E-4C7B-B86A-09867A3A9A45}"/>
</file>

<file path=customXml/itemProps3.xml><?xml version="1.0" encoding="utf-8"?>
<ds:datastoreItem xmlns:ds="http://schemas.openxmlformats.org/officeDocument/2006/customXml" ds:itemID="{05551E3B-BFBF-48E9-9D65-4268456F72E4}"/>
</file>

<file path=customXml/itemProps4.xml><?xml version="1.0" encoding="utf-8"?>
<ds:datastoreItem xmlns:ds="http://schemas.openxmlformats.org/officeDocument/2006/customXml" ds:itemID="{5099B811-F72E-414E-A546-94C5157D7BB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Police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StandardBuildx86</dc:creator>
  <cp:lastModifiedBy>Mary Ann Christian</cp:lastModifiedBy>
  <cp:revision>39</cp:revision>
  <cp:lastPrinted>2014-07-21T19:09:00Z</cp:lastPrinted>
  <dcterms:created xsi:type="dcterms:W3CDTF">2025-05-09T18:27:00Z</dcterms:created>
  <dcterms:modified xsi:type="dcterms:W3CDTF">2025-05-09T18:57:00Z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2024-05-21T18:58:19Z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cad21590-fdb4-4ba8-a0b6-7e47ed605717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0x0101008D9941AEE15CE74FB0AF77C50D89D760</vt:lpwstr>
  </property>
</Properties>
</file>