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C674" w14:textId="77777777" w:rsidR="00D02169" w:rsidRPr="001767F0" w:rsidRDefault="00D02169" w:rsidP="00D02169">
      <w:pPr>
        <w:spacing w:after="0"/>
        <w:rPr>
          <w:rFonts w:asciiTheme="majorHAnsi" w:hAnsiTheme="majorHAnsi"/>
          <w:sz w:val="24"/>
          <w:szCs w:val="24"/>
        </w:rPr>
      </w:pPr>
    </w:p>
    <w:p w14:paraId="4DC03A63" w14:textId="23BBF4D7" w:rsidR="00D02169" w:rsidRPr="00BE3464" w:rsidRDefault="00D02169" w:rsidP="00D02169">
      <w:pPr>
        <w:rPr>
          <w:sz w:val="24"/>
          <w:szCs w:val="24"/>
        </w:rPr>
      </w:pPr>
      <w:r w:rsidRPr="00BE3464">
        <w:rPr>
          <w:b/>
          <w:bCs/>
          <w:sz w:val="24"/>
          <w:szCs w:val="24"/>
        </w:rPr>
        <w:t>Date</w:t>
      </w:r>
      <w:r w:rsidR="001F1508" w:rsidRPr="00BE3464">
        <w:rPr>
          <w:b/>
          <w:bCs/>
          <w:sz w:val="24"/>
          <w:szCs w:val="24"/>
        </w:rPr>
        <w:t>/Time</w:t>
      </w:r>
      <w:r w:rsidRPr="00BE3464">
        <w:rPr>
          <w:b/>
          <w:bCs/>
          <w:sz w:val="24"/>
          <w:szCs w:val="24"/>
        </w:rPr>
        <w:t>:</w:t>
      </w:r>
      <w:r w:rsidRPr="00BE3464">
        <w:rPr>
          <w:sz w:val="24"/>
          <w:szCs w:val="24"/>
        </w:rPr>
        <w:t xml:space="preserve"> </w:t>
      </w:r>
      <w:r w:rsidRPr="00BE3464">
        <w:rPr>
          <w:sz w:val="24"/>
          <w:szCs w:val="24"/>
        </w:rPr>
        <w:tab/>
      </w:r>
      <w:r w:rsidRPr="00BE3464">
        <w:rPr>
          <w:sz w:val="24"/>
          <w:szCs w:val="24"/>
        </w:rPr>
        <w:tab/>
      </w:r>
      <w:r w:rsidR="00733392" w:rsidRPr="00BE3464">
        <w:rPr>
          <w:sz w:val="24"/>
          <w:szCs w:val="24"/>
        </w:rPr>
        <w:t>April 21, 2026, 2pm</w:t>
      </w:r>
    </w:p>
    <w:p w14:paraId="1E4761FB" w14:textId="0593818B" w:rsidR="00DE09B4" w:rsidRPr="00BE3464" w:rsidRDefault="00DE09B4" w:rsidP="00D02169">
      <w:pPr>
        <w:spacing w:after="0"/>
        <w:rPr>
          <w:sz w:val="24"/>
          <w:szCs w:val="24"/>
        </w:rPr>
      </w:pPr>
      <w:r w:rsidRPr="00BE3464">
        <w:rPr>
          <w:b/>
          <w:bCs/>
          <w:sz w:val="24"/>
          <w:szCs w:val="24"/>
        </w:rPr>
        <w:t xml:space="preserve">Meeting </w:t>
      </w:r>
      <w:r w:rsidR="00F42861" w:rsidRPr="00BE3464">
        <w:rPr>
          <w:b/>
          <w:bCs/>
          <w:sz w:val="24"/>
          <w:szCs w:val="24"/>
        </w:rPr>
        <w:t>Summary</w:t>
      </w:r>
      <w:r w:rsidRPr="00BE3464">
        <w:rPr>
          <w:b/>
          <w:bCs/>
          <w:sz w:val="24"/>
          <w:szCs w:val="24"/>
        </w:rPr>
        <w:t>:</w:t>
      </w:r>
      <w:r w:rsidR="00210814" w:rsidRPr="00BE3464">
        <w:rPr>
          <w:b/>
          <w:bCs/>
          <w:sz w:val="24"/>
          <w:szCs w:val="24"/>
        </w:rPr>
        <w:tab/>
      </w:r>
      <w:r w:rsidR="00733392" w:rsidRPr="00BE3464">
        <w:rPr>
          <w:sz w:val="24"/>
          <w:szCs w:val="24"/>
        </w:rPr>
        <w:t>The Civil Commitment</w:t>
      </w:r>
      <w:r w:rsidR="00FC19F1" w:rsidRPr="00BE3464">
        <w:rPr>
          <w:sz w:val="24"/>
          <w:szCs w:val="24"/>
        </w:rPr>
        <w:t xml:space="preserve"> Rules Advisory Committee convened on </w:t>
      </w:r>
      <w:r w:rsidR="00733392" w:rsidRPr="00BE3464">
        <w:rPr>
          <w:sz w:val="24"/>
          <w:szCs w:val="24"/>
        </w:rPr>
        <w:t xml:space="preserve">April 21, </w:t>
      </w:r>
      <w:proofErr w:type="gramStart"/>
      <w:r w:rsidR="00733392" w:rsidRPr="00BE3464">
        <w:rPr>
          <w:sz w:val="24"/>
          <w:szCs w:val="24"/>
        </w:rPr>
        <w:t>2026</w:t>
      </w:r>
      <w:proofErr w:type="gramEnd"/>
      <w:r w:rsidR="00052A17" w:rsidRPr="00BE3464">
        <w:rPr>
          <w:sz w:val="24"/>
          <w:szCs w:val="24"/>
        </w:rPr>
        <w:t xml:space="preserve"> from </w:t>
      </w:r>
      <w:r w:rsidR="00733392" w:rsidRPr="00BE3464">
        <w:rPr>
          <w:sz w:val="24"/>
          <w:szCs w:val="24"/>
        </w:rPr>
        <w:t>2-4:30pm</w:t>
      </w:r>
      <w:r w:rsidR="00052A17" w:rsidRPr="00BE3464">
        <w:rPr>
          <w:sz w:val="24"/>
          <w:szCs w:val="24"/>
        </w:rPr>
        <w:t xml:space="preserve"> via Teams.</w:t>
      </w:r>
      <w:r w:rsidR="00B77163" w:rsidRPr="00BE3464">
        <w:rPr>
          <w:sz w:val="24"/>
          <w:szCs w:val="24"/>
        </w:rPr>
        <w:t xml:space="preserve"> The RAC was </w:t>
      </w:r>
      <w:r w:rsidR="00FB667B" w:rsidRPr="00BE3464">
        <w:rPr>
          <w:sz w:val="24"/>
          <w:szCs w:val="24"/>
        </w:rPr>
        <w:t xml:space="preserve">convened </w:t>
      </w:r>
      <w:r w:rsidR="00733392" w:rsidRPr="00BE3464">
        <w:rPr>
          <w:sz w:val="24"/>
          <w:szCs w:val="24"/>
        </w:rPr>
        <w:t xml:space="preserve">to finalize work started in 2024 </w:t>
      </w:r>
      <w:r w:rsidR="00575B03" w:rsidRPr="00BE3464">
        <w:rPr>
          <w:sz w:val="24"/>
          <w:szCs w:val="24"/>
        </w:rPr>
        <w:t>to update</w:t>
      </w:r>
      <w:r w:rsidR="00733392" w:rsidRPr="00BE3464">
        <w:rPr>
          <w:sz w:val="24"/>
          <w:szCs w:val="24"/>
        </w:rPr>
        <w:t xml:space="preserve"> Division 200 of Chapter 859 regarding the PSRB Civil Commitment </w:t>
      </w:r>
      <w:r w:rsidR="00C20835" w:rsidRPr="00BE3464">
        <w:rPr>
          <w:sz w:val="24"/>
          <w:szCs w:val="24"/>
        </w:rPr>
        <w:t>Program</w:t>
      </w:r>
      <w:r w:rsidR="00285707" w:rsidRPr="00BE3464">
        <w:rPr>
          <w:sz w:val="24"/>
          <w:szCs w:val="24"/>
        </w:rPr>
        <w:t xml:space="preserve">. Rules were </w:t>
      </w:r>
      <w:r w:rsidR="002F39AA" w:rsidRPr="00BE3464">
        <w:rPr>
          <w:sz w:val="24"/>
          <w:szCs w:val="24"/>
        </w:rPr>
        <w:t>updated to</w:t>
      </w:r>
      <w:r w:rsidR="00285707" w:rsidRPr="00BE3464">
        <w:rPr>
          <w:sz w:val="24"/>
          <w:szCs w:val="24"/>
        </w:rPr>
        <w:t xml:space="preserve"> reflect current practice</w:t>
      </w:r>
      <w:r w:rsidR="00873AE9" w:rsidRPr="00BE3464">
        <w:rPr>
          <w:sz w:val="24"/>
          <w:szCs w:val="24"/>
        </w:rPr>
        <w:t xml:space="preserve"> and recent changes in legislation and to</w:t>
      </w:r>
      <w:r w:rsidR="003C777A" w:rsidRPr="00BE3464">
        <w:rPr>
          <w:sz w:val="24"/>
          <w:szCs w:val="24"/>
        </w:rPr>
        <w:t xml:space="preserve"> improve consistency with statutory language</w:t>
      </w:r>
      <w:r w:rsidR="00873AE9" w:rsidRPr="00BE3464">
        <w:rPr>
          <w:sz w:val="24"/>
          <w:szCs w:val="24"/>
        </w:rPr>
        <w:t>.</w:t>
      </w:r>
      <w:r w:rsidR="002F39AA" w:rsidRPr="00BE3464">
        <w:rPr>
          <w:sz w:val="24"/>
          <w:szCs w:val="24"/>
        </w:rPr>
        <w:t xml:space="preserve"> </w:t>
      </w:r>
      <w:r w:rsidR="000306FD" w:rsidRPr="00BE3464">
        <w:rPr>
          <w:sz w:val="24"/>
          <w:szCs w:val="24"/>
        </w:rPr>
        <w:t xml:space="preserve">The purpose of this session was to review proposed </w:t>
      </w:r>
      <w:proofErr w:type="gramStart"/>
      <w:r w:rsidR="000306FD" w:rsidRPr="00BE3464">
        <w:rPr>
          <w:sz w:val="24"/>
          <w:szCs w:val="24"/>
        </w:rPr>
        <w:t>rule language</w:t>
      </w:r>
      <w:proofErr w:type="gramEnd"/>
      <w:r w:rsidR="000306FD" w:rsidRPr="00BE3464">
        <w:rPr>
          <w:sz w:val="24"/>
          <w:szCs w:val="24"/>
        </w:rPr>
        <w:t xml:space="preserve"> and gather feedback from RAC members. </w:t>
      </w:r>
    </w:p>
    <w:p w14:paraId="0344D9F2" w14:textId="77777777" w:rsidR="00210814" w:rsidRPr="00BE3464" w:rsidRDefault="00210814" w:rsidP="00D02169">
      <w:pPr>
        <w:spacing w:after="0"/>
        <w:rPr>
          <w:sz w:val="24"/>
          <w:szCs w:val="24"/>
        </w:rPr>
      </w:pPr>
    </w:p>
    <w:p w14:paraId="1724BF33" w14:textId="578FC87A" w:rsidR="007120F5" w:rsidRPr="00BE3464" w:rsidRDefault="007120F5" w:rsidP="00D02169">
      <w:pPr>
        <w:spacing w:after="0"/>
        <w:rPr>
          <w:b/>
          <w:bCs/>
          <w:sz w:val="24"/>
          <w:szCs w:val="24"/>
        </w:rPr>
      </w:pPr>
      <w:r w:rsidRPr="00BE3464">
        <w:rPr>
          <w:b/>
          <w:bCs/>
          <w:sz w:val="24"/>
          <w:szCs w:val="24"/>
        </w:rPr>
        <w:t>RAC Members &amp; Attendance</w:t>
      </w:r>
    </w:p>
    <w:tbl>
      <w:tblPr>
        <w:tblStyle w:val="TableGrid"/>
        <w:tblW w:w="0" w:type="auto"/>
        <w:tblLook w:val="04A0" w:firstRow="1" w:lastRow="0" w:firstColumn="1" w:lastColumn="0" w:noHBand="0" w:noVBand="1"/>
      </w:tblPr>
      <w:tblGrid>
        <w:gridCol w:w="4405"/>
        <w:gridCol w:w="5374"/>
        <w:gridCol w:w="1011"/>
      </w:tblGrid>
      <w:tr w:rsidR="000F1D99" w:rsidRPr="00BE3464" w14:paraId="575BE1F4" w14:textId="77777777" w:rsidTr="00EF2E3A">
        <w:tc>
          <w:tcPr>
            <w:tcW w:w="4405" w:type="dxa"/>
            <w:shd w:val="clear" w:color="auto" w:fill="83CAEB" w:themeFill="accent1" w:themeFillTint="66"/>
          </w:tcPr>
          <w:p w14:paraId="5FC9B806" w14:textId="124D33DA" w:rsidR="007120F5" w:rsidRPr="00BE3464" w:rsidRDefault="007120F5" w:rsidP="00D02169">
            <w:pPr>
              <w:rPr>
                <w:b/>
                <w:bCs/>
                <w:sz w:val="20"/>
                <w:szCs w:val="20"/>
              </w:rPr>
            </w:pPr>
            <w:r w:rsidRPr="00BE3464">
              <w:rPr>
                <w:b/>
                <w:bCs/>
                <w:sz w:val="20"/>
                <w:szCs w:val="20"/>
              </w:rPr>
              <w:t>Name</w:t>
            </w:r>
          </w:p>
        </w:tc>
        <w:tc>
          <w:tcPr>
            <w:tcW w:w="5374" w:type="dxa"/>
            <w:shd w:val="clear" w:color="auto" w:fill="83CAEB" w:themeFill="accent1" w:themeFillTint="66"/>
          </w:tcPr>
          <w:p w14:paraId="58A5952C" w14:textId="5FC92DC3" w:rsidR="007120F5" w:rsidRPr="00BE3464" w:rsidRDefault="007120F5" w:rsidP="00D02169">
            <w:pPr>
              <w:rPr>
                <w:b/>
                <w:bCs/>
                <w:sz w:val="20"/>
                <w:szCs w:val="20"/>
              </w:rPr>
            </w:pPr>
            <w:r w:rsidRPr="00BE3464">
              <w:rPr>
                <w:b/>
                <w:bCs/>
                <w:sz w:val="20"/>
                <w:szCs w:val="20"/>
              </w:rPr>
              <w:t>Affiliation</w:t>
            </w:r>
          </w:p>
        </w:tc>
        <w:tc>
          <w:tcPr>
            <w:tcW w:w="1011" w:type="dxa"/>
            <w:shd w:val="clear" w:color="auto" w:fill="83CAEB" w:themeFill="accent1" w:themeFillTint="66"/>
          </w:tcPr>
          <w:p w14:paraId="63588E67" w14:textId="3B1707D6" w:rsidR="007120F5" w:rsidRPr="00BE3464" w:rsidRDefault="007120F5" w:rsidP="008A0AB4">
            <w:pPr>
              <w:jc w:val="center"/>
              <w:rPr>
                <w:b/>
                <w:bCs/>
                <w:sz w:val="20"/>
                <w:szCs w:val="20"/>
              </w:rPr>
            </w:pPr>
            <w:r w:rsidRPr="00BE3464">
              <w:rPr>
                <w:b/>
                <w:bCs/>
                <w:sz w:val="20"/>
                <w:szCs w:val="20"/>
              </w:rPr>
              <w:t>Present</w:t>
            </w:r>
          </w:p>
        </w:tc>
      </w:tr>
      <w:tr w:rsidR="00EF2E3A" w:rsidRPr="00BE3464" w14:paraId="31972ACB" w14:textId="77777777" w:rsidTr="00EF2E3A">
        <w:tc>
          <w:tcPr>
            <w:tcW w:w="10790" w:type="dxa"/>
            <w:gridSpan w:val="3"/>
            <w:shd w:val="clear" w:color="auto" w:fill="C1E4F5" w:themeFill="accent1" w:themeFillTint="33"/>
          </w:tcPr>
          <w:p w14:paraId="4AFEF203" w14:textId="2450858B" w:rsidR="00EF2E3A" w:rsidRPr="00BE3464" w:rsidRDefault="00EF2E3A" w:rsidP="00D02169">
            <w:pPr>
              <w:rPr>
                <w:b/>
                <w:bCs/>
                <w:sz w:val="20"/>
                <w:szCs w:val="20"/>
              </w:rPr>
            </w:pPr>
            <w:r w:rsidRPr="00BE3464">
              <w:rPr>
                <w:b/>
                <w:bCs/>
                <w:sz w:val="20"/>
                <w:szCs w:val="20"/>
              </w:rPr>
              <w:t>Members</w:t>
            </w:r>
          </w:p>
        </w:tc>
      </w:tr>
      <w:tr w:rsidR="000F1D99" w:rsidRPr="00BE3464" w14:paraId="110A4ABD" w14:textId="77777777" w:rsidTr="000E31EF">
        <w:tc>
          <w:tcPr>
            <w:tcW w:w="4405" w:type="dxa"/>
            <w:vAlign w:val="bottom"/>
          </w:tcPr>
          <w:p w14:paraId="7AF833FD" w14:textId="304F3A61" w:rsidR="009C0AD7" w:rsidRPr="00BE3464" w:rsidRDefault="009C0AD7" w:rsidP="009C0AD7">
            <w:pPr>
              <w:rPr>
                <w:sz w:val="20"/>
                <w:szCs w:val="20"/>
              </w:rPr>
            </w:pPr>
            <w:r w:rsidRPr="00BE3464">
              <w:rPr>
                <w:color w:val="000000"/>
                <w:sz w:val="20"/>
                <w:szCs w:val="20"/>
              </w:rPr>
              <w:t>Amit Bhavan</w:t>
            </w:r>
          </w:p>
        </w:tc>
        <w:tc>
          <w:tcPr>
            <w:tcW w:w="5374" w:type="dxa"/>
            <w:vAlign w:val="bottom"/>
          </w:tcPr>
          <w:p w14:paraId="1EEF75C3" w14:textId="6A7F6783" w:rsidR="009C0AD7" w:rsidRPr="00BE3464" w:rsidRDefault="009C0AD7" w:rsidP="009C0AD7">
            <w:pPr>
              <w:rPr>
                <w:sz w:val="20"/>
                <w:szCs w:val="20"/>
              </w:rPr>
            </w:pPr>
            <w:r w:rsidRPr="00BE3464">
              <w:rPr>
                <w:color w:val="000000"/>
                <w:sz w:val="20"/>
                <w:szCs w:val="20"/>
              </w:rPr>
              <w:t>OSH</w:t>
            </w:r>
          </w:p>
        </w:tc>
        <w:tc>
          <w:tcPr>
            <w:tcW w:w="1011" w:type="dxa"/>
            <w:vAlign w:val="bottom"/>
          </w:tcPr>
          <w:p w14:paraId="63856F43" w14:textId="6214B7BE" w:rsidR="009C0AD7" w:rsidRPr="00BE3464" w:rsidRDefault="009C0AD7" w:rsidP="009C0AD7">
            <w:pPr>
              <w:jc w:val="center"/>
              <w:rPr>
                <w:sz w:val="20"/>
                <w:szCs w:val="20"/>
              </w:rPr>
            </w:pPr>
            <w:r w:rsidRPr="00BE3464">
              <w:rPr>
                <w:color w:val="000000"/>
                <w:sz w:val="20"/>
                <w:szCs w:val="20"/>
              </w:rPr>
              <w:t> </w:t>
            </w:r>
          </w:p>
        </w:tc>
      </w:tr>
      <w:tr w:rsidR="000F1D99" w:rsidRPr="00BE3464" w14:paraId="349A7090" w14:textId="77777777" w:rsidTr="000E31EF">
        <w:tc>
          <w:tcPr>
            <w:tcW w:w="4405" w:type="dxa"/>
            <w:vAlign w:val="bottom"/>
          </w:tcPr>
          <w:p w14:paraId="52E1EFA1" w14:textId="34B30959" w:rsidR="009C0AD7" w:rsidRPr="00BE3464" w:rsidRDefault="009C0AD7" w:rsidP="009C0AD7">
            <w:pPr>
              <w:rPr>
                <w:sz w:val="20"/>
                <w:szCs w:val="20"/>
              </w:rPr>
            </w:pPr>
            <w:r w:rsidRPr="00BE3464">
              <w:rPr>
                <w:color w:val="000000"/>
                <w:sz w:val="20"/>
                <w:szCs w:val="20"/>
              </w:rPr>
              <w:t xml:space="preserve">Amy Solt </w:t>
            </w:r>
          </w:p>
        </w:tc>
        <w:tc>
          <w:tcPr>
            <w:tcW w:w="5374" w:type="dxa"/>
            <w:vAlign w:val="bottom"/>
          </w:tcPr>
          <w:p w14:paraId="40B2CB74" w14:textId="53CD505A" w:rsidR="009C0AD7" w:rsidRPr="00BE3464" w:rsidRDefault="009C0AD7" w:rsidP="009C0AD7">
            <w:pPr>
              <w:rPr>
                <w:sz w:val="20"/>
                <w:szCs w:val="20"/>
              </w:rPr>
            </w:pPr>
            <w:r w:rsidRPr="00BE3464">
              <w:rPr>
                <w:color w:val="000000"/>
                <w:sz w:val="20"/>
                <w:szCs w:val="20"/>
              </w:rPr>
              <w:t xml:space="preserve">Multnomah County </w:t>
            </w:r>
          </w:p>
        </w:tc>
        <w:tc>
          <w:tcPr>
            <w:tcW w:w="1011" w:type="dxa"/>
            <w:vAlign w:val="bottom"/>
          </w:tcPr>
          <w:p w14:paraId="2634046C" w14:textId="4FD9D355" w:rsidR="009C0AD7" w:rsidRPr="00BE3464" w:rsidRDefault="009C0AD7" w:rsidP="009C0AD7">
            <w:pPr>
              <w:jc w:val="center"/>
              <w:rPr>
                <w:sz w:val="20"/>
                <w:szCs w:val="20"/>
              </w:rPr>
            </w:pPr>
            <w:r w:rsidRPr="00BE3464">
              <w:rPr>
                <w:color w:val="000000"/>
                <w:sz w:val="20"/>
                <w:szCs w:val="20"/>
              </w:rPr>
              <w:t>X</w:t>
            </w:r>
          </w:p>
        </w:tc>
      </w:tr>
      <w:tr w:rsidR="000F1D99" w:rsidRPr="00BE3464" w14:paraId="5BBA91A9" w14:textId="77777777" w:rsidTr="000E31EF">
        <w:tc>
          <w:tcPr>
            <w:tcW w:w="4405" w:type="dxa"/>
            <w:vAlign w:val="bottom"/>
          </w:tcPr>
          <w:p w14:paraId="23DD092C" w14:textId="18A9704B" w:rsidR="009C0AD7" w:rsidRPr="00BE3464" w:rsidRDefault="009C0AD7" w:rsidP="009C0AD7">
            <w:pPr>
              <w:rPr>
                <w:sz w:val="20"/>
                <w:szCs w:val="20"/>
              </w:rPr>
            </w:pPr>
            <w:r w:rsidRPr="00BE3464">
              <w:rPr>
                <w:color w:val="000000"/>
                <w:sz w:val="20"/>
                <w:szCs w:val="20"/>
              </w:rPr>
              <w:t xml:space="preserve">Andrew (Andy) Nanton </w:t>
            </w:r>
          </w:p>
        </w:tc>
        <w:tc>
          <w:tcPr>
            <w:tcW w:w="5374" w:type="dxa"/>
            <w:vAlign w:val="bottom"/>
          </w:tcPr>
          <w:p w14:paraId="71B5B40C" w14:textId="06906B8F" w:rsidR="009C0AD7" w:rsidRPr="00BE3464" w:rsidRDefault="009C0AD7" w:rsidP="009C0AD7">
            <w:pPr>
              <w:rPr>
                <w:sz w:val="20"/>
                <w:szCs w:val="20"/>
              </w:rPr>
            </w:pPr>
            <w:r w:rsidRPr="00BE3464">
              <w:rPr>
                <w:color w:val="000000"/>
                <w:sz w:val="20"/>
                <w:szCs w:val="20"/>
              </w:rPr>
              <w:t xml:space="preserve">OSH </w:t>
            </w:r>
          </w:p>
        </w:tc>
        <w:tc>
          <w:tcPr>
            <w:tcW w:w="1011" w:type="dxa"/>
            <w:vAlign w:val="bottom"/>
          </w:tcPr>
          <w:p w14:paraId="62C9331C" w14:textId="728D3F83" w:rsidR="009C0AD7" w:rsidRPr="00BE3464" w:rsidRDefault="009C0AD7" w:rsidP="009C0AD7">
            <w:pPr>
              <w:jc w:val="center"/>
              <w:rPr>
                <w:sz w:val="20"/>
                <w:szCs w:val="20"/>
              </w:rPr>
            </w:pPr>
            <w:r w:rsidRPr="00BE3464">
              <w:rPr>
                <w:color w:val="000000"/>
                <w:sz w:val="20"/>
                <w:szCs w:val="20"/>
              </w:rPr>
              <w:t>X</w:t>
            </w:r>
          </w:p>
        </w:tc>
      </w:tr>
      <w:tr w:rsidR="000F1D99" w:rsidRPr="00BE3464" w14:paraId="40A00970" w14:textId="77777777" w:rsidTr="000E31EF">
        <w:tc>
          <w:tcPr>
            <w:tcW w:w="4405" w:type="dxa"/>
            <w:vAlign w:val="bottom"/>
          </w:tcPr>
          <w:p w14:paraId="47AAF383" w14:textId="06A0BA75" w:rsidR="009C0AD7" w:rsidRPr="00BE3464" w:rsidRDefault="009C0AD7" w:rsidP="009C0AD7">
            <w:pPr>
              <w:rPr>
                <w:sz w:val="20"/>
                <w:szCs w:val="20"/>
              </w:rPr>
            </w:pPr>
            <w:r w:rsidRPr="00BE3464">
              <w:rPr>
                <w:color w:val="000000"/>
                <w:sz w:val="20"/>
                <w:szCs w:val="20"/>
              </w:rPr>
              <w:t>Bailey Squires Moody</w:t>
            </w:r>
          </w:p>
        </w:tc>
        <w:tc>
          <w:tcPr>
            <w:tcW w:w="5374" w:type="dxa"/>
            <w:vAlign w:val="bottom"/>
          </w:tcPr>
          <w:p w14:paraId="044CD41E" w14:textId="5F1DDB3E" w:rsidR="009C0AD7" w:rsidRPr="00BE3464" w:rsidRDefault="009C0AD7" w:rsidP="009C0AD7">
            <w:pPr>
              <w:rPr>
                <w:sz w:val="20"/>
                <w:szCs w:val="20"/>
              </w:rPr>
            </w:pPr>
            <w:r w:rsidRPr="00BE3464">
              <w:rPr>
                <w:color w:val="000000"/>
                <w:sz w:val="20"/>
                <w:szCs w:val="20"/>
              </w:rPr>
              <w:t>Public Defender Services of Lane County</w:t>
            </w:r>
          </w:p>
        </w:tc>
        <w:tc>
          <w:tcPr>
            <w:tcW w:w="1011" w:type="dxa"/>
            <w:vAlign w:val="bottom"/>
          </w:tcPr>
          <w:p w14:paraId="1272291D" w14:textId="2FCA8A6A" w:rsidR="009C0AD7" w:rsidRPr="00BE3464" w:rsidRDefault="009C0AD7" w:rsidP="009C0AD7">
            <w:pPr>
              <w:jc w:val="center"/>
              <w:rPr>
                <w:sz w:val="20"/>
                <w:szCs w:val="20"/>
              </w:rPr>
            </w:pPr>
            <w:r w:rsidRPr="00BE3464">
              <w:rPr>
                <w:color w:val="000000"/>
                <w:sz w:val="20"/>
                <w:szCs w:val="20"/>
              </w:rPr>
              <w:t>X</w:t>
            </w:r>
          </w:p>
        </w:tc>
      </w:tr>
      <w:tr w:rsidR="000F1D99" w:rsidRPr="00BE3464" w14:paraId="1B7DB511" w14:textId="77777777" w:rsidTr="000E31EF">
        <w:tc>
          <w:tcPr>
            <w:tcW w:w="4405" w:type="dxa"/>
            <w:vAlign w:val="bottom"/>
          </w:tcPr>
          <w:p w14:paraId="17928998" w14:textId="1770B0F8" w:rsidR="009C0AD7" w:rsidRPr="00BE3464" w:rsidRDefault="009C0AD7" w:rsidP="009C0AD7">
            <w:pPr>
              <w:rPr>
                <w:sz w:val="20"/>
                <w:szCs w:val="20"/>
              </w:rPr>
            </w:pPr>
            <w:r w:rsidRPr="00BE3464">
              <w:rPr>
                <w:color w:val="000000"/>
                <w:sz w:val="20"/>
                <w:szCs w:val="20"/>
              </w:rPr>
              <w:t xml:space="preserve">Barry Epstein, J.D. </w:t>
            </w:r>
          </w:p>
        </w:tc>
        <w:tc>
          <w:tcPr>
            <w:tcW w:w="5374" w:type="dxa"/>
            <w:vAlign w:val="bottom"/>
          </w:tcPr>
          <w:p w14:paraId="6BB53C05" w14:textId="5941CC98" w:rsidR="009C0AD7" w:rsidRPr="00BE3464" w:rsidRDefault="009C0AD7" w:rsidP="009C0AD7">
            <w:pPr>
              <w:rPr>
                <w:sz w:val="20"/>
                <w:szCs w:val="20"/>
              </w:rPr>
            </w:pPr>
            <w:r w:rsidRPr="00BE3464">
              <w:rPr>
                <w:color w:val="000000"/>
                <w:sz w:val="20"/>
                <w:szCs w:val="20"/>
              </w:rPr>
              <w:t>OHA Behavioral Health</w:t>
            </w:r>
          </w:p>
        </w:tc>
        <w:tc>
          <w:tcPr>
            <w:tcW w:w="1011" w:type="dxa"/>
            <w:vAlign w:val="bottom"/>
          </w:tcPr>
          <w:p w14:paraId="22CC87AD" w14:textId="6CCE6F10" w:rsidR="009C0AD7" w:rsidRPr="00BE3464" w:rsidRDefault="009C0AD7" w:rsidP="009C0AD7">
            <w:pPr>
              <w:jc w:val="center"/>
              <w:rPr>
                <w:sz w:val="20"/>
                <w:szCs w:val="20"/>
              </w:rPr>
            </w:pPr>
            <w:r w:rsidRPr="00BE3464">
              <w:rPr>
                <w:sz w:val="20"/>
                <w:szCs w:val="20"/>
              </w:rPr>
              <w:t>X</w:t>
            </w:r>
          </w:p>
        </w:tc>
      </w:tr>
      <w:tr w:rsidR="000F1D99" w:rsidRPr="00BE3464" w14:paraId="7593A837" w14:textId="77777777" w:rsidTr="000E31EF">
        <w:tc>
          <w:tcPr>
            <w:tcW w:w="4405" w:type="dxa"/>
            <w:vAlign w:val="bottom"/>
          </w:tcPr>
          <w:p w14:paraId="5B68F06D" w14:textId="4C52CD64" w:rsidR="009C0AD7" w:rsidRPr="00BE3464" w:rsidRDefault="009C0AD7" w:rsidP="009C0AD7">
            <w:pPr>
              <w:rPr>
                <w:sz w:val="20"/>
                <w:szCs w:val="20"/>
              </w:rPr>
            </w:pPr>
            <w:r w:rsidRPr="00BE3464">
              <w:rPr>
                <w:color w:val="000000"/>
                <w:sz w:val="20"/>
                <w:szCs w:val="20"/>
              </w:rPr>
              <w:t>Bill Osborne</w:t>
            </w:r>
          </w:p>
        </w:tc>
        <w:tc>
          <w:tcPr>
            <w:tcW w:w="5374" w:type="dxa"/>
            <w:vAlign w:val="bottom"/>
          </w:tcPr>
          <w:p w14:paraId="63DC7EAE" w14:textId="1F9E5DEE" w:rsidR="009C0AD7" w:rsidRPr="00BE3464" w:rsidRDefault="009C0AD7" w:rsidP="009C0AD7">
            <w:pPr>
              <w:rPr>
                <w:sz w:val="20"/>
                <w:szCs w:val="20"/>
              </w:rPr>
            </w:pPr>
            <w:r w:rsidRPr="00BE3464">
              <w:rPr>
                <w:color w:val="000000"/>
                <w:sz w:val="20"/>
                <w:szCs w:val="20"/>
              </w:rPr>
              <w:t>Oregon Judicial Department</w:t>
            </w:r>
          </w:p>
        </w:tc>
        <w:tc>
          <w:tcPr>
            <w:tcW w:w="1011" w:type="dxa"/>
            <w:vAlign w:val="bottom"/>
          </w:tcPr>
          <w:p w14:paraId="1CF4C76F" w14:textId="127CEA58" w:rsidR="009C0AD7" w:rsidRPr="00BE3464" w:rsidRDefault="009C0AD7" w:rsidP="009C0AD7">
            <w:pPr>
              <w:jc w:val="center"/>
              <w:rPr>
                <w:sz w:val="20"/>
                <w:szCs w:val="20"/>
              </w:rPr>
            </w:pPr>
            <w:r w:rsidRPr="00BE3464">
              <w:rPr>
                <w:sz w:val="20"/>
                <w:szCs w:val="20"/>
              </w:rPr>
              <w:t>X</w:t>
            </w:r>
          </w:p>
        </w:tc>
      </w:tr>
      <w:tr w:rsidR="000F1D99" w:rsidRPr="00BE3464" w14:paraId="18A1C398" w14:textId="77777777" w:rsidTr="000E31EF">
        <w:tc>
          <w:tcPr>
            <w:tcW w:w="4405" w:type="dxa"/>
            <w:vAlign w:val="bottom"/>
          </w:tcPr>
          <w:p w14:paraId="3A26C47C" w14:textId="19863CD2" w:rsidR="009C0AD7" w:rsidRPr="00BE3464" w:rsidRDefault="009C0AD7" w:rsidP="009C0AD7">
            <w:pPr>
              <w:rPr>
                <w:sz w:val="20"/>
                <w:szCs w:val="20"/>
              </w:rPr>
            </w:pPr>
            <w:r w:rsidRPr="00BE3464">
              <w:rPr>
                <w:color w:val="000000"/>
                <w:sz w:val="20"/>
                <w:szCs w:val="20"/>
              </w:rPr>
              <w:t xml:space="preserve">Cierra Brown </w:t>
            </w:r>
          </w:p>
        </w:tc>
        <w:tc>
          <w:tcPr>
            <w:tcW w:w="5374" w:type="dxa"/>
            <w:vAlign w:val="bottom"/>
          </w:tcPr>
          <w:p w14:paraId="7C4C8EBA" w14:textId="6D7AFEC6" w:rsidR="009C0AD7" w:rsidRPr="00BE3464" w:rsidRDefault="009C0AD7" w:rsidP="009C0AD7">
            <w:pPr>
              <w:rPr>
                <w:sz w:val="20"/>
                <w:szCs w:val="20"/>
              </w:rPr>
            </w:pPr>
            <w:r w:rsidRPr="00BE3464">
              <w:rPr>
                <w:color w:val="000000"/>
                <w:sz w:val="20"/>
                <w:szCs w:val="20"/>
              </w:rPr>
              <w:t xml:space="preserve">The Metro Law Group </w:t>
            </w:r>
          </w:p>
        </w:tc>
        <w:tc>
          <w:tcPr>
            <w:tcW w:w="1011" w:type="dxa"/>
            <w:vAlign w:val="bottom"/>
          </w:tcPr>
          <w:p w14:paraId="200C72ED" w14:textId="4819BE8E" w:rsidR="009C0AD7" w:rsidRPr="00BE3464" w:rsidRDefault="009C0AD7" w:rsidP="009C0AD7">
            <w:pPr>
              <w:jc w:val="center"/>
              <w:rPr>
                <w:sz w:val="20"/>
                <w:szCs w:val="20"/>
              </w:rPr>
            </w:pPr>
            <w:r w:rsidRPr="00BE3464">
              <w:rPr>
                <w:color w:val="000000"/>
                <w:sz w:val="20"/>
                <w:szCs w:val="20"/>
              </w:rPr>
              <w:t> </w:t>
            </w:r>
          </w:p>
        </w:tc>
      </w:tr>
      <w:tr w:rsidR="000F1D99" w:rsidRPr="00BE3464" w14:paraId="3AABE32C" w14:textId="77777777" w:rsidTr="000E31EF">
        <w:tc>
          <w:tcPr>
            <w:tcW w:w="4405" w:type="dxa"/>
            <w:vAlign w:val="bottom"/>
          </w:tcPr>
          <w:p w14:paraId="49694E62" w14:textId="70491762" w:rsidR="009C0AD7" w:rsidRPr="00BE3464" w:rsidRDefault="009C0AD7" w:rsidP="009C0AD7">
            <w:pPr>
              <w:rPr>
                <w:sz w:val="20"/>
                <w:szCs w:val="20"/>
              </w:rPr>
            </w:pPr>
            <w:r w:rsidRPr="00BE3464">
              <w:rPr>
                <w:color w:val="000000"/>
                <w:sz w:val="20"/>
                <w:szCs w:val="20"/>
              </w:rPr>
              <w:t xml:space="preserve">Cherryl Ramirez </w:t>
            </w:r>
          </w:p>
        </w:tc>
        <w:tc>
          <w:tcPr>
            <w:tcW w:w="5374" w:type="dxa"/>
            <w:vAlign w:val="bottom"/>
          </w:tcPr>
          <w:p w14:paraId="67F0E55C" w14:textId="3F12F97F" w:rsidR="009C0AD7" w:rsidRPr="00BE3464" w:rsidRDefault="009C0AD7" w:rsidP="009C0AD7">
            <w:pPr>
              <w:rPr>
                <w:sz w:val="20"/>
                <w:szCs w:val="20"/>
              </w:rPr>
            </w:pPr>
            <w:r w:rsidRPr="00BE3464">
              <w:rPr>
                <w:color w:val="000000"/>
                <w:sz w:val="20"/>
                <w:szCs w:val="20"/>
              </w:rPr>
              <w:t>Association of Community Mental Health Providers</w:t>
            </w:r>
          </w:p>
        </w:tc>
        <w:tc>
          <w:tcPr>
            <w:tcW w:w="1011" w:type="dxa"/>
            <w:vAlign w:val="bottom"/>
          </w:tcPr>
          <w:p w14:paraId="1F9BE4F9" w14:textId="1EB01E83" w:rsidR="009C0AD7" w:rsidRPr="00BE3464" w:rsidRDefault="009C0AD7" w:rsidP="009C0AD7">
            <w:pPr>
              <w:jc w:val="center"/>
              <w:rPr>
                <w:sz w:val="20"/>
                <w:szCs w:val="20"/>
              </w:rPr>
            </w:pPr>
            <w:r w:rsidRPr="00BE3464">
              <w:rPr>
                <w:color w:val="000000"/>
                <w:sz w:val="20"/>
                <w:szCs w:val="20"/>
              </w:rPr>
              <w:t> </w:t>
            </w:r>
          </w:p>
        </w:tc>
      </w:tr>
      <w:tr w:rsidR="000F1D99" w:rsidRPr="00BE3464" w14:paraId="71EC1666" w14:textId="77777777" w:rsidTr="000E31EF">
        <w:tc>
          <w:tcPr>
            <w:tcW w:w="4405" w:type="dxa"/>
            <w:vAlign w:val="bottom"/>
          </w:tcPr>
          <w:p w14:paraId="01F39A33" w14:textId="55FA5062" w:rsidR="009C0AD7" w:rsidRPr="00BE3464" w:rsidRDefault="009C0AD7" w:rsidP="009C0AD7">
            <w:pPr>
              <w:rPr>
                <w:sz w:val="20"/>
                <w:szCs w:val="20"/>
              </w:rPr>
            </w:pPr>
            <w:r w:rsidRPr="00BE3464">
              <w:rPr>
                <w:color w:val="000000"/>
                <w:sz w:val="20"/>
                <w:szCs w:val="20"/>
              </w:rPr>
              <w:t xml:space="preserve">Chris Bouneff </w:t>
            </w:r>
          </w:p>
        </w:tc>
        <w:tc>
          <w:tcPr>
            <w:tcW w:w="5374" w:type="dxa"/>
            <w:vAlign w:val="bottom"/>
          </w:tcPr>
          <w:p w14:paraId="796F51B8" w14:textId="7EEA91DF" w:rsidR="009C0AD7" w:rsidRPr="00BE3464" w:rsidRDefault="009C0AD7" w:rsidP="009C0AD7">
            <w:pPr>
              <w:rPr>
                <w:sz w:val="20"/>
                <w:szCs w:val="20"/>
              </w:rPr>
            </w:pPr>
            <w:r w:rsidRPr="00BE3464">
              <w:rPr>
                <w:color w:val="000000"/>
                <w:sz w:val="20"/>
                <w:szCs w:val="20"/>
              </w:rPr>
              <w:t>National Alliance of Mental Illness Oregon</w:t>
            </w:r>
          </w:p>
        </w:tc>
        <w:tc>
          <w:tcPr>
            <w:tcW w:w="1011" w:type="dxa"/>
            <w:vAlign w:val="bottom"/>
          </w:tcPr>
          <w:p w14:paraId="3E9EECB8" w14:textId="658F41A8" w:rsidR="009C0AD7" w:rsidRPr="00BE3464" w:rsidRDefault="009C0AD7" w:rsidP="009C0AD7">
            <w:pPr>
              <w:jc w:val="center"/>
              <w:rPr>
                <w:sz w:val="20"/>
                <w:szCs w:val="20"/>
              </w:rPr>
            </w:pPr>
            <w:r w:rsidRPr="00BE3464">
              <w:rPr>
                <w:color w:val="000000"/>
                <w:sz w:val="20"/>
                <w:szCs w:val="20"/>
              </w:rPr>
              <w:t>X</w:t>
            </w:r>
          </w:p>
        </w:tc>
      </w:tr>
      <w:tr w:rsidR="000F1D99" w:rsidRPr="00BE3464" w14:paraId="071F7C52" w14:textId="77777777" w:rsidTr="000E31EF">
        <w:tc>
          <w:tcPr>
            <w:tcW w:w="4405" w:type="dxa"/>
            <w:vAlign w:val="bottom"/>
          </w:tcPr>
          <w:p w14:paraId="092432CE" w14:textId="07EB02CA" w:rsidR="009C0AD7" w:rsidRPr="00BE3464" w:rsidRDefault="009C0AD7" w:rsidP="009C0AD7">
            <w:pPr>
              <w:rPr>
                <w:sz w:val="20"/>
                <w:szCs w:val="20"/>
              </w:rPr>
            </w:pPr>
            <w:r w:rsidRPr="00BE3464">
              <w:rPr>
                <w:color w:val="000000"/>
                <w:sz w:val="20"/>
                <w:szCs w:val="20"/>
              </w:rPr>
              <w:t>Catie Grieve</w:t>
            </w:r>
          </w:p>
        </w:tc>
        <w:tc>
          <w:tcPr>
            <w:tcW w:w="5374" w:type="dxa"/>
            <w:vAlign w:val="bottom"/>
          </w:tcPr>
          <w:p w14:paraId="4CBDC41B" w14:textId="228CEA1E" w:rsidR="009C0AD7" w:rsidRPr="00BE3464" w:rsidRDefault="009C0AD7" w:rsidP="009C0AD7">
            <w:pPr>
              <w:rPr>
                <w:sz w:val="20"/>
                <w:szCs w:val="20"/>
              </w:rPr>
            </w:pPr>
            <w:r w:rsidRPr="00BE3464">
              <w:rPr>
                <w:color w:val="000000"/>
                <w:sz w:val="20"/>
                <w:szCs w:val="20"/>
              </w:rPr>
              <w:t xml:space="preserve">Telecare </w:t>
            </w:r>
          </w:p>
        </w:tc>
        <w:tc>
          <w:tcPr>
            <w:tcW w:w="1011" w:type="dxa"/>
            <w:vAlign w:val="bottom"/>
          </w:tcPr>
          <w:p w14:paraId="27190D49" w14:textId="43D6C178" w:rsidR="009C0AD7" w:rsidRPr="00BE3464" w:rsidRDefault="009C0AD7" w:rsidP="009C0AD7">
            <w:pPr>
              <w:jc w:val="center"/>
              <w:rPr>
                <w:sz w:val="20"/>
                <w:szCs w:val="20"/>
              </w:rPr>
            </w:pPr>
            <w:r w:rsidRPr="00BE3464">
              <w:rPr>
                <w:color w:val="000000"/>
                <w:sz w:val="20"/>
                <w:szCs w:val="20"/>
              </w:rPr>
              <w:t> </w:t>
            </w:r>
          </w:p>
        </w:tc>
      </w:tr>
      <w:tr w:rsidR="000F1D99" w:rsidRPr="00BE3464" w14:paraId="4ECF9E4B" w14:textId="77777777" w:rsidTr="000E31EF">
        <w:tc>
          <w:tcPr>
            <w:tcW w:w="4405" w:type="dxa"/>
            <w:vAlign w:val="bottom"/>
          </w:tcPr>
          <w:p w14:paraId="4B35EE78" w14:textId="0FACBE34" w:rsidR="009C0AD7" w:rsidRPr="00BE3464" w:rsidRDefault="009C0AD7" w:rsidP="009C0AD7">
            <w:pPr>
              <w:rPr>
                <w:sz w:val="20"/>
                <w:szCs w:val="20"/>
              </w:rPr>
            </w:pPr>
            <w:r w:rsidRPr="00BE3464">
              <w:rPr>
                <w:color w:val="000000"/>
                <w:sz w:val="20"/>
                <w:szCs w:val="20"/>
              </w:rPr>
              <w:t xml:space="preserve">Dana Goetz </w:t>
            </w:r>
          </w:p>
        </w:tc>
        <w:tc>
          <w:tcPr>
            <w:tcW w:w="5374" w:type="dxa"/>
            <w:vAlign w:val="bottom"/>
          </w:tcPr>
          <w:p w14:paraId="6F0A3DA5" w14:textId="12FE41DD" w:rsidR="009C0AD7" w:rsidRPr="00BE3464" w:rsidRDefault="009C0AD7" w:rsidP="009C0AD7">
            <w:pPr>
              <w:rPr>
                <w:sz w:val="20"/>
                <w:szCs w:val="20"/>
              </w:rPr>
            </w:pPr>
            <w:r w:rsidRPr="00BE3464">
              <w:rPr>
                <w:color w:val="000000"/>
                <w:sz w:val="20"/>
                <w:szCs w:val="20"/>
              </w:rPr>
              <w:t xml:space="preserve">OHA Behavioral Health </w:t>
            </w:r>
          </w:p>
        </w:tc>
        <w:tc>
          <w:tcPr>
            <w:tcW w:w="1011" w:type="dxa"/>
            <w:vAlign w:val="bottom"/>
          </w:tcPr>
          <w:p w14:paraId="76EBCACA" w14:textId="20C8E09A" w:rsidR="009C0AD7" w:rsidRPr="00BE3464" w:rsidRDefault="009C0AD7" w:rsidP="009C0AD7">
            <w:pPr>
              <w:jc w:val="center"/>
              <w:rPr>
                <w:sz w:val="20"/>
                <w:szCs w:val="20"/>
              </w:rPr>
            </w:pPr>
            <w:r w:rsidRPr="00BE3464">
              <w:rPr>
                <w:color w:val="000000"/>
                <w:sz w:val="20"/>
                <w:szCs w:val="20"/>
              </w:rPr>
              <w:t> </w:t>
            </w:r>
          </w:p>
        </w:tc>
      </w:tr>
      <w:tr w:rsidR="000F1D99" w:rsidRPr="00BE3464" w14:paraId="1F6D789C" w14:textId="77777777" w:rsidTr="000E31EF">
        <w:tc>
          <w:tcPr>
            <w:tcW w:w="4405" w:type="dxa"/>
            <w:vAlign w:val="bottom"/>
          </w:tcPr>
          <w:p w14:paraId="0DF88747" w14:textId="13FCE946" w:rsidR="009C0AD7" w:rsidRPr="00BE3464" w:rsidRDefault="009C0AD7" w:rsidP="009C0AD7">
            <w:pPr>
              <w:rPr>
                <w:sz w:val="20"/>
                <w:szCs w:val="20"/>
              </w:rPr>
            </w:pPr>
            <w:r w:rsidRPr="00BE3464">
              <w:rPr>
                <w:color w:val="000000"/>
                <w:sz w:val="20"/>
                <w:szCs w:val="20"/>
              </w:rPr>
              <w:t xml:space="preserve">Dave Boyer </w:t>
            </w:r>
          </w:p>
        </w:tc>
        <w:tc>
          <w:tcPr>
            <w:tcW w:w="5374" w:type="dxa"/>
            <w:vAlign w:val="bottom"/>
          </w:tcPr>
          <w:p w14:paraId="126A7514" w14:textId="688DDC32" w:rsidR="009C0AD7" w:rsidRPr="00BE3464" w:rsidRDefault="009C0AD7" w:rsidP="009C0AD7">
            <w:pPr>
              <w:rPr>
                <w:sz w:val="20"/>
                <w:szCs w:val="20"/>
              </w:rPr>
            </w:pPr>
            <w:r w:rsidRPr="00BE3464">
              <w:rPr>
                <w:color w:val="000000"/>
                <w:sz w:val="20"/>
                <w:szCs w:val="20"/>
              </w:rPr>
              <w:t xml:space="preserve">Disability Rights Oregon </w:t>
            </w:r>
          </w:p>
        </w:tc>
        <w:tc>
          <w:tcPr>
            <w:tcW w:w="1011" w:type="dxa"/>
            <w:vAlign w:val="bottom"/>
          </w:tcPr>
          <w:p w14:paraId="191A4248" w14:textId="555D3CC6" w:rsidR="009C0AD7" w:rsidRPr="00BE3464" w:rsidRDefault="009C0AD7" w:rsidP="009C0AD7">
            <w:pPr>
              <w:jc w:val="center"/>
              <w:rPr>
                <w:sz w:val="20"/>
                <w:szCs w:val="20"/>
              </w:rPr>
            </w:pPr>
            <w:r w:rsidRPr="00BE3464">
              <w:rPr>
                <w:color w:val="000000"/>
                <w:sz w:val="20"/>
                <w:szCs w:val="20"/>
              </w:rPr>
              <w:t> </w:t>
            </w:r>
          </w:p>
        </w:tc>
      </w:tr>
      <w:tr w:rsidR="000F1D99" w:rsidRPr="00BE3464" w14:paraId="1F4017C1" w14:textId="77777777" w:rsidTr="000E31EF">
        <w:tc>
          <w:tcPr>
            <w:tcW w:w="4405" w:type="dxa"/>
            <w:vAlign w:val="bottom"/>
          </w:tcPr>
          <w:p w14:paraId="45B8B1D8" w14:textId="25456C17" w:rsidR="009C0AD7" w:rsidRPr="00BE3464" w:rsidRDefault="009C0AD7" w:rsidP="009C0AD7">
            <w:pPr>
              <w:rPr>
                <w:sz w:val="20"/>
                <w:szCs w:val="20"/>
              </w:rPr>
            </w:pPr>
            <w:r w:rsidRPr="00BE3464">
              <w:rPr>
                <w:color w:val="000000"/>
                <w:sz w:val="20"/>
                <w:szCs w:val="20"/>
              </w:rPr>
              <w:t xml:space="preserve">Debra C. Maryanov </w:t>
            </w:r>
          </w:p>
        </w:tc>
        <w:tc>
          <w:tcPr>
            <w:tcW w:w="5374" w:type="dxa"/>
            <w:vAlign w:val="bottom"/>
          </w:tcPr>
          <w:p w14:paraId="598B75A6" w14:textId="735086D8" w:rsidR="009C0AD7" w:rsidRPr="00BE3464" w:rsidRDefault="009C0AD7" w:rsidP="009C0AD7">
            <w:pPr>
              <w:rPr>
                <w:sz w:val="20"/>
                <w:szCs w:val="20"/>
              </w:rPr>
            </w:pPr>
            <w:r w:rsidRPr="00BE3464">
              <w:rPr>
                <w:color w:val="000000"/>
                <w:sz w:val="20"/>
                <w:szCs w:val="20"/>
              </w:rPr>
              <w:t>Oregon Judicial Department</w:t>
            </w:r>
          </w:p>
        </w:tc>
        <w:tc>
          <w:tcPr>
            <w:tcW w:w="1011" w:type="dxa"/>
            <w:vAlign w:val="bottom"/>
          </w:tcPr>
          <w:p w14:paraId="562D3466" w14:textId="6187852F" w:rsidR="009C0AD7" w:rsidRPr="00BE3464" w:rsidRDefault="009C0AD7" w:rsidP="009C0AD7">
            <w:pPr>
              <w:jc w:val="center"/>
              <w:rPr>
                <w:sz w:val="20"/>
                <w:szCs w:val="20"/>
              </w:rPr>
            </w:pPr>
            <w:r w:rsidRPr="00BE3464">
              <w:rPr>
                <w:sz w:val="20"/>
                <w:szCs w:val="20"/>
              </w:rPr>
              <w:t>X</w:t>
            </w:r>
          </w:p>
        </w:tc>
      </w:tr>
      <w:tr w:rsidR="000F1D99" w:rsidRPr="00BE3464" w14:paraId="00E31C6D" w14:textId="77777777" w:rsidTr="000E31EF">
        <w:tc>
          <w:tcPr>
            <w:tcW w:w="4405" w:type="dxa"/>
            <w:vAlign w:val="bottom"/>
          </w:tcPr>
          <w:p w14:paraId="78DC13C3" w14:textId="7351FA29" w:rsidR="009C0AD7" w:rsidRPr="00BE3464" w:rsidRDefault="009C0AD7" w:rsidP="009C0AD7">
            <w:pPr>
              <w:rPr>
                <w:sz w:val="20"/>
                <w:szCs w:val="20"/>
              </w:rPr>
            </w:pPr>
            <w:r w:rsidRPr="00BE3464">
              <w:rPr>
                <w:color w:val="000000"/>
                <w:sz w:val="20"/>
                <w:szCs w:val="20"/>
              </w:rPr>
              <w:t xml:space="preserve">Elisabeth Waner </w:t>
            </w:r>
          </w:p>
        </w:tc>
        <w:tc>
          <w:tcPr>
            <w:tcW w:w="5374" w:type="dxa"/>
            <w:vAlign w:val="bottom"/>
          </w:tcPr>
          <w:p w14:paraId="2DEF1913" w14:textId="3F318145" w:rsidR="009C0AD7" w:rsidRPr="00BE3464" w:rsidRDefault="009C0AD7" w:rsidP="009C0AD7">
            <w:pPr>
              <w:rPr>
                <w:sz w:val="20"/>
                <w:szCs w:val="20"/>
              </w:rPr>
            </w:pPr>
            <w:r w:rsidRPr="00BE3464">
              <w:rPr>
                <w:color w:val="000000"/>
                <w:sz w:val="20"/>
                <w:szCs w:val="20"/>
              </w:rPr>
              <w:t xml:space="preserve">DOJ </w:t>
            </w:r>
          </w:p>
        </w:tc>
        <w:tc>
          <w:tcPr>
            <w:tcW w:w="1011" w:type="dxa"/>
            <w:vAlign w:val="bottom"/>
          </w:tcPr>
          <w:p w14:paraId="48A1C3D8" w14:textId="6C0B1F82" w:rsidR="009C0AD7" w:rsidRPr="00BE3464" w:rsidRDefault="009C0AD7" w:rsidP="009C0AD7">
            <w:pPr>
              <w:jc w:val="center"/>
              <w:rPr>
                <w:sz w:val="20"/>
                <w:szCs w:val="20"/>
              </w:rPr>
            </w:pPr>
            <w:r w:rsidRPr="00BE3464">
              <w:rPr>
                <w:color w:val="000000"/>
                <w:sz w:val="20"/>
                <w:szCs w:val="20"/>
              </w:rPr>
              <w:t> </w:t>
            </w:r>
          </w:p>
        </w:tc>
      </w:tr>
      <w:tr w:rsidR="000F1D99" w:rsidRPr="00BE3464" w14:paraId="37E90CEB" w14:textId="77777777" w:rsidTr="000E31EF">
        <w:tc>
          <w:tcPr>
            <w:tcW w:w="4405" w:type="dxa"/>
            <w:vAlign w:val="bottom"/>
          </w:tcPr>
          <w:p w14:paraId="23C624BE" w14:textId="5EFF5100" w:rsidR="009C0AD7" w:rsidRPr="00BE3464" w:rsidRDefault="009C0AD7" w:rsidP="009C0AD7">
            <w:pPr>
              <w:rPr>
                <w:sz w:val="20"/>
                <w:szCs w:val="20"/>
              </w:rPr>
            </w:pPr>
            <w:r w:rsidRPr="00BE3464">
              <w:rPr>
                <w:color w:val="000000"/>
                <w:sz w:val="20"/>
                <w:szCs w:val="20"/>
              </w:rPr>
              <w:t>Evelyn Centeno</w:t>
            </w:r>
          </w:p>
        </w:tc>
        <w:tc>
          <w:tcPr>
            <w:tcW w:w="5374" w:type="dxa"/>
            <w:vAlign w:val="bottom"/>
          </w:tcPr>
          <w:p w14:paraId="037C47C6" w14:textId="69390091" w:rsidR="009C0AD7" w:rsidRPr="00BE3464" w:rsidRDefault="009C0AD7" w:rsidP="009C0AD7">
            <w:pPr>
              <w:rPr>
                <w:sz w:val="20"/>
                <w:szCs w:val="20"/>
              </w:rPr>
            </w:pPr>
            <w:r w:rsidRPr="00BE3464">
              <w:rPr>
                <w:color w:val="000000"/>
                <w:sz w:val="20"/>
                <w:szCs w:val="20"/>
              </w:rPr>
              <w:t xml:space="preserve">Marion County </w:t>
            </w:r>
          </w:p>
        </w:tc>
        <w:tc>
          <w:tcPr>
            <w:tcW w:w="1011" w:type="dxa"/>
            <w:vAlign w:val="bottom"/>
          </w:tcPr>
          <w:p w14:paraId="51DA1F21" w14:textId="6C37B9A6" w:rsidR="009C0AD7" w:rsidRPr="00BE3464" w:rsidRDefault="009C0AD7" w:rsidP="009C0AD7">
            <w:pPr>
              <w:jc w:val="center"/>
              <w:rPr>
                <w:sz w:val="20"/>
                <w:szCs w:val="20"/>
              </w:rPr>
            </w:pPr>
            <w:r w:rsidRPr="00BE3464">
              <w:rPr>
                <w:sz w:val="20"/>
                <w:szCs w:val="20"/>
              </w:rPr>
              <w:t>X</w:t>
            </w:r>
          </w:p>
        </w:tc>
      </w:tr>
      <w:tr w:rsidR="000F1D99" w:rsidRPr="00BE3464" w14:paraId="446530C2" w14:textId="77777777" w:rsidTr="000E31EF">
        <w:tc>
          <w:tcPr>
            <w:tcW w:w="4405" w:type="dxa"/>
            <w:vAlign w:val="bottom"/>
          </w:tcPr>
          <w:p w14:paraId="02A15FF4" w14:textId="5E0078DE" w:rsidR="009C0AD7" w:rsidRPr="00BE3464" w:rsidRDefault="009C0AD7" w:rsidP="009C0AD7">
            <w:pPr>
              <w:rPr>
                <w:sz w:val="20"/>
                <w:szCs w:val="20"/>
              </w:rPr>
            </w:pPr>
            <w:r w:rsidRPr="00BE3464">
              <w:rPr>
                <w:color w:val="000000"/>
                <w:sz w:val="20"/>
                <w:szCs w:val="20"/>
              </w:rPr>
              <w:t xml:space="preserve">Gwen Weber </w:t>
            </w:r>
          </w:p>
        </w:tc>
        <w:tc>
          <w:tcPr>
            <w:tcW w:w="5374" w:type="dxa"/>
            <w:vAlign w:val="bottom"/>
          </w:tcPr>
          <w:p w14:paraId="03EAB92F" w14:textId="4AD7A5F9" w:rsidR="009C0AD7" w:rsidRPr="00BE3464" w:rsidRDefault="009C0AD7" w:rsidP="009C0AD7">
            <w:pPr>
              <w:rPr>
                <w:sz w:val="20"/>
                <w:szCs w:val="20"/>
              </w:rPr>
            </w:pPr>
            <w:r w:rsidRPr="00BE3464">
              <w:rPr>
                <w:color w:val="000000"/>
                <w:sz w:val="20"/>
                <w:szCs w:val="20"/>
              </w:rPr>
              <w:t xml:space="preserve">Marion County DD Services </w:t>
            </w:r>
          </w:p>
        </w:tc>
        <w:tc>
          <w:tcPr>
            <w:tcW w:w="1011" w:type="dxa"/>
            <w:vAlign w:val="bottom"/>
          </w:tcPr>
          <w:p w14:paraId="5ECEF3A0" w14:textId="3C68070A" w:rsidR="009C0AD7" w:rsidRPr="00BE3464" w:rsidRDefault="009C0AD7" w:rsidP="009C0AD7">
            <w:pPr>
              <w:jc w:val="center"/>
              <w:rPr>
                <w:sz w:val="20"/>
                <w:szCs w:val="20"/>
              </w:rPr>
            </w:pPr>
            <w:r w:rsidRPr="00BE3464">
              <w:rPr>
                <w:sz w:val="20"/>
                <w:szCs w:val="20"/>
              </w:rPr>
              <w:t>X</w:t>
            </w:r>
          </w:p>
        </w:tc>
      </w:tr>
      <w:tr w:rsidR="000F1D99" w:rsidRPr="00BE3464" w14:paraId="5DDCCACE" w14:textId="77777777" w:rsidTr="000E31EF">
        <w:tc>
          <w:tcPr>
            <w:tcW w:w="4405" w:type="dxa"/>
            <w:vAlign w:val="bottom"/>
          </w:tcPr>
          <w:p w14:paraId="790C65C1" w14:textId="04197644" w:rsidR="009C0AD7" w:rsidRPr="00BE3464" w:rsidRDefault="009C0AD7" w:rsidP="009C0AD7">
            <w:pPr>
              <w:rPr>
                <w:sz w:val="20"/>
                <w:szCs w:val="20"/>
              </w:rPr>
            </w:pPr>
            <w:r w:rsidRPr="00BE3464">
              <w:rPr>
                <w:color w:val="000000"/>
                <w:sz w:val="20"/>
                <w:szCs w:val="20"/>
              </w:rPr>
              <w:t xml:space="preserve">Heather Jefferis </w:t>
            </w:r>
          </w:p>
        </w:tc>
        <w:tc>
          <w:tcPr>
            <w:tcW w:w="5374" w:type="dxa"/>
            <w:vAlign w:val="bottom"/>
          </w:tcPr>
          <w:p w14:paraId="6BA890CD" w14:textId="5FDAB66A" w:rsidR="009C0AD7" w:rsidRPr="00BE3464" w:rsidRDefault="009C0AD7" w:rsidP="009C0AD7">
            <w:pPr>
              <w:rPr>
                <w:sz w:val="20"/>
                <w:szCs w:val="20"/>
              </w:rPr>
            </w:pPr>
            <w:r w:rsidRPr="00BE3464">
              <w:rPr>
                <w:color w:val="000000"/>
                <w:sz w:val="20"/>
                <w:szCs w:val="20"/>
              </w:rPr>
              <w:t>Oregon Council for Behavioral Health</w:t>
            </w:r>
          </w:p>
        </w:tc>
        <w:tc>
          <w:tcPr>
            <w:tcW w:w="1011" w:type="dxa"/>
            <w:vAlign w:val="bottom"/>
          </w:tcPr>
          <w:p w14:paraId="3CC7F3B2" w14:textId="7B5CF3FA" w:rsidR="009C0AD7" w:rsidRPr="00BE3464" w:rsidRDefault="009C0AD7" w:rsidP="009C0AD7">
            <w:pPr>
              <w:jc w:val="center"/>
              <w:rPr>
                <w:sz w:val="20"/>
                <w:szCs w:val="20"/>
              </w:rPr>
            </w:pPr>
            <w:r w:rsidRPr="00BE3464">
              <w:rPr>
                <w:color w:val="000000"/>
                <w:sz w:val="20"/>
                <w:szCs w:val="20"/>
              </w:rPr>
              <w:t> </w:t>
            </w:r>
          </w:p>
        </w:tc>
      </w:tr>
      <w:tr w:rsidR="000F1D99" w:rsidRPr="00BE3464" w14:paraId="324B929A" w14:textId="77777777" w:rsidTr="000E31EF">
        <w:tc>
          <w:tcPr>
            <w:tcW w:w="4405" w:type="dxa"/>
            <w:vAlign w:val="bottom"/>
          </w:tcPr>
          <w:p w14:paraId="7A5D2430" w14:textId="6494E4AF" w:rsidR="009C0AD7" w:rsidRPr="00BE3464" w:rsidRDefault="009C0AD7" w:rsidP="009C0AD7">
            <w:pPr>
              <w:rPr>
                <w:sz w:val="20"/>
                <w:szCs w:val="20"/>
              </w:rPr>
            </w:pPr>
            <w:r w:rsidRPr="00BE3464">
              <w:rPr>
                <w:color w:val="000000"/>
                <w:sz w:val="20"/>
                <w:szCs w:val="20"/>
              </w:rPr>
              <w:t xml:space="preserve">Harris Matarazzo, J.D. </w:t>
            </w:r>
          </w:p>
        </w:tc>
        <w:tc>
          <w:tcPr>
            <w:tcW w:w="5374" w:type="dxa"/>
            <w:vAlign w:val="bottom"/>
          </w:tcPr>
          <w:p w14:paraId="62424018" w14:textId="5D01DCB4" w:rsidR="009C0AD7" w:rsidRPr="00BE3464" w:rsidRDefault="0098185A" w:rsidP="009C0AD7">
            <w:pPr>
              <w:rPr>
                <w:sz w:val="20"/>
                <w:szCs w:val="20"/>
              </w:rPr>
            </w:pPr>
            <w:r w:rsidRPr="00BE3464">
              <w:rPr>
                <w:sz w:val="20"/>
                <w:szCs w:val="20"/>
              </w:rPr>
              <w:t>Defense Attorney</w:t>
            </w:r>
          </w:p>
        </w:tc>
        <w:tc>
          <w:tcPr>
            <w:tcW w:w="1011" w:type="dxa"/>
            <w:vAlign w:val="bottom"/>
          </w:tcPr>
          <w:p w14:paraId="22A1BFE6" w14:textId="5B0B7F16" w:rsidR="009C0AD7" w:rsidRPr="00BE3464" w:rsidRDefault="009C0AD7" w:rsidP="009C0AD7">
            <w:pPr>
              <w:jc w:val="center"/>
              <w:rPr>
                <w:sz w:val="20"/>
                <w:szCs w:val="20"/>
              </w:rPr>
            </w:pPr>
            <w:r w:rsidRPr="00BE3464">
              <w:rPr>
                <w:sz w:val="20"/>
                <w:szCs w:val="20"/>
              </w:rPr>
              <w:t>X</w:t>
            </w:r>
          </w:p>
        </w:tc>
      </w:tr>
      <w:tr w:rsidR="000F1D99" w:rsidRPr="00BE3464" w14:paraId="2F7BCCBE" w14:textId="77777777" w:rsidTr="000E31EF">
        <w:tc>
          <w:tcPr>
            <w:tcW w:w="4405" w:type="dxa"/>
            <w:vAlign w:val="bottom"/>
          </w:tcPr>
          <w:p w14:paraId="1843F2B1" w14:textId="4B43C6AA" w:rsidR="009C0AD7" w:rsidRPr="00BE3464" w:rsidRDefault="009C0AD7" w:rsidP="009C0AD7">
            <w:pPr>
              <w:rPr>
                <w:sz w:val="20"/>
                <w:szCs w:val="20"/>
              </w:rPr>
            </w:pPr>
            <w:r w:rsidRPr="00BE3464">
              <w:rPr>
                <w:color w:val="000000"/>
                <w:sz w:val="20"/>
                <w:szCs w:val="20"/>
              </w:rPr>
              <w:t>Jay Auslander</w:t>
            </w:r>
          </w:p>
        </w:tc>
        <w:tc>
          <w:tcPr>
            <w:tcW w:w="5374" w:type="dxa"/>
            <w:vAlign w:val="bottom"/>
          </w:tcPr>
          <w:p w14:paraId="01C2347D" w14:textId="02294353" w:rsidR="009C0AD7" w:rsidRPr="00BE3464" w:rsidRDefault="009C0AD7" w:rsidP="009C0AD7">
            <w:pPr>
              <w:rPr>
                <w:sz w:val="20"/>
                <w:szCs w:val="20"/>
              </w:rPr>
            </w:pPr>
            <w:r w:rsidRPr="00BE3464">
              <w:rPr>
                <w:color w:val="000000"/>
                <w:sz w:val="20"/>
                <w:szCs w:val="20"/>
              </w:rPr>
              <w:t>Multnomah Co. Behavioral Health</w:t>
            </w:r>
          </w:p>
        </w:tc>
        <w:tc>
          <w:tcPr>
            <w:tcW w:w="1011" w:type="dxa"/>
            <w:vAlign w:val="bottom"/>
          </w:tcPr>
          <w:p w14:paraId="12645E21" w14:textId="7F2553EF" w:rsidR="009C0AD7" w:rsidRPr="00BE3464" w:rsidRDefault="009C0AD7" w:rsidP="009C0AD7">
            <w:pPr>
              <w:jc w:val="center"/>
              <w:rPr>
                <w:sz w:val="20"/>
                <w:szCs w:val="20"/>
              </w:rPr>
            </w:pPr>
            <w:r w:rsidRPr="00BE3464">
              <w:rPr>
                <w:sz w:val="20"/>
                <w:szCs w:val="20"/>
              </w:rPr>
              <w:t>X</w:t>
            </w:r>
          </w:p>
        </w:tc>
      </w:tr>
      <w:tr w:rsidR="000F1D99" w:rsidRPr="00BE3464" w14:paraId="6AD4C75F" w14:textId="77777777" w:rsidTr="000E31EF">
        <w:tc>
          <w:tcPr>
            <w:tcW w:w="4405" w:type="dxa"/>
            <w:vAlign w:val="bottom"/>
          </w:tcPr>
          <w:p w14:paraId="3B6A5AB5" w14:textId="04087949" w:rsidR="009C0AD7" w:rsidRPr="00BE3464" w:rsidRDefault="009C0AD7" w:rsidP="009C0AD7">
            <w:pPr>
              <w:rPr>
                <w:sz w:val="20"/>
                <w:szCs w:val="20"/>
              </w:rPr>
            </w:pPr>
            <w:r w:rsidRPr="00BE3464">
              <w:rPr>
                <w:color w:val="000000"/>
                <w:sz w:val="20"/>
                <w:szCs w:val="20"/>
              </w:rPr>
              <w:t>Jeff Tegner</w:t>
            </w:r>
          </w:p>
        </w:tc>
        <w:tc>
          <w:tcPr>
            <w:tcW w:w="5374" w:type="dxa"/>
            <w:vAlign w:val="bottom"/>
          </w:tcPr>
          <w:p w14:paraId="7A26A8BE" w14:textId="5421867D" w:rsidR="009C0AD7" w:rsidRPr="00BE3464" w:rsidRDefault="009C0AD7" w:rsidP="009C0AD7">
            <w:pPr>
              <w:rPr>
                <w:sz w:val="20"/>
                <w:szCs w:val="20"/>
              </w:rPr>
            </w:pPr>
            <w:r w:rsidRPr="00BE3464">
              <w:rPr>
                <w:color w:val="000000"/>
                <w:sz w:val="20"/>
                <w:szCs w:val="20"/>
              </w:rPr>
              <w:t>OHA Behavioral Health</w:t>
            </w:r>
          </w:p>
        </w:tc>
        <w:tc>
          <w:tcPr>
            <w:tcW w:w="1011" w:type="dxa"/>
            <w:vAlign w:val="bottom"/>
          </w:tcPr>
          <w:p w14:paraId="38247CCE" w14:textId="32C38154" w:rsidR="009C0AD7" w:rsidRPr="00BE3464" w:rsidRDefault="008E36C0" w:rsidP="009C0AD7">
            <w:pPr>
              <w:jc w:val="center"/>
              <w:rPr>
                <w:sz w:val="20"/>
                <w:szCs w:val="20"/>
              </w:rPr>
            </w:pPr>
            <w:r w:rsidRPr="00BE3464">
              <w:rPr>
                <w:sz w:val="20"/>
                <w:szCs w:val="20"/>
              </w:rPr>
              <w:t>X</w:t>
            </w:r>
          </w:p>
        </w:tc>
      </w:tr>
      <w:tr w:rsidR="000F1D99" w:rsidRPr="00BE3464" w14:paraId="69597C1F" w14:textId="77777777" w:rsidTr="000E31EF">
        <w:tc>
          <w:tcPr>
            <w:tcW w:w="4405" w:type="dxa"/>
            <w:vAlign w:val="bottom"/>
          </w:tcPr>
          <w:p w14:paraId="5DF0FE40" w14:textId="735892B5" w:rsidR="009C0AD7" w:rsidRPr="00BE3464" w:rsidRDefault="009C0AD7" w:rsidP="009C0AD7">
            <w:pPr>
              <w:rPr>
                <w:sz w:val="20"/>
                <w:szCs w:val="20"/>
              </w:rPr>
            </w:pPr>
            <w:r w:rsidRPr="00BE3464">
              <w:rPr>
                <w:color w:val="000000"/>
                <w:sz w:val="20"/>
                <w:szCs w:val="20"/>
              </w:rPr>
              <w:t>Julie Wood</w:t>
            </w:r>
          </w:p>
        </w:tc>
        <w:tc>
          <w:tcPr>
            <w:tcW w:w="5374" w:type="dxa"/>
            <w:vAlign w:val="bottom"/>
          </w:tcPr>
          <w:p w14:paraId="0156BA64" w14:textId="28012084" w:rsidR="009C0AD7" w:rsidRPr="00BE3464" w:rsidRDefault="009C0AD7" w:rsidP="009C0AD7">
            <w:pPr>
              <w:rPr>
                <w:sz w:val="20"/>
                <w:szCs w:val="20"/>
              </w:rPr>
            </w:pPr>
            <w:r w:rsidRPr="00BE3464">
              <w:rPr>
                <w:color w:val="000000"/>
                <w:sz w:val="20"/>
                <w:szCs w:val="20"/>
              </w:rPr>
              <w:t>Contracted MH Examiner</w:t>
            </w:r>
          </w:p>
        </w:tc>
        <w:tc>
          <w:tcPr>
            <w:tcW w:w="1011" w:type="dxa"/>
            <w:vAlign w:val="bottom"/>
          </w:tcPr>
          <w:p w14:paraId="77393955" w14:textId="5A442694" w:rsidR="009C0AD7" w:rsidRPr="00BE3464" w:rsidRDefault="008E36C0" w:rsidP="009C0AD7">
            <w:pPr>
              <w:jc w:val="center"/>
              <w:rPr>
                <w:sz w:val="20"/>
                <w:szCs w:val="20"/>
              </w:rPr>
            </w:pPr>
            <w:r w:rsidRPr="00BE3464">
              <w:rPr>
                <w:sz w:val="20"/>
                <w:szCs w:val="20"/>
              </w:rPr>
              <w:t>X</w:t>
            </w:r>
          </w:p>
        </w:tc>
      </w:tr>
      <w:tr w:rsidR="000F1D99" w:rsidRPr="00BE3464" w14:paraId="5BC62FB7" w14:textId="77777777" w:rsidTr="000E31EF">
        <w:tc>
          <w:tcPr>
            <w:tcW w:w="4405" w:type="dxa"/>
            <w:vAlign w:val="bottom"/>
          </w:tcPr>
          <w:p w14:paraId="28FB9B96" w14:textId="4E493E0C" w:rsidR="009C0AD7" w:rsidRPr="00BE3464" w:rsidRDefault="009C0AD7" w:rsidP="009C0AD7">
            <w:pPr>
              <w:rPr>
                <w:sz w:val="20"/>
                <w:szCs w:val="20"/>
              </w:rPr>
            </w:pPr>
            <w:r w:rsidRPr="00BE3464">
              <w:rPr>
                <w:color w:val="000000"/>
                <w:sz w:val="20"/>
                <w:szCs w:val="20"/>
              </w:rPr>
              <w:t xml:space="preserve">Kailana </w:t>
            </w:r>
            <w:proofErr w:type="spellStart"/>
            <w:r w:rsidRPr="00BE3464">
              <w:rPr>
                <w:color w:val="000000"/>
                <w:sz w:val="20"/>
                <w:szCs w:val="20"/>
              </w:rPr>
              <w:t>Piimauna</w:t>
            </w:r>
            <w:proofErr w:type="spellEnd"/>
            <w:r w:rsidRPr="00BE3464">
              <w:rPr>
                <w:color w:val="000000"/>
                <w:sz w:val="20"/>
                <w:szCs w:val="20"/>
              </w:rPr>
              <w:t xml:space="preserve"> </w:t>
            </w:r>
          </w:p>
        </w:tc>
        <w:tc>
          <w:tcPr>
            <w:tcW w:w="5374" w:type="dxa"/>
            <w:vAlign w:val="bottom"/>
          </w:tcPr>
          <w:p w14:paraId="578C99AA" w14:textId="5898CA76" w:rsidR="009C0AD7" w:rsidRPr="00BE3464" w:rsidRDefault="009C0AD7" w:rsidP="009C0AD7">
            <w:pPr>
              <w:rPr>
                <w:sz w:val="20"/>
                <w:szCs w:val="20"/>
              </w:rPr>
            </w:pPr>
            <w:r w:rsidRPr="00BE3464">
              <w:rPr>
                <w:color w:val="000000"/>
                <w:sz w:val="20"/>
                <w:szCs w:val="20"/>
              </w:rPr>
              <w:t xml:space="preserve">DOJ </w:t>
            </w:r>
          </w:p>
        </w:tc>
        <w:tc>
          <w:tcPr>
            <w:tcW w:w="1011" w:type="dxa"/>
            <w:vAlign w:val="bottom"/>
          </w:tcPr>
          <w:p w14:paraId="47EFF63C" w14:textId="1A9198BE" w:rsidR="009C0AD7" w:rsidRPr="00BE3464" w:rsidRDefault="009C0AD7" w:rsidP="009C0AD7">
            <w:pPr>
              <w:jc w:val="center"/>
              <w:rPr>
                <w:sz w:val="20"/>
                <w:szCs w:val="20"/>
              </w:rPr>
            </w:pPr>
            <w:r w:rsidRPr="00BE3464">
              <w:rPr>
                <w:color w:val="000000"/>
                <w:sz w:val="20"/>
                <w:szCs w:val="20"/>
              </w:rPr>
              <w:t> </w:t>
            </w:r>
          </w:p>
        </w:tc>
      </w:tr>
      <w:tr w:rsidR="000F1D99" w:rsidRPr="00BE3464" w14:paraId="0EF837A0" w14:textId="77777777" w:rsidTr="000E31EF">
        <w:tc>
          <w:tcPr>
            <w:tcW w:w="4405" w:type="dxa"/>
            <w:vAlign w:val="bottom"/>
          </w:tcPr>
          <w:p w14:paraId="5D216A1A" w14:textId="66A065BA" w:rsidR="009C0AD7" w:rsidRPr="00BE3464" w:rsidRDefault="009C0AD7" w:rsidP="009C0AD7">
            <w:pPr>
              <w:rPr>
                <w:sz w:val="20"/>
                <w:szCs w:val="20"/>
              </w:rPr>
            </w:pPr>
            <w:r w:rsidRPr="00BE3464">
              <w:rPr>
                <w:color w:val="000000"/>
                <w:sz w:val="20"/>
                <w:szCs w:val="20"/>
              </w:rPr>
              <w:t xml:space="preserve">Kas Robinson </w:t>
            </w:r>
          </w:p>
        </w:tc>
        <w:tc>
          <w:tcPr>
            <w:tcW w:w="5374" w:type="dxa"/>
            <w:vAlign w:val="bottom"/>
          </w:tcPr>
          <w:p w14:paraId="65F0537D" w14:textId="789C00BB" w:rsidR="009C0AD7" w:rsidRPr="00BE3464" w:rsidRDefault="009C0AD7" w:rsidP="009C0AD7">
            <w:pPr>
              <w:rPr>
                <w:sz w:val="20"/>
                <w:szCs w:val="20"/>
              </w:rPr>
            </w:pPr>
            <w:r w:rsidRPr="00BE3464">
              <w:rPr>
                <w:color w:val="000000"/>
                <w:sz w:val="20"/>
                <w:szCs w:val="20"/>
              </w:rPr>
              <w:t xml:space="preserve">Cascadia </w:t>
            </w:r>
          </w:p>
        </w:tc>
        <w:tc>
          <w:tcPr>
            <w:tcW w:w="1011" w:type="dxa"/>
            <w:vAlign w:val="bottom"/>
          </w:tcPr>
          <w:p w14:paraId="4FBFDFC4" w14:textId="5E9D6074" w:rsidR="009C0AD7" w:rsidRPr="00BE3464" w:rsidRDefault="009C0AD7" w:rsidP="009C0AD7">
            <w:pPr>
              <w:jc w:val="center"/>
              <w:rPr>
                <w:sz w:val="20"/>
                <w:szCs w:val="20"/>
              </w:rPr>
            </w:pPr>
            <w:r w:rsidRPr="00BE3464">
              <w:rPr>
                <w:color w:val="000000"/>
                <w:sz w:val="20"/>
                <w:szCs w:val="20"/>
              </w:rPr>
              <w:t> </w:t>
            </w:r>
          </w:p>
        </w:tc>
      </w:tr>
      <w:tr w:rsidR="000F1D99" w:rsidRPr="00BE3464" w14:paraId="68DF9082" w14:textId="77777777" w:rsidTr="000E31EF">
        <w:tc>
          <w:tcPr>
            <w:tcW w:w="4405" w:type="dxa"/>
            <w:vAlign w:val="bottom"/>
          </w:tcPr>
          <w:p w14:paraId="702F1394" w14:textId="42252D8D" w:rsidR="009C0AD7" w:rsidRPr="00BE3464" w:rsidRDefault="009C0AD7" w:rsidP="009C0AD7">
            <w:pPr>
              <w:rPr>
                <w:sz w:val="20"/>
                <w:szCs w:val="20"/>
              </w:rPr>
            </w:pPr>
            <w:r w:rsidRPr="00BE3464">
              <w:rPr>
                <w:color w:val="000000"/>
                <w:sz w:val="20"/>
                <w:szCs w:val="20"/>
              </w:rPr>
              <w:t>Lex Rogers</w:t>
            </w:r>
          </w:p>
        </w:tc>
        <w:tc>
          <w:tcPr>
            <w:tcW w:w="5374" w:type="dxa"/>
            <w:vAlign w:val="bottom"/>
          </w:tcPr>
          <w:p w14:paraId="590EF619" w14:textId="27514946" w:rsidR="009C0AD7" w:rsidRPr="00BE3464" w:rsidRDefault="009C0AD7" w:rsidP="009C0AD7">
            <w:pPr>
              <w:rPr>
                <w:sz w:val="20"/>
                <w:szCs w:val="20"/>
              </w:rPr>
            </w:pPr>
            <w:r w:rsidRPr="00BE3464">
              <w:rPr>
                <w:color w:val="000000"/>
                <w:sz w:val="20"/>
                <w:szCs w:val="20"/>
              </w:rPr>
              <w:t>Deschutes County Behavioral Health</w:t>
            </w:r>
          </w:p>
        </w:tc>
        <w:tc>
          <w:tcPr>
            <w:tcW w:w="1011" w:type="dxa"/>
            <w:vAlign w:val="bottom"/>
          </w:tcPr>
          <w:p w14:paraId="2E03F520" w14:textId="365A97FF" w:rsidR="009C0AD7" w:rsidRPr="00BE3464" w:rsidRDefault="008E36C0" w:rsidP="009C0AD7">
            <w:pPr>
              <w:jc w:val="center"/>
              <w:rPr>
                <w:sz w:val="20"/>
                <w:szCs w:val="20"/>
              </w:rPr>
            </w:pPr>
            <w:r w:rsidRPr="00BE3464">
              <w:rPr>
                <w:sz w:val="20"/>
                <w:szCs w:val="20"/>
              </w:rPr>
              <w:t>X</w:t>
            </w:r>
          </w:p>
        </w:tc>
      </w:tr>
      <w:tr w:rsidR="000F1D99" w:rsidRPr="00BE3464" w14:paraId="572E97BC" w14:textId="77777777" w:rsidTr="000E31EF">
        <w:tc>
          <w:tcPr>
            <w:tcW w:w="4405" w:type="dxa"/>
            <w:vAlign w:val="bottom"/>
          </w:tcPr>
          <w:p w14:paraId="63B7BACB" w14:textId="7474CE1B" w:rsidR="009C0AD7" w:rsidRPr="00BE3464" w:rsidRDefault="009C0AD7" w:rsidP="009C0AD7">
            <w:pPr>
              <w:rPr>
                <w:sz w:val="20"/>
                <w:szCs w:val="20"/>
              </w:rPr>
            </w:pPr>
            <w:r w:rsidRPr="00BE3464">
              <w:rPr>
                <w:color w:val="000000"/>
                <w:sz w:val="20"/>
                <w:szCs w:val="20"/>
              </w:rPr>
              <w:t xml:space="preserve">Megan Harper </w:t>
            </w:r>
          </w:p>
        </w:tc>
        <w:tc>
          <w:tcPr>
            <w:tcW w:w="5374" w:type="dxa"/>
            <w:vAlign w:val="bottom"/>
          </w:tcPr>
          <w:p w14:paraId="1A85E959" w14:textId="6F7011D7" w:rsidR="009C0AD7" w:rsidRPr="00BE3464" w:rsidRDefault="009C0AD7" w:rsidP="009C0AD7">
            <w:pPr>
              <w:rPr>
                <w:sz w:val="20"/>
                <w:szCs w:val="20"/>
              </w:rPr>
            </w:pPr>
            <w:r w:rsidRPr="00BE3464">
              <w:rPr>
                <w:color w:val="000000"/>
                <w:sz w:val="20"/>
                <w:szCs w:val="20"/>
              </w:rPr>
              <w:t xml:space="preserve">OHA / Health Systems Division </w:t>
            </w:r>
          </w:p>
        </w:tc>
        <w:tc>
          <w:tcPr>
            <w:tcW w:w="1011" w:type="dxa"/>
            <w:vAlign w:val="bottom"/>
          </w:tcPr>
          <w:p w14:paraId="1E55A884" w14:textId="494E317E" w:rsidR="009C0AD7" w:rsidRPr="00BE3464" w:rsidRDefault="008E36C0" w:rsidP="009C0AD7">
            <w:pPr>
              <w:jc w:val="center"/>
              <w:rPr>
                <w:sz w:val="20"/>
                <w:szCs w:val="20"/>
              </w:rPr>
            </w:pPr>
            <w:r w:rsidRPr="00BE3464">
              <w:rPr>
                <w:color w:val="000000"/>
                <w:sz w:val="20"/>
                <w:szCs w:val="20"/>
              </w:rPr>
              <w:t>X</w:t>
            </w:r>
          </w:p>
        </w:tc>
      </w:tr>
      <w:tr w:rsidR="000F1D99" w:rsidRPr="00BE3464" w14:paraId="7D32DA7F" w14:textId="77777777" w:rsidTr="000E31EF">
        <w:tc>
          <w:tcPr>
            <w:tcW w:w="4405" w:type="dxa"/>
            <w:vAlign w:val="bottom"/>
          </w:tcPr>
          <w:p w14:paraId="317FE196" w14:textId="52B342CA" w:rsidR="009C0AD7" w:rsidRPr="00BE3464" w:rsidRDefault="009C0AD7" w:rsidP="009C0AD7">
            <w:pPr>
              <w:rPr>
                <w:sz w:val="20"/>
                <w:szCs w:val="20"/>
              </w:rPr>
            </w:pPr>
            <w:r w:rsidRPr="00BE3464">
              <w:rPr>
                <w:color w:val="000000"/>
                <w:sz w:val="20"/>
                <w:szCs w:val="20"/>
              </w:rPr>
              <w:t xml:space="preserve">Melissa Chureau </w:t>
            </w:r>
          </w:p>
        </w:tc>
        <w:tc>
          <w:tcPr>
            <w:tcW w:w="5374" w:type="dxa"/>
            <w:vAlign w:val="bottom"/>
          </w:tcPr>
          <w:p w14:paraId="11FE0C9D" w14:textId="396954C0" w:rsidR="009C0AD7" w:rsidRPr="00BE3464" w:rsidRDefault="009C0AD7" w:rsidP="009C0AD7">
            <w:pPr>
              <w:rPr>
                <w:sz w:val="20"/>
                <w:szCs w:val="20"/>
              </w:rPr>
            </w:pPr>
            <w:r w:rsidRPr="00BE3464">
              <w:rPr>
                <w:color w:val="000000"/>
                <w:sz w:val="20"/>
                <w:szCs w:val="20"/>
              </w:rPr>
              <w:t xml:space="preserve">DOJ </w:t>
            </w:r>
          </w:p>
        </w:tc>
        <w:tc>
          <w:tcPr>
            <w:tcW w:w="1011" w:type="dxa"/>
            <w:vAlign w:val="bottom"/>
          </w:tcPr>
          <w:p w14:paraId="5A36A3B2" w14:textId="1C556D46" w:rsidR="009C0AD7" w:rsidRPr="00BE3464" w:rsidRDefault="009C0AD7" w:rsidP="009C0AD7">
            <w:pPr>
              <w:jc w:val="center"/>
              <w:rPr>
                <w:sz w:val="20"/>
                <w:szCs w:val="20"/>
              </w:rPr>
            </w:pPr>
            <w:r w:rsidRPr="00BE3464">
              <w:rPr>
                <w:color w:val="000000"/>
                <w:sz w:val="20"/>
                <w:szCs w:val="20"/>
              </w:rPr>
              <w:t> </w:t>
            </w:r>
          </w:p>
        </w:tc>
      </w:tr>
      <w:tr w:rsidR="000F1D99" w:rsidRPr="00BE3464" w14:paraId="3D0BE9B5" w14:textId="77777777" w:rsidTr="000E31EF">
        <w:tc>
          <w:tcPr>
            <w:tcW w:w="4405" w:type="dxa"/>
            <w:vAlign w:val="bottom"/>
          </w:tcPr>
          <w:p w14:paraId="22F53D7D" w14:textId="65034F2E" w:rsidR="009C0AD7" w:rsidRPr="00BE3464" w:rsidRDefault="009C0AD7" w:rsidP="009C0AD7">
            <w:pPr>
              <w:rPr>
                <w:sz w:val="20"/>
                <w:szCs w:val="20"/>
              </w:rPr>
            </w:pPr>
            <w:r w:rsidRPr="00BE3464">
              <w:rPr>
                <w:color w:val="000000"/>
                <w:sz w:val="20"/>
                <w:szCs w:val="20"/>
              </w:rPr>
              <w:t xml:space="preserve">Melissa Marrero </w:t>
            </w:r>
          </w:p>
        </w:tc>
        <w:tc>
          <w:tcPr>
            <w:tcW w:w="5374" w:type="dxa"/>
            <w:vAlign w:val="bottom"/>
          </w:tcPr>
          <w:p w14:paraId="3544A7EC" w14:textId="18E5161B" w:rsidR="009C0AD7" w:rsidRPr="00BE3464" w:rsidRDefault="009C0AD7" w:rsidP="009C0AD7">
            <w:pPr>
              <w:rPr>
                <w:sz w:val="20"/>
                <w:szCs w:val="20"/>
              </w:rPr>
            </w:pPr>
            <w:r w:rsidRPr="00BE3464">
              <w:rPr>
                <w:color w:val="000000"/>
                <w:sz w:val="20"/>
                <w:szCs w:val="20"/>
              </w:rPr>
              <w:t xml:space="preserve">Multnomah County DA </w:t>
            </w:r>
          </w:p>
        </w:tc>
        <w:tc>
          <w:tcPr>
            <w:tcW w:w="1011" w:type="dxa"/>
            <w:vAlign w:val="bottom"/>
          </w:tcPr>
          <w:p w14:paraId="25EAD576" w14:textId="232655C8" w:rsidR="009C0AD7" w:rsidRPr="00BE3464" w:rsidRDefault="008E36C0" w:rsidP="009C0AD7">
            <w:pPr>
              <w:jc w:val="center"/>
              <w:rPr>
                <w:sz w:val="20"/>
                <w:szCs w:val="20"/>
              </w:rPr>
            </w:pPr>
            <w:r w:rsidRPr="00BE3464">
              <w:rPr>
                <w:sz w:val="20"/>
                <w:szCs w:val="20"/>
              </w:rPr>
              <w:t>X</w:t>
            </w:r>
          </w:p>
        </w:tc>
      </w:tr>
      <w:tr w:rsidR="000F1D99" w:rsidRPr="00BE3464" w14:paraId="421D47FE" w14:textId="77777777" w:rsidTr="000E31EF">
        <w:tc>
          <w:tcPr>
            <w:tcW w:w="4405" w:type="dxa"/>
            <w:vAlign w:val="bottom"/>
          </w:tcPr>
          <w:p w14:paraId="6FC4FDF4" w14:textId="125C952A" w:rsidR="009C0AD7" w:rsidRPr="00BE3464" w:rsidRDefault="009C0AD7" w:rsidP="009C0AD7">
            <w:pPr>
              <w:rPr>
                <w:sz w:val="20"/>
                <w:szCs w:val="20"/>
              </w:rPr>
            </w:pPr>
            <w:r w:rsidRPr="00BE3464">
              <w:rPr>
                <w:color w:val="000000"/>
                <w:sz w:val="20"/>
                <w:szCs w:val="20"/>
              </w:rPr>
              <w:t>Michael Johnson</w:t>
            </w:r>
          </w:p>
        </w:tc>
        <w:tc>
          <w:tcPr>
            <w:tcW w:w="5374" w:type="dxa"/>
            <w:vAlign w:val="bottom"/>
          </w:tcPr>
          <w:p w14:paraId="734F756B" w14:textId="04D32283" w:rsidR="009C0AD7" w:rsidRPr="00BE3464" w:rsidRDefault="009C0AD7" w:rsidP="009C0AD7">
            <w:pPr>
              <w:rPr>
                <w:sz w:val="20"/>
                <w:szCs w:val="20"/>
              </w:rPr>
            </w:pPr>
            <w:r w:rsidRPr="00BE3464">
              <w:rPr>
                <w:color w:val="000000"/>
                <w:sz w:val="20"/>
                <w:szCs w:val="20"/>
              </w:rPr>
              <w:t>OHA Behavioral Health</w:t>
            </w:r>
          </w:p>
        </w:tc>
        <w:tc>
          <w:tcPr>
            <w:tcW w:w="1011" w:type="dxa"/>
            <w:vAlign w:val="bottom"/>
          </w:tcPr>
          <w:p w14:paraId="4A588CC5" w14:textId="0AF95069" w:rsidR="009C0AD7" w:rsidRPr="00BE3464" w:rsidRDefault="009C0AD7" w:rsidP="009C0AD7">
            <w:pPr>
              <w:jc w:val="center"/>
              <w:rPr>
                <w:sz w:val="20"/>
                <w:szCs w:val="20"/>
              </w:rPr>
            </w:pPr>
            <w:r w:rsidRPr="00BE3464">
              <w:rPr>
                <w:color w:val="000000"/>
                <w:sz w:val="20"/>
                <w:szCs w:val="20"/>
              </w:rPr>
              <w:t>X</w:t>
            </w:r>
          </w:p>
        </w:tc>
      </w:tr>
      <w:tr w:rsidR="000F1D99" w:rsidRPr="00BE3464" w14:paraId="17A8DC78" w14:textId="77777777" w:rsidTr="000E31EF">
        <w:tc>
          <w:tcPr>
            <w:tcW w:w="4405" w:type="dxa"/>
            <w:vAlign w:val="bottom"/>
          </w:tcPr>
          <w:p w14:paraId="785FC0B9" w14:textId="32DF9C2F" w:rsidR="009C0AD7" w:rsidRPr="00BE3464" w:rsidRDefault="009C0AD7" w:rsidP="009C0AD7">
            <w:pPr>
              <w:rPr>
                <w:sz w:val="20"/>
                <w:szCs w:val="20"/>
              </w:rPr>
            </w:pPr>
            <w:r w:rsidRPr="00BE3464">
              <w:rPr>
                <w:color w:val="000000"/>
                <w:sz w:val="20"/>
                <w:szCs w:val="20"/>
              </w:rPr>
              <w:t xml:space="preserve">Michelle Guyton </w:t>
            </w:r>
          </w:p>
        </w:tc>
        <w:tc>
          <w:tcPr>
            <w:tcW w:w="5374" w:type="dxa"/>
            <w:vAlign w:val="bottom"/>
          </w:tcPr>
          <w:p w14:paraId="0C71772A" w14:textId="278DC0CF" w:rsidR="009C0AD7" w:rsidRPr="00BE3464" w:rsidRDefault="009C0AD7" w:rsidP="009C0AD7">
            <w:pPr>
              <w:rPr>
                <w:sz w:val="20"/>
                <w:szCs w:val="20"/>
              </w:rPr>
            </w:pPr>
            <w:r w:rsidRPr="00BE3464">
              <w:rPr>
                <w:color w:val="000000"/>
                <w:sz w:val="20"/>
                <w:szCs w:val="20"/>
              </w:rPr>
              <w:t xml:space="preserve">NW Forensic Institute </w:t>
            </w:r>
          </w:p>
        </w:tc>
        <w:tc>
          <w:tcPr>
            <w:tcW w:w="1011" w:type="dxa"/>
            <w:vAlign w:val="bottom"/>
          </w:tcPr>
          <w:p w14:paraId="77F546C5" w14:textId="198E7210" w:rsidR="009C0AD7" w:rsidRPr="00BE3464" w:rsidRDefault="009C0AD7" w:rsidP="009C0AD7">
            <w:pPr>
              <w:jc w:val="center"/>
              <w:rPr>
                <w:sz w:val="20"/>
                <w:szCs w:val="20"/>
              </w:rPr>
            </w:pPr>
            <w:r w:rsidRPr="00BE3464">
              <w:rPr>
                <w:color w:val="000000"/>
                <w:sz w:val="20"/>
                <w:szCs w:val="20"/>
              </w:rPr>
              <w:t> </w:t>
            </w:r>
          </w:p>
        </w:tc>
      </w:tr>
      <w:tr w:rsidR="000F1D99" w:rsidRPr="00BE3464" w14:paraId="5E9C2031" w14:textId="77777777" w:rsidTr="000E31EF">
        <w:tc>
          <w:tcPr>
            <w:tcW w:w="4405" w:type="dxa"/>
            <w:vAlign w:val="bottom"/>
          </w:tcPr>
          <w:p w14:paraId="1875067C" w14:textId="24AE1198" w:rsidR="009C0AD7" w:rsidRPr="00BE3464" w:rsidRDefault="009C0AD7" w:rsidP="009C0AD7">
            <w:pPr>
              <w:rPr>
                <w:sz w:val="20"/>
                <w:szCs w:val="20"/>
              </w:rPr>
            </w:pPr>
            <w:r w:rsidRPr="00BE3464">
              <w:rPr>
                <w:color w:val="000000"/>
                <w:sz w:val="20"/>
                <w:szCs w:val="20"/>
              </w:rPr>
              <w:t xml:space="preserve">Nathan Vasquez </w:t>
            </w:r>
          </w:p>
        </w:tc>
        <w:tc>
          <w:tcPr>
            <w:tcW w:w="5374" w:type="dxa"/>
            <w:vAlign w:val="bottom"/>
          </w:tcPr>
          <w:p w14:paraId="5C867672" w14:textId="042A851E" w:rsidR="009C0AD7" w:rsidRPr="00BE3464" w:rsidRDefault="009C0AD7" w:rsidP="009C0AD7">
            <w:pPr>
              <w:rPr>
                <w:sz w:val="20"/>
                <w:szCs w:val="20"/>
              </w:rPr>
            </w:pPr>
            <w:r w:rsidRPr="00BE3464">
              <w:rPr>
                <w:color w:val="000000"/>
                <w:sz w:val="20"/>
                <w:szCs w:val="20"/>
              </w:rPr>
              <w:t xml:space="preserve">Multnomah County DA </w:t>
            </w:r>
          </w:p>
        </w:tc>
        <w:tc>
          <w:tcPr>
            <w:tcW w:w="1011" w:type="dxa"/>
            <w:vAlign w:val="bottom"/>
          </w:tcPr>
          <w:p w14:paraId="2D7AE47B" w14:textId="0A46AFD9" w:rsidR="009C0AD7" w:rsidRPr="00BE3464" w:rsidRDefault="009C0AD7" w:rsidP="009C0AD7">
            <w:pPr>
              <w:jc w:val="center"/>
              <w:rPr>
                <w:sz w:val="20"/>
                <w:szCs w:val="20"/>
              </w:rPr>
            </w:pPr>
          </w:p>
        </w:tc>
      </w:tr>
      <w:tr w:rsidR="000F1D99" w:rsidRPr="00BE3464" w14:paraId="55CABB2D" w14:textId="77777777" w:rsidTr="000E31EF">
        <w:tc>
          <w:tcPr>
            <w:tcW w:w="4405" w:type="dxa"/>
            <w:vAlign w:val="bottom"/>
          </w:tcPr>
          <w:p w14:paraId="268BEC04" w14:textId="3953A9DB" w:rsidR="009C0AD7" w:rsidRPr="00BE3464" w:rsidRDefault="009C0AD7" w:rsidP="009C0AD7">
            <w:pPr>
              <w:rPr>
                <w:sz w:val="20"/>
                <w:szCs w:val="20"/>
              </w:rPr>
            </w:pPr>
            <w:r w:rsidRPr="00BE3464">
              <w:rPr>
                <w:color w:val="000000"/>
                <w:sz w:val="20"/>
                <w:szCs w:val="20"/>
              </w:rPr>
              <w:t>Iris Sexton</w:t>
            </w:r>
          </w:p>
        </w:tc>
        <w:tc>
          <w:tcPr>
            <w:tcW w:w="5374" w:type="dxa"/>
            <w:vAlign w:val="bottom"/>
          </w:tcPr>
          <w:p w14:paraId="60EA24BA" w14:textId="6E41810D" w:rsidR="009C0AD7" w:rsidRPr="00BE3464" w:rsidRDefault="009C0AD7" w:rsidP="009C0AD7">
            <w:pPr>
              <w:rPr>
                <w:sz w:val="20"/>
                <w:szCs w:val="20"/>
              </w:rPr>
            </w:pPr>
            <w:r w:rsidRPr="00BE3464">
              <w:rPr>
                <w:color w:val="000000"/>
                <w:sz w:val="20"/>
                <w:szCs w:val="20"/>
              </w:rPr>
              <w:t xml:space="preserve">New Narrative </w:t>
            </w:r>
          </w:p>
        </w:tc>
        <w:tc>
          <w:tcPr>
            <w:tcW w:w="1011" w:type="dxa"/>
            <w:vAlign w:val="bottom"/>
          </w:tcPr>
          <w:p w14:paraId="118FD428" w14:textId="54D4DA5E" w:rsidR="009C0AD7" w:rsidRPr="00BE3464" w:rsidRDefault="009C0AD7" w:rsidP="009C0AD7">
            <w:pPr>
              <w:jc w:val="center"/>
              <w:rPr>
                <w:sz w:val="20"/>
                <w:szCs w:val="20"/>
              </w:rPr>
            </w:pPr>
            <w:r w:rsidRPr="00BE3464">
              <w:rPr>
                <w:color w:val="000000"/>
                <w:sz w:val="20"/>
                <w:szCs w:val="20"/>
              </w:rPr>
              <w:t> </w:t>
            </w:r>
            <w:r w:rsidR="004B3A3F" w:rsidRPr="00BE3464">
              <w:rPr>
                <w:color w:val="000000"/>
                <w:sz w:val="20"/>
                <w:szCs w:val="20"/>
              </w:rPr>
              <w:t>X</w:t>
            </w:r>
          </w:p>
        </w:tc>
      </w:tr>
      <w:tr w:rsidR="000F1D99" w:rsidRPr="00BE3464" w14:paraId="74A7C0CA" w14:textId="77777777" w:rsidTr="000E31EF">
        <w:tc>
          <w:tcPr>
            <w:tcW w:w="4405" w:type="dxa"/>
            <w:vAlign w:val="bottom"/>
          </w:tcPr>
          <w:p w14:paraId="5D7B9379" w14:textId="1C315145" w:rsidR="009C0AD7" w:rsidRPr="00BE3464" w:rsidRDefault="009C0AD7" w:rsidP="009C0AD7">
            <w:pPr>
              <w:rPr>
                <w:sz w:val="20"/>
                <w:szCs w:val="20"/>
              </w:rPr>
            </w:pPr>
            <w:r w:rsidRPr="00BE3464">
              <w:rPr>
                <w:color w:val="000000"/>
                <w:sz w:val="20"/>
                <w:szCs w:val="20"/>
              </w:rPr>
              <w:t xml:space="preserve">Paige Clarkson </w:t>
            </w:r>
          </w:p>
        </w:tc>
        <w:tc>
          <w:tcPr>
            <w:tcW w:w="5374" w:type="dxa"/>
            <w:vAlign w:val="bottom"/>
          </w:tcPr>
          <w:p w14:paraId="68D578E6" w14:textId="6200AF8E" w:rsidR="009C0AD7" w:rsidRPr="00BE3464" w:rsidRDefault="009C0AD7" w:rsidP="009C0AD7">
            <w:pPr>
              <w:rPr>
                <w:sz w:val="20"/>
                <w:szCs w:val="20"/>
              </w:rPr>
            </w:pPr>
            <w:r w:rsidRPr="00BE3464">
              <w:rPr>
                <w:color w:val="000000"/>
                <w:sz w:val="20"/>
                <w:szCs w:val="20"/>
              </w:rPr>
              <w:t xml:space="preserve">Marion County DA </w:t>
            </w:r>
          </w:p>
        </w:tc>
        <w:tc>
          <w:tcPr>
            <w:tcW w:w="1011" w:type="dxa"/>
            <w:vAlign w:val="bottom"/>
          </w:tcPr>
          <w:p w14:paraId="608BF7A1" w14:textId="4EAB32CB" w:rsidR="009C0AD7" w:rsidRPr="00BE3464" w:rsidRDefault="009C0AD7" w:rsidP="009C0AD7">
            <w:pPr>
              <w:jc w:val="center"/>
              <w:rPr>
                <w:sz w:val="20"/>
                <w:szCs w:val="20"/>
              </w:rPr>
            </w:pPr>
            <w:r w:rsidRPr="00BE3464">
              <w:rPr>
                <w:color w:val="000000"/>
                <w:sz w:val="20"/>
                <w:szCs w:val="20"/>
              </w:rPr>
              <w:t> </w:t>
            </w:r>
          </w:p>
        </w:tc>
      </w:tr>
      <w:tr w:rsidR="000F1D99" w:rsidRPr="00BE3464" w14:paraId="701B459F" w14:textId="77777777" w:rsidTr="000E31EF">
        <w:tc>
          <w:tcPr>
            <w:tcW w:w="4405" w:type="dxa"/>
            <w:vAlign w:val="bottom"/>
          </w:tcPr>
          <w:p w14:paraId="629BF566" w14:textId="5881E12B" w:rsidR="009C0AD7" w:rsidRPr="00BE3464" w:rsidRDefault="009C0AD7" w:rsidP="009C0AD7">
            <w:pPr>
              <w:rPr>
                <w:sz w:val="20"/>
                <w:szCs w:val="20"/>
              </w:rPr>
            </w:pPr>
            <w:r w:rsidRPr="00BE3464">
              <w:rPr>
                <w:color w:val="000000"/>
                <w:sz w:val="20"/>
                <w:szCs w:val="20"/>
              </w:rPr>
              <w:t>Reid Kajikawa</w:t>
            </w:r>
          </w:p>
        </w:tc>
        <w:tc>
          <w:tcPr>
            <w:tcW w:w="5374" w:type="dxa"/>
            <w:vAlign w:val="bottom"/>
          </w:tcPr>
          <w:p w14:paraId="1422392D" w14:textId="4F5BC0B6" w:rsidR="009C0AD7" w:rsidRPr="00BE3464" w:rsidRDefault="004C7571" w:rsidP="009C0AD7">
            <w:pPr>
              <w:rPr>
                <w:sz w:val="20"/>
                <w:szCs w:val="20"/>
              </w:rPr>
            </w:pPr>
            <w:r w:rsidRPr="00BE3464">
              <w:rPr>
                <w:color w:val="000000"/>
                <w:sz w:val="20"/>
                <w:szCs w:val="20"/>
              </w:rPr>
              <w:t>Public Defender Services of Lane County</w:t>
            </w:r>
          </w:p>
        </w:tc>
        <w:tc>
          <w:tcPr>
            <w:tcW w:w="1011" w:type="dxa"/>
            <w:vAlign w:val="bottom"/>
          </w:tcPr>
          <w:p w14:paraId="7FF83522" w14:textId="18C87116" w:rsidR="009C0AD7" w:rsidRPr="00BE3464" w:rsidRDefault="009C0AD7" w:rsidP="009C0AD7">
            <w:pPr>
              <w:jc w:val="center"/>
              <w:rPr>
                <w:sz w:val="20"/>
                <w:szCs w:val="20"/>
              </w:rPr>
            </w:pPr>
            <w:r w:rsidRPr="00BE3464">
              <w:rPr>
                <w:color w:val="000000"/>
                <w:sz w:val="20"/>
                <w:szCs w:val="20"/>
              </w:rPr>
              <w:t> </w:t>
            </w:r>
          </w:p>
        </w:tc>
      </w:tr>
      <w:tr w:rsidR="000F1D99" w:rsidRPr="00BE3464" w14:paraId="7EE37F91" w14:textId="77777777" w:rsidTr="000E31EF">
        <w:tc>
          <w:tcPr>
            <w:tcW w:w="4405" w:type="dxa"/>
            <w:vAlign w:val="bottom"/>
          </w:tcPr>
          <w:p w14:paraId="614AD0BB" w14:textId="0E482951" w:rsidR="009C0AD7" w:rsidRPr="00BE3464" w:rsidRDefault="009C0AD7" w:rsidP="009C0AD7">
            <w:pPr>
              <w:rPr>
                <w:sz w:val="20"/>
                <w:szCs w:val="20"/>
              </w:rPr>
            </w:pPr>
            <w:r w:rsidRPr="00BE3464">
              <w:rPr>
                <w:color w:val="000000"/>
                <w:sz w:val="20"/>
                <w:szCs w:val="20"/>
              </w:rPr>
              <w:t xml:space="preserve">Sharmalee Nadarajah </w:t>
            </w:r>
          </w:p>
        </w:tc>
        <w:tc>
          <w:tcPr>
            <w:tcW w:w="5374" w:type="dxa"/>
            <w:vAlign w:val="bottom"/>
          </w:tcPr>
          <w:p w14:paraId="0E368C66" w14:textId="0DFCF610" w:rsidR="009C0AD7" w:rsidRPr="00BE3464" w:rsidRDefault="009C0AD7" w:rsidP="009C0AD7">
            <w:pPr>
              <w:rPr>
                <w:sz w:val="20"/>
                <w:szCs w:val="20"/>
              </w:rPr>
            </w:pPr>
            <w:r w:rsidRPr="00BE3464">
              <w:rPr>
                <w:color w:val="000000"/>
                <w:sz w:val="20"/>
                <w:szCs w:val="20"/>
              </w:rPr>
              <w:t xml:space="preserve">OHA </w:t>
            </w:r>
          </w:p>
        </w:tc>
        <w:tc>
          <w:tcPr>
            <w:tcW w:w="1011" w:type="dxa"/>
            <w:vAlign w:val="bottom"/>
          </w:tcPr>
          <w:p w14:paraId="5DB4DF33" w14:textId="04CA2D61" w:rsidR="009C0AD7" w:rsidRPr="00BE3464" w:rsidRDefault="009C0AD7" w:rsidP="009C0AD7">
            <w:pPr>
              <w:jc w:val="center"/>
              <w:rPr>
                <w:sz w:val="20"/>
                <w:szCs w:val="20"/>
              </w:rPr>
            </w:pPr>
          </w:p>
        </w:tc>
      </w:tr>
      <w:tr w:rsidR="000F1D99" w:rsidRPr="00BE3464" w14:paraId="29594150" w14:textId="77777777" w:rsidTr="000E31EF">
        <w:tc>
          <w:tcPr>
            <w:tcW w:w="4405" w:type="dxa"/>
            <w:vAlign w:val="bottom"/>
          </w:tcPr>
          <w:p w14:paraId="78A1C7EC" w14:textId="3A89B4B0" w:rsidR="009C0AD7" w:rsidRPr="00BE3464" w:rsidRDefault="009C0AD7" w:rsidP="009C0AD7">
            <w:pPr>
              <w:rPr>
                <w:sz w:val="20"/>
                <w:szCs w:val="20"/>
              </w:rPr>
            </w:pPr>
            <w:r w:rsidRPr="00BE3464">
              <w:rPr>
                <w:color w:val="000000"/>
                <w:sz w:val="20"/>
                <w:szCs w:val="20"/>
              </w:rPr>
              <w:t xml:space="preserve">Steph Baer </w:t>
            </w:r>
          </w:p>
        </w:tc>
        <w:tc>
          <w:tcPr>
            <w:tcW w:w="5374" w:type="dxa"/>
            <w:vAlign w:val="bottom"/>
          </w:tcPr>
          <w:p w14:paraId="717F9873" w14:textId="0C403B89" w:rsidR="009C0AD7" w:rsidRPr="00BE3464" w:rsidRDefault="009C0AD7" w:rsidP="009C0AD7">
            <w:pPr>
              <w:rPr>
                <w:sz w:val="20"/>
                <w:szCs w:val="20"/>
              </w:rPr>
            </w:pPr>
            <w:r w:rsidRPr="00BE3464">
              <w:rPr>
                <w:color w:val="000000"/>
                <w:sz w:val="20"/>
                <w:szCs w:val="20"/>
              </w:rPr>
              <w:t>OHA Behavioral Health</w:t>
            </w:r>
          </w:p>
        </w:tc>
        <w:tc>
          <w:tcPr>
            <w:tcW w:w="1011" w:type="dxa"/>
            <w:vAlign w:val="bottom"/>
          </w:tcPr>
          <w:p w14:paraId="47086D63" w14:textId="5B3BA4EC" w:rsidR="009C0AD7" w:rsidRPr="00BE3464" w:rsidRDefault="009C0AD7" w:rsidP="009C0AD7">
            <w:pPr>
              <w:jc w:val="center"/>
              <w:rPr>
                <w:sz w:val="20"/>
                <w:szCs w:val="20"/>
              </w:rPr>
            </w:pPr>
            <w:r w:rsidRPr="00BE3464">
              <w:rPr>
                <w:color w:val="000000"/>
                <w:sz w:val="20"/>
                <w:szCs w:val="20"/>
              </w:rPr>
              <w:t> </w:t>
            </w:r>
            <w:r w:rsidR="004B3A3F" w:rsidRPr="00BE3464">
              <w:rPr>
                <w:color w:val="000000"/>
                <w:sz w:val="20"/>
                <w:szCs w:val="20"/>
              </w:rPr>
              <w:t>X</w:t>
            </w:r>
          </w:p>
        </w:tc>
      </w:tr>
      <w:tr w:rsidR="000F1D99" w:rsidRPr="00BE3464" w14:paraId="086F7FFB" w14:textId="77777777" w:rsidTr="000E31EF">
        <w:tc>
          <w:tcPr>
            <w:tcW w:w="4405" w:type="dxa"/>
            <w:vAlign w:val="bottom"/>
          </w:tcPr>
          <w:p w14:paraId="602B6570" w14:textId="37F0EC46" w:rsidR="009C0AD7" w:rsidRPr="00BE3464" w:rsidRDefault="009C0AD7" w:rsidP="009C0AD7">
            <w:pPr>
              <w:rPr>
                <w:sz w:val="20"/>
                <w:szCs w:val="20"/>
              </w:rPr>
            </w:pPr>
            <w:r w:rsidRPr="00BE3464">
              <w:rPr>
                <w:color w:val="000000"/>
                <w:sz w:val="20"/>
                <w:szCs w:val="20"/>
              </w:rPr>
              <w:lastRenderedPageBreak/>
              <w:t>Terry Schroeder</w:t>
            </w:r>
          </w:p>
        </w:tc>
        <w:tc>
          <w:tcPr>
            <w:tcW w:w="5374" w:type="dxa"/>
            <w:vAlign w:val="bottom"/>
          </w:tcPr>
          <w:p w14:paraId="7BDF6F8C" w14:textId="30A5070F" w:rsidR="009C0AD7" w:rsidRPr="00BE3464" w:rsidRDefault="009C0AD7" w:rsidP="009C0AD7">
            <w:pPr>
              <w:rPr>
                <w:sz w:val="20"/>
                <w:szCs w:val="20"/>
              </w:rPr>
            </w:pPr>
            <w:r w:rsidRPr="00BE3464">
              <w:rPr>
                <w:color w:val="000000"/>
                <w:sz w:val="20"/>
                <w:szCs w:val="20"/>
              </w:rPr>
              <w:t>OHA Behavioral Health</w:t>
            </w:r>
          </w:p>
        </w:tc>
        <w:tc>
          <w:tcPr>
            <w:tcW w:w="1011" w:type="dxa"/>
            <w:vAlign w:val="bottom"/>
          </w:tcPr>
          <w:p w14:paraId="45C74359" w14:textId="2BDCDD96" w:rsidR="009C0AD7" w:rsidRPr="00BE3464" w:rsidRDefault="009C0AD7" w:rsidP="009C0AD7">
            <w:pPr>
              <w:jc w:val="center"/>
              <w:rPr>
                <w:sz w:val="20"/>
                <w:szCs w:val="20"/>
              </w:rPr>
            </w:pPr>
            <w:r w:rsidRPr="00BE3464">
              <w:rPr>
                <w:color w:val="000000"/>
                <w:sz w:val="20"/>
                <w:szCs w:val="20"/>
              </w:rPr>
              <w:t> </w:t>
            </w:r>
          </w:p>
        </w:tc>
      </w:tr>
      <w:tr w:rsidR="000F1D99" w:rsidRPr="00BE3464" w14:paraId="71FBCED8" w14:textId="77777777" w:rsidTr="000E31EF">
        <w:tc>
          <w:tcPr>
            <w:tcW w:w="4405" w:type="dxa"/>
            <w:vAlign w:val="bottom"/>
          </w:tcPr>
          <w:p w14:paraId="6A21D309" w14:textId="460C84D1" w:rsidR="009C0AD7" w:rsidRPr="00BE3464" w:rsidRDefault="009C0AD7" w:rsidP="009C0AD7">
            <w:pPr>
              <w:rPr>
                <w:sz w:val="20"/>
                <w:szCs w:val="20"/>
              </w:rPr>
            </w:pPr>
            <w:r w:rsidRPr="00BE3464">
              <w:rPr>
                <w:color w:val="000000"/>
                <w:sz w:val="20"/>
                <w:szCs w:val="20"/>
              </w:rPr>
              <w:t xml:space="preserve">Uma Sankaram </w:t>
            </w:r>
          </w:p>
        </w:tc>
        <w:tc>
          <w:tcPr>
            <w:tcW w:w="5374" w:type="dxa"/>
            <w:vAlign w:val="bottom"/>
          </w:tcPr>
          <w:p w14:paraId="2EA9FF20" w14:textId="50F12824" w:rsidR="009C0AD7" w:rsidRPr="00BE3464" w:rsidRDefault="009C0AD7" w:rsidP="009C0AD7">
            <w:pPr>
              <w:rPr>
                <w:sz w:val="20"/>
                <w:szCs w:val="20"/>
              </w:rPr>
            </w:pPr>
            <w:r w:rsidRPr="00BE3464">
              <w:rPr>
                <w:color w:val="000000"/>
                <w:sz w:val="20"/>
                <w:szCs w:val="20"/>
              </w:rPr>
              <w:t xml:space="preserve">Legal Affairs </w:t>
            </w:r>
            <w:r w:rsidR="00873AE9" w:rsidRPr="00BE3464">
              <w:rPr>
                <w:color w:val="000000"/>
                <w:sz w:val="20"/>
                <w:szCs w:val="20"/>
              </w:rPr>
              <w:t>–</w:t>
            </w:r>
            <w:r w:rsidRPr="00BE3464">
              <w:rPr>
                <w:color w:val="000000"/>
                <w:sz w:val="20"/>
                <w:szCs w:val="20"/>
              </w:rPr>
              <w:t xml:space="preserve"> OSHSC</w:t>
            </w:r>
          </w:p>
        </w:tc>
        <w:tc>
          <w:tcPr>
            <w:tcW w:w="1011" w:type="dxa"/>
            <w:vAlign w:val="bottom"/>
          </w:tcPr>
          <w:p w14:paraId="4AAD35F5" w14:textId="1A32E4E7" w:rsidR="009C0AD7" w:rsidRPr="00BE3464" w:rsidRDefault="009C0AD7" w:rsidP="009C0AD7">
            <w:pPr>
              <w:jc w:val="center"/>
              <w:rPr>
                <w:sz w:val="20"/>
                <w:szCs w:val="20"/>
              </w:rPr>
            </w:pPr>
          </w:p>
        </w:tc>
      </w:tr>
      <w:tr w:rsidR="000F1D99" w:rsidRPr="00BE3464" w14:paraId="43B38D04" w14:textId="77777777" w:rsidTr="000E31EF">
        <w:tc>
          <w:tcPr>
            <w:tcW w:w="4405" w:type="dxa"/>
            <w:vAlign w:val="bottom"/>
          </w:tcPr>
          <w:p w14:paraId="3AC3B510" w14:textId="44BC72E6" w:rsidR="009C0AD7" w:rsidRPr="00BE3464" w:rsidRDefault="009C0AD7" w:rsidP="009C0AD7">
            <w:pPr>
              <w:rPr>
                <w:sz w:val="20"/>
                <w:szCs w:val="20"/>
              </w:rPr>
            </w:pPr>
            <w:r w:rsidRPr="00BE3464">
              <w:rPr>
                <w:color w:val="000000"/>
                <w:sz w:val="20"/>
                <w:szCs w:val="20"/>
              </w:rPr>
              <w:t xml:space="preserve">Varma Penumetcha </w:t>
            </w:r>
          </w:p>
        </w:tc>
        <w:tc>
          <w:tcPr>
            <w:tcW w:w="5374" w:type="dxa"/>
            <w:vAlign w:val="bottom"/>
          </w:tcPr>
          <w:p w14:paraId="01060620" w14:textId="1738B21E" w:rsidR="009C0AD7" w:rsidRPr="00BE3464" w:rsidRDefault="009C0AD7" w:rsidP="009C0AD7">
            <w:pPr>
              <w:rPr>
                <w:sz w:val="20"/>
                <w:szCs w:val="20"/>
              </w:rPr>
            </w:pPr>
            <w:r w:rsidRPr="00BE3464">
              <w:rPr>
                <w:color w:val="000000"/>
                <w:sz w:val="20"/>
                <w:szCs w:val="20"/>
              </w:rPr>
              <w:t xml:space="preserve">OHA Behavioral Health </w:t>
            </w:r>
          </w:p>
        </w:tc>
        <w:tc>
          <w:tcPr>
            <w:tcW w:w="1011" w:type="dxa"/>
            <w:vAlign w:val="bottom"/>
          </w:tcPr>
          <w:p w14:paraId="5F25AEE6" w14:textId="16CEA501" w:rsidR="009C0AD7" w:rsidRPr="00BE3464" w:rsidRDefault="009C0AD7" w:rsidP="009C0AD7">
            <w:pPr>
              <w:jc w:val="center"/>
              <w:rPr>
                <w:sz w:val="20"/>
                <w:szCs w:val="20"/>
              </w:rPr>
            </w:pPr>
            <w:r w:rsidRPr="00BE3464">
              <w:rPr>
                <w:color w:val="000000"/>
                <w:sz w:val="20"/>
                <w:szCs w:val="20"/>
              </w:rPr>
              <w:t>X</w:t>
            </w:r>
          </w:p>
        </w:tc>
      </w:tr>
      <w:tr w:rsidR="000F1D99" w:rsidRPr="00BE3464" w14:paraId="0261F3AA" w14:textId="77777777" w:rsidTr="000E31EF">
        <w:tc>
          <w:tcPr>
            <w:tcW w:w="4405" w:type="dxa"/>
            <w:vAlign w:val="bottom"/>
          </w:tcPr>
          <w:p w14:paraId="67D758AE" w14:textId="251EDE23" w:rsidR="009C0AD7" w:rsidRPr="00BE3464" w:rsidRDefault="009C0AD7" w:rsidP="009C0AD7">
            <w:pPr>
              <w:rPr>
                <w:sz w:val="20"/>
                <w:szCs w:val="20"/>
              </w:rPr>
            </w:pPr>
            <w:r w:rsidRPr="00BE3464">
              <w:rPr>
                <w:color w:val="000000"/>
                <w:sz w:val="20"/>
                <w:szCs w:val="20"/>
              </w:rPr>
              <w:t>Raven Mosley</w:t>
            </w:r>
          </w:p>
        </w:tc>
        <w:tc>
          <w:tcPr>
            <w:tcW w:w="5374" w:type="dxa"/>
            <w:vAlign w:val="bottom"/>
          </w:tcPr>
          <w:p w14:paraId="4B7206EB" w14:textId="2C3CA0CF" w:rsidR="009C0AD7" w:rsidRPr="00BE3464" w:rsidRDefault="009C0AD7" w:rsidP="009C0AD7">
            <w:pPr>
              <w:rPr>
                <w:sz w:val="20"/>
                <w:szCs w:val="20"/>
              </w:rPr>
            </w:pPr>
            <w:r w:rsidRPr="00BE3464">
              <w:rPr>
                <w:color w:val="000000"/>
                <w:sz w:val="20"/>
                <w:szCs w:val="20"/>
              </w:rPr>
              <w:t>Jackson House</w:t>
            </w:r>
          </w:p>
        </w:tc>
        <w:tc>
          <w:tcPr>
            <w:tcW w:w="1011" w:type="dxa"/>
            <w:vAlign w:val="bottom"/>
          </w:tcPr>
          <w:p w14:paraId="70803AF0" w14:textId="2D842C5D" w:rsidR="009C0AD7" w:rsidRPr="00BE3464" w:rsidRDefault="009C0AD7" w:rsidP="009C0AD7">
            <w:pPr>
              <w:jc w:val="center"/>
              <w:rPr>
                <w:sz w:val="20"/>
                <w:szCs w:val="20"/>
              </w:rPr>
            </w:pPr>
            <w:r w:rsidRPr="00BE3464">
              <w:rPr>
                <w:color w:val="000000"/>
                <w:sz w:val="20"/>
                <w:szCs w:val="20"/>
              </w:rPr>
              <w:t> </w:t>
            </w:r>
            <w:r w:rsidR="004B3A3F" w:rsidRPr="00BE3464">
              <w:rPr>
                <w:color w:val="000000"/>
                <w:sz w:val="20"/>
                <w:szCs w:val="20"/>
              </w:rPr>
              <w:t>X</w:t>
            </w:r>
          </w:p>
        </w:tc>
      </w:tr>
      <w:tr w:rsidR="00ED0BAE" w:rsidRPr="00BE3464" w14:paraId="3630A887" w14:textId="77777777" w:rsidTr="004E7611">
        <w:tc>
          <w:tcPr>
            <w:tcW w:w="10790" w:type="dxa"/>
            <w:gridSpan w:val="3"/>
            <w:shd w:val="clear" w:color="auto" w:fill="C1E4F5" w:themeFill="accent1" w:themeFillTint="33"/>
          </w:tcPr>
          <w:p w14:paraId="170BAE76" w14:textId="0628FFAD" w:rsidR="00ED0BAE" w:rsidRPr="00BE3464" w:rsidRDefault="004E7611" w:rsidP="00D02169">
            <w:pPr>
              <w:rPr>
                <w:b/>
                <w:bCs/>
                <w:sz w:val="20"/>
                <w:szCs w:val="20"/>
              </w:rPr>
            </w:pPr>
            <w:r w:rsidRPr="00BE3464">
              <w:rPr>
                <w:b/>
                <w:bCs/>
                <w:sz w:val="20"/>
                <w:szCs w:val="20"/>
              </w:rPr>
              <w:t>Rules Coordinators</w:t>
            </w:r>
          </w:p>
        </w:tc>
      </w:tr>
      <w:tr w:rsidR="000F1D99" w:rsidRPr="00BE3464" w14:paraId="642F7BC1" w14:textId="77777777" w:rsidTr="007120F5">
        <w:tc>
          <w:tcPr>
            <w:tcW w:w="4405" w:type="dxa"/>
          </w:tcPr>
          <w:p w14:paraId="7A01CE3E" w14:textId="157045BB" w:rsidR="00EF2E3A" w:rsidRPr="00BE3464" w:rsidRDefault="008A0AB4" w:rsidP="00D02169">
            <w:pPr>
              <w:rPr>
                <w:sz w:val="20"/>
                <w:szCs w:val="20"/>
              </w:rPr>
            </w:pPr>
            <w:r w:rsidRPr="00BE3464">
              <w:rPr>
                <w:sz w:val="20"/>
                <w:szCs w:val="20"/>
              </w:rPr>
              <w:t>Alysson Bocciolatt</w:t>
            </w:r>
          </w:p>
        </w:tc>
        <w:tc>
          <w:tcPr>
            <w:tcW w:w="5374" w:type="dxa"/>
          </w:tcPr>
          <w:p w14:paraId="32521244" w14:textId="0C736EB3" w:rsidR="00EF2E3A" w:rsidRPr="00BE3464" w:rsidRDefault="004E7611" w:rsidP="00D02169">
            <w:pPr>
              <w:rPr>
                <w:sz w:val="20"/>
                <w:szCs w:val="20"/>
              </w:rPr>
            </w:pPr>
            <w:r w:rsidRPr="00BE3464">
              <w:rPr>
                <w:sz w:val="20"/>
                <w:szCs w:val="20"/>
              </w:rPr>
              <w:t>PSRB</w:t>
            </w:r>
          </w:p>
        </w:tc>
        <w:tc>
          <w:tcPr>
            <w:tcW w:w="1011" w:type="dxa"/>
          </w:tcPr>
          <w:p w14:paraId="11938A5B" w14:textId="4BA9D9FB" w:rsidR="00EF2E3A" w:rsidRPr="00BE3464" w:rsidRDefault="008A0AB4" w:rsidP="008A0AB4">
            <w:pPr>
              <w:jc w:val="center"/>
              <w:rPr>
                <w:sz w:val="20"/>
                <w:szCs w:val="20"/>
              </w:rPr>
            </w:pPr>
            <w:r w:rsidRPr="00BE3464">
              <w:rPr>
                <w:sz w:val="20"/>
                <w:szCs w:val="20"/>
              </w:rPr>
              <w:t>X</w:t>
            </w:r>
          </w:p>
        </w:tc>
      </w:tr>
      <w:tr w:rsidR="000F1D99" w:rsidRPr="00BE3464" w14:paraId="09296357" w14:textId="77777777" w:rsidTr="007120F5">
        <w:tc>
          <w:tcPr>
            <w:tcW w:w="4405" w:type="dxa"/>
          </w:tcPr>
          <w:p w14:paraId="4F390269" w14:textId="262F301B" w:rsidR="00EF2E3A" w:rsidRPr="00BE3464" w:rsidRDefault="008A0AB4" w:rsidP="00D02169">
            <w:pPr>
              <w:rPr>
                <w:sz w:val="20"/>
                <w:szCs w:val="20"/>
              </w:rPr>
            </w:pPr>
            <w:r w:rsidRPr="00BE3464">
              <w:rPr>
                <w:sz w:val="20"/>
                <w:szCs w:val="20"/>
              </w:rPr>
              <w:t>Alison Bort</w:t>
            </w:r>
          </w:p>
        </w:tc>
        <w:tc>
          <w:tcPr>
            <w:tcW w:w="5374" w:type="dxa"/>
          </w:tcPr>
          <w:p w14:paraId="591E64D0" w14:textId="243A79B5" w:rsidR="00EF2E3A" w:rsidRPr="00BE3464" w:rsidRDefault="004E7611" w:rsidP="00D02169">
            <w:pPr>
              <w:rPr>
                <w:sz w:val="20"/>
                <w:szCs w:val="20"/>
              </w:rPr>
            </w:pPr>
            <w:r w:rsidRPr="00BE3464">
              <w:rPr>
                <w:sz w:val="20"/>
                <w:szCs w:val="20"/>
              </w:rPr>
              <w:t>PSRB</w:t>
            </w:r>
          </w:p>
        </w:tc>
        <w:tc>
          <w:tcPr>
            <w:tcW w:w="1011" w:type="dxa"/>
          </w:tcPr>
          <w:p w14:paraId="7E0E6443" w14:textId="6A9991FD" w:rsidR="00EF2E3A" w:rsidRPr="00BE3464" w:rsidRDefault="008A0AB4" w:rsidP="008A0AB4">
            <w:pPr>
              <w:jc w:val="center"/>
              <w:rPr>
                <w:sz w:val="20"/>
                <w:szCs w:val="20"/>
              </w:rPr>
            </w:pPr>
            <w:r w:rsidRPr="00BE3464">
              <w:rPr>
                <w:sz w:val="20"/>
                <w:szCs w:val="20"/>
              </w:rPr>
              <w:t>X</w:t>
            </w:r>
          </w:p>
        </w:tc>
      </w:tr>
      <w:tr w:rsidR="000F1D99" w:rsidRPr="00BE3464" w14:paraId="2601CF0B" w14:textId="77777777" w:rsidTr="007120F5">
        <w:tc>
          <w:tcPr>
            <w:tcW w:w="4405" w:type="dxa"/>
          </w:tcPr>
          <w:p w14:paraId="0A869300" w14:textId="39176A7B" w:rsidR="00EF2E3A" w:rsidRPr="00BE3464" w:rsidRDefault="008A0AB4" w:rsidP="00D02169">
            <w:pPr>
              <w:rPr>
                <w:sz w:val="20"/>
                <w:szCs w:val="20"/>
              </w:rPr>
            </w:pPr>
            <w:r w:rsidRPr="00BE3464">
              <w:rPr>
                <w:sz w:val="20"/>
                <w:szCs w:val="20"/>
              </w:rPr>
              <w:t>Katrina Elison</w:t>
            </w:r>
          </w:p>
        </w:tc>
        <w:tc>
          <w:tcPr>
            <w:tcW w:w="5374" w:type="dxa"/>
          </w:tcPr>
          <w:p w14:paraId="67C22111" w14:textId="725BE11A" w:rsidR="00EF2E3A" w:rsidRPr="00BE3464" w:rsidRDefault="004E7611" w:rsidP="00D02169">
            <w:pPr>
              <w:rPr>
                <w:sz w:val="20"/>
                <w:szCs w:val="20"/>
              </w:rPr>
            </w:pPr>
            <w:r w:rsidRPr="00BE3464">
              <w:rPr>
                <w:sz w:val="20"/>
                <w:szCs w:val="20"/>
              </w:rPr>
              <w:t>PSRB</w:t>
            </w:r>
          </w:p>
        </w:tc>
        <w:tc>
          <w:tcPr>
            <w:tcW w:w="1011" w:type="dxa"/>
          </w:tcPr>
          <w:p w14:paraId="1D7B809D" w14:textId="6EACFE9D" w:rsidR="00EF2E3A" w:rsidRPr="00BE3464" w:rsidRDefault="008A0AB4" w:rsidP="008A0AB4">
            <w:pPr>
              <w:jc w:val="center"/>
              <w:rPr>
                <w:sz w:val="20"/>
                <w:szCs w:val="20"/>
              </w:rPr>
            </w:pPr>
            <w:r w:rsidRPr="00BE3464">
              <w:rPr>
                <w:sz w:val="20"/>
                <w:szCs w:val="20"/>
              </w:rPr>
              <w:t>X</w:t>
            </w:r>
          </w:p>
        </w:tc>
      </w:tr>
    </w:tbl>
    <w:p w14:paraId="3D4679A6" w14:textId="77777777" w:rsidR="00DE09B4" w:rsidRPr="00BE3464" w:rsidRDefault="00DE09B4" w:rsidP="00740D32">
      <w:pPr>
        <w:spacing w:after="0"/>
        <w:rPr>
          <w:sz w:val="24"/>
          <w:szCs w:val="24"/>
        </w:rPr>
      </w:pPr>
    </w:p>
    <w:p w14:paraId="622BE2D9" w14:textId="7CED6C8C" w:rsidR="00D02169" w:rsidRPr="00BE3464" w:rsidRDefault="00131DB2" w:rsidP="00D02169">
      <w:pPr>
        <w:spacing w:after="0"/>
        <w:rPr>
          <w:b/>
          <w:bCs/>
          <w:sz w:val="24"/>
          <w:szCs w:val="24"/>
          <w:u w:val="single"/>
        </w:rPr>
      </w:pPr>
      <w:r w:rsidRPr="00BE3464">
        <w:rPr>
          <w:b/>
          <w:bCs/>
          <w:sz w:val="24"/>
          <w:szCs w:val="24"/>
          <w:u w:val="single"/>
        </w:rPr>
        <w:t>Welcome, Introductions, &amp; RAC Orientation</w:t>
      </w:r>
    </w:p>
    <w:p w14:paraId="2F5DB0A8" w14:textId="4F39DF66" w:rsidR="002F4129" w:rsidRPr="00BE3464" w:rsidRDefault="005B303B" w:rsidP="00D02169">
      <w:pPr>
        <w:spacing w:after="0"/>
        <w:rPr>
          <w:sz w:val="24"/>
          <w:szCs w:val="24"/>
        </w:rPr>
      </w:pPr>
      <w:r w:rsidRPr="00BE3464">
        <w:rPr>
          <w:sz w:val="24"/>
          <w:szCs w:val="24"/>
        </w:rPr>
        <w:t>Alysson and Alison welcomed</w:t>
      </w:r>
      <w:r w:rsidR="00B5791B" w:rsidRPr="00BE3464">
        <w:rPr>
          <w:sz w:val="24"/>
          <w:szCs w:val="24"/>
        </w:rPr>
        <w:t xml:space="preserve"> </w:t>
      </w:r>
      <w:r w:rsidR="0064158E" w:rsidRPr="00BE3464">
        <w:rPr>
          <w:sz w:val="24"/>
          <w:szCs w:val="24"/>
        </w:rPr>
        <w:t>RAC members</w:t>
      </w:r>
      <w:r w:rsidR="005B633A" w:rsidRPr="00BE3464">
        <w:rPr>
          <w:sz w:val="24"/>
          <w:szCs w:val="24"/>
        </w:rPr>
        <w:t xml:space="preserve">, and participants </w:t>
      </w:r>
      <w:r w:rsidR="0064158E" w:rsidRPr="00BE3464">
        <w:rPr>
          <w:sz w:val="24"/>
          <w:szCs w:val="24"/>
        </w:rPr>
        <w:t xml:space="preserve">and observers </w:t>
      </w:r>
      <w:r w:rsidR="00A314A4" w:rsidRPr="00BE3464">
        <w:rPr>
          <w:sz w:val="24"/>
          <w:szCs w:val="24"/>
        </w:rPr>
        <w:t xml:space="preserve">introduced themselves. </w:t>
      </w:r>
      <w:r w:rsidRPr="00BE3464">
        <w:rPr>
          <w:sz w:val="24"/>
          <w:szCs w:val="24"/>
        </w:rPr>
        <w:t>Alysson</w:t>
      </w:r>
      <w:r w:rsidR="00C601A3" w:rsidRPr="00BE3464">
        <w:rPr>
          <w:sz w:val="24"/>
          <w:szCs w:val="24"/>
        </w:rPr>
        <w:t xml:space="preserve"> opened</w:t>
      </w:r>
      <w:r w:rsidRPr="00BE3464">
        <w:rPr>
          <w:sz w:val="24"/>
          <w:szCs w:val="24"/>
        </w:rPr>
        <w:t xml:space="preserve"> the meeting</w:t>
      </w:r>
      <w:r w:rsidR="00C601A3" w:rsidRPr="00BE3464">
        <w:rPr>
          <w:sz w:val="24"/>
          <w:szCs w:val="24"/>
        </w:rPr>
        <w:t xml:space="preserve"> with an overview of the </w:t>
      </w:r>
      <w:r w:rsidR="00061CCE" w:rsidRPr="00BE3464">
        <w:rPr>
          <w:sz w:val="24"/>
          <w:szCs w:val="24"/>
        </w:rPr>
        <w:t xml:space="preserve">agenda and </w:t>
      </w:r>
      <w:r w:rsidR="005B633A" w:rsidRPr="00BE3464">
        <w:rPr>
          <w:sz w:val="24"/>
          <w:szCs w:val="24"/>
        </w:rPr>
        <w:t xml:space="preserve">RAC </w:t>
      </w:r>
      <w:r w:rsidR="00C601A3" w:rsidRPr="00BE3464">
        <w:rPr>
          <w:sz w:val="24"/>
          <w:szCs w:val="24"/>
        </w:rPr>
        <w:t>process, emphasizing the Oregon Legislature’s commitment to public involvement in policy development and the PSRB’s efforts to engage stakeholders through various avenues</w:t>
      </w:r>
      <w:r w:rsidR="00591CF4" w:rsidRPr="00BE3464">
        <w:rPr>
          <w:sz w:val="24"/>
          <w:szCs w:val="24"/>
        </w:rPr>
        <w:t>. Alysson</w:t>
      </w:r>
      <w:r w:rsidR="00C601A3" w:rsidRPr="00BE3464">
        <w:rPr>
          <w:sz w:val="24"/>
          <w:szCs w:val="24"/>
        </w:rPr>
        <w:t xml:space="preserve"> explained </w:t>
      </w:r>
      <w:r w:rsidR="00012346" w:rsidRPr="00BE3464">
        <w:rPr>
          <w:sz w:val="24"/>
          <w:szCs w:val="24"/>
        </w:rPr>
        <w:t>the purpose of t</w:t>
      </w:r>
      <w:r w:rsidR="00597B50" w:rsidRPr="00BE3464">
        <w:rPr>
          <w:sz w:val="24"/>
          <w:szCs w:val="24"/>
        </w:rPr>
        <w:t>he session (to review proposed language and gather feedback)</w:t>
      </w:r>
      <w:r w:rsidR="00610D72" w:rsidRPr="00BE3464">
        <w:rPr>
          <w:sz w:val="24"/>
          <w:szCs w:val="24"/>
        </w:rPr>
        <w:t xml:space="preserve"> and </w:t>
      </w:r>
      <w:r w:rsidR="00C601A3" w:rsidRPr="00BE3464">
        <w:rPr>
          <w:sz w:val="24"/>
          <w:szCs w:val="24"/>
        </w:rPr>
        <w:t>meeting procedures, including public observation rules</w:t>
      </w:r>
      <w:r w:rsidR="000306FD" w:rsidRPr="00BE3464">
        <w:rPr>
          <w:sz w:val="24"/>
          <w:szCs w:val="24"/>
        </w:rPr>
        <w:t>,</w:t>
      </w:r>
      <w:r w:rsidR="00962C77" w:rsidRPr="00BE3464">
        <w:rPr>
          <w:sz w:val="24"/>
          <w:szCs w:val="24"/>
        </w:rPr>
        <w:t xml:space="preserve"> and that the meeting was being recorded. </w:t>
      </w:r>
    </w:p>
    <w:p w14:paraId="6FA63995" w14:textId="5BEF783D" w:rsidR="007662FE" w:rsidRPr="00BE3464" w:rsidRDefault="007662FE" w:rsidP="00D02169">
      <w:pPr>
        <w:spacing w:after="0"/>
        <w:rPr>
          <w:sz w:val="24"/>
          <w:szCs w:val="24"/>
        </w:rPr>
      </w:pPr>
      <w:r w:rsidRPr="00BE3464">
        <w:rPr>
          <w:sz w:val="24"/>
          <w:szCs w:val="24"/>
        </w:rPr>
        <w:t xml:space="preserve">Link to Presentation: </w:t>
      </w:r>
      <w:hyperlink r:id="rId11" w:anchor="5%20-%20Presentation%20-%204.21.2026.pdf" w:tgtFrame="_blank" w:history="1">
        <w:r w:rsidR="00512FD8" w:rsidRPr="00BE3464">
          <w:rPr>
            <w:rStyle w:val="Hyperlink"/>
            <w:sz w:val="24"/>
            <w:szCs w:val="24"/>
          </w:rPr>
          <w:t>Civil Commitment RAC #5 Presentation</w:t>
        </w:r>
      </w:hyperlink>
    </w:p>
    <w:p w14:paraId="7CDFA7D0" w14:textId="77777777" w:rsidR="00082164" w:rsidRPr="00BE3464" w:rsidRDefault="00082164" w:rsidP="00D02169">
      <w:pPr>
        <w:spacing w:after="0"/>
        <w:rPr>
          <w:b/>
          <w:bCs/>
          <w:sz w:val="24"/>
          <w:szCs w:val="24"/>
          <w:u w:val="single"/>
        </w:rPr>
      </w:pPr>
    </w:p>
    <w:p w14:paraId="21310813" w14:textId="6583FF54" w:rsidR="00131DB2" w:rsidRPr="00BE3464" w:rsidRDefault="00131DB2" w:rsidP="00D02169">
      <w:pPr>
        <w:spacing w:after="0"/>
        <w:rPr>
          <w:b/>
          <w:bCs/>
          <w:sz w:val="24"/>
          <w:szCs w:val="24"/>
          <w:u w:val="single"/>
        </w:rPr>
      </w:pPr>
      <w:r w:rsidRPr="00BE3464">
        <w:rPr>
          <w:b/>
          <w:bCs/>
          <w:sz w:val="24"/>
          <w:szCs w:val="24"/>
          <w:u w:val="single"/>
        </w:rPr>
        <w:t>Review of RAC Scope &amp; Progress</w:t>
      </w:r>
    </w:p>
    <w:p w14:paraId="2698B0CC" w14:textId="36DBED0B" w:rsidR="00131DB2" w:rsidRPr="00BE3464" w:rsidRDefault="00780609" w:rsidP="00D02169">
      <w:pPr>
        <w:spacing w:after="0"/>
        <w:rPr>
          <w:sz w:val="24"/>
          <w:szCs w:val="24"/>
        </w:rPr>
      </w:pPr>
      <w:r w:rsidRPr="00BE3464">
        <w:rPr>
          <w:sz w:val="24"/>
          <w:szCs w:val="24"/>
        </w:rPr>
        <w:t xml:space="preserve">Alison presented </w:t>
      </w:r>
      <w:r w:rsidR="00C2343D" w:rsidRPr="00BE3464">
        <w:rPr>
          <w:sz w:val="24"/>
          <w:szCs w:val="24"/>
        </w:rPr>
        <w:t xml:space="preserve">a review of the work that this RAC completed in previous meetings, to contextualize the current rules draft and </w:t>
      </w:r>
      <w:r w:rsidR="00A05688" w:rsidRPr="00BE3464">
        <w:rPr>
          <w:sz w:val="24"/>
          <w:szCs w:val="24"/>
        </w:rPr>
        <w:t xml:space="preserve">inform new RAC members of the trajectory of rules development since 2024. </w:t>
      </w:r>
    </w:p>
    <w:p w14:paraId="3960D9BF" w14:textId="77777777" w:rsidR="00D0047F" w:rsidRPr="00BE3464" w:rsidRDefault="00D0047F" w:rsidP="00D02169">
      <w:pPr>
        <w:spacing w:after="0"/>
        <w:rPr>
          <w:sz w:val="24"/>
          <w:szCs w:val="24"/>
          <w:u w:val="single"/>
        </w:rPr>
      </w:pPr>
    </w:p>
    <w:p w14:paraId="57871738" w14:textId="1CDC6249" w:rsidR="00A05688" w:rsidRPr="00BE3464" w:rsidRDefault="00A05688" w:rsidP="00D02169">
      <w:pPr>
        <w:spacing w:after="0"/>
        <w:rPr>
          <w:sz w:val="24"/>
          <w:szCs w:val="24"/>
        </w:rPr>
      </w:pPr>
      <w:r w:rsidRPr="00BE3464">
        <w:rPr>
          <w:sz w:val="24"/>
          <w:szCs w:val="24"/>
          <w:u w:val="single"/>
        </w:rPr>
        <w:t xml:space="preserve">RAC </w:t>
      </w:r>
      <w:r w:rsidR="00D0047F" w:rsidRPr="00BE3464">
        <w:rPr>
          <w:sz w:val="24"/>
          <w:szCs w:val="24"/>
          <w:u w:val="single"/>
        </w:rPr>
        <w:t>Meeting #1:</w:t>
      </w:r>
      <w:r w:rsidR="00D0047F" w:rsidRPr="00BE3464">
        <w:rPr>
          <w:sz w:val="24"/>
          <w:szCs w:val="24"/>
        </w:rPr>
        <w:t xml:space="preserve"> The initial session focused on why rulemaking was needed by outlining key challenges observed in practice. These included unclear statutory terms such as extreme risk, foreseeable future, and treatment resistance, which led to inconsistent interpretations among courts, clinicians, evaluators, and the PSRB. Participants also discussed procedural inefficiencies that created confusion, as well as the lack of standardized training or certification for examiners. Finally, the group considered broader concerns about the growing number of cases and limited discharges, raising questions about long</w:t>
      </w:r>
      <w:r w:rsidR="00D0047F" w:rsidRPr="00BE3464">
        <w:rPr>
          <w:rFonts w:ascii="Cambria Math" w:hAnsi="Cambria Math" w:cs="Cambria Math"/>
          <w:sz w:val="24"/>
          <w:szCs w:val="24"/>
        </w:rPr>
        <w:t>‑</w:t>
      </w:r>
      <w:r w:rsidR="00D0047F" w:rsidRPr="00BE3464">
        <w:rPr>
          <w:sz w:val="24"/>
          <w:szCs w:val="24"/>
        </w:rPr>
        <w:t>term outcomes. Overall, the first RAC served to establish the foundational issues driving the rulemaking effort.</w:t>
      </w:r>
    </w:p>
    <w:p w14:paraId="6E954A3C" w14:textId="77777777" w:rsidR="00610D72" w:rsidRPr="00BE3464" w:rsidRDefault="00610D72" w:rsidP="00D02169">
      <w:pPr>
        <w:spacing w:after="0"/>
        <w:rPr>
          <w:sz w:val="24"/>
          <w:szCs w:val="24"/>
        </w:rPr>
      </w:pPr>
    </w:p>
    <w:p w14:paraId="74248DF0" w14:textId="76809E9A" w:rsidR="00610D72" w:rsidRPr="00BE3464" w:rsidRDefault="00610D72" w:rsidP="00D02169">
      <w:pPr>
        <w:spacing w:after="0"/>
        <w:rPr>
          <w:sz w:val="24"/>
          <w:szCs w:val="24"/>
        </w:rPr>
      </w:pPr>
      <w:r w:rsidRPr="00BE3464">
        <w:rPr>
          <w:sz w:val="24"/>
          <w:szCs w:val="24"/>
          <w:u w:val="single"/>
        </w:rPr>
        <w:t>RAC Meeting #2:</w:t>
      </w:r>
      <w:r w:rsidRPr="00BE3464">
        <w:rPr>
          <w:sz w:val="24"/>
          <w:szCs w:val="24"/>
        </w:rPr>
        <w:t xml:space="preserve"> </w:t>
      </w:r>
      <w:r w:rsidR="00827A72" w:rsidRPr="00BE3464">
        <w:rPr>
          <w:sz w:val="24"/>
          <w:szCs w:val="24"/>
        </w:rPr>
        <w:t>In the second RAC meeting, the group worked to more clearly define the core problems before advancing rulemaking, focusing particularly on the unclear statutory terms extreme risk and competent decision</w:t>
      </w:r>
      <w:r w:rsidR="00827A72" w:rsidRPr="00BE3464">
        <w:rPr>
          <w:rFonts w:ascii="Cambria Math" w:hAnsi="Cambria Math" w:cs="Cambria Math"/>
          <w:sz w:val="24"/>
          <w:szCs w:val="24"/>
        </w:rPr>
        <w:t>‑</w:t>
      </w:r>
      <w:r w:rsidR="00827A72" w:rsidRPr="00BE3464">
        <w:rPr>
          <w:sz w:val="24"/>
          <w:szCs w:val="24"/>
        </w:rPr>
        <w:t>making</w:t>
      </w:r>
      <w:r w:rsidR="00FA314A" w:rsidRPr="00BE3464">
        <w:rPr>
          <w:sz w:val="24"/>
          <w:szCs w:val="24"/>
        </w:rPr>
        <w:t>.</w:t>
      </w:r>
      <w:r w:rsidR="00827A72" w:rsidRPr="00BE3464">
        <w:rPr>
          <w:sz w:val="24"/>
          <w:szCs w:val="24"/>
        </w:rPr>
        <w:t xml:space="preserve"> Competent decision</w:t>
      </w:r>
      <w:r w:rsidR="00827A72" w:rsidRPr="00BE3464">
        <w:rPr>
          <w:rFonts w:ascii="Cambria Math" w:hAnsi="Cambria Math" w:cs="Cambria Math"/>
          <w:sz w:val="24"/>
          <w:szCs w:val="24"/>
        </w:rPr>
        <w:t>‑</w:t>
      </w:r>
      <w:r w:rsidR="00827A72" w:rsidRPr="00BE3464">
        <w:rPr>
          <w:sz w:val="24"/>
          <w:szCs w:val="24"/>
        </w:rPr>
        <w:t xml:space="preserve">making proved especially difficult to define, as an overly broad definition could sweep too many people into the statute, while one too narrow could allow individuals who still pose serious risk to be discharged. The group also revisited legislative intent, noting the statute was designed for a specific population—individuals who committed serious acts, could not be prosecuted due to incompetence, did not meet traditional civil commitment criteria, yet presented substantial risk. </w:t>
      </w:r>
      <w:r w:rsidR="000120A8" w:rsidRPr="00BE3464">
        <w:rPr>
          <w:sz w:val="24"/>
          <w:szCs w:val="24"/>
        </w:rPr>
        <w:t xml:space="preserve">The session did not make conclusions but </w:t>
      </w:r>
      <w:r w:rsidR="00827A72" w:rsidRPr="00BE3464">
        <w:rPr>
          <w:sz w:val="24"/>
          <w:szCs w:val="24"/>
        </w:rPr>
        <w:t xml:space="preserve">provided a clearer understanding of the </w:t>
      </w:r>
      <w:r w:rsidR="002D548C" w:rsidRPr="00BE3464">
        <w:rPr>
          <w:sz w:val="24"/>
          <w:szCs w:val="24"/>
        </w:rPr>
        <w:t xml:space="preserve">underlying tensions causing </w:t>
      </w:r>
      <w:r w:rsidR="00ED4A07" w:rsidRPr="00BE3464">
        <w:rPr>
          <w:sz w:val="24"/>
          <w:szCs w:val="24"/>
        </w:rPr>
        <w:t>definitional challenges</w:t>
      </w:r>
      <w:r w:rsidR="00DF39BE" w:rsidRPr="00BE3464">
        <w:rPr>
          <w:sz w:val="24"/>
          <w:szCs w:val="24"/>
        </w:rPr>
        <w:t xml:space="preserve"> </w:t>
      </w:r>
      <w:r w:rsidR="002D548C" w:rsidRPr="00BE3464">
        <w:rPr>
          <w:sz w:val="24"/>
          <w:szCs w:val="24"/>
        </w:rPr>
        <w:t>in this section of rules.</w:t>
      </w:r>
    </w:p>
    <w:p w14:paraId="4C24747C" w14:textId="3F3B6426" w:rsidR="000306FD" w:rsidRPr="00BE3464" w:rsidRDefault="000306FD" w:rsidP="00D02169">
      <w:pPr>
        <w:spacing w:after="0"/>
        <w:rPr>
          <w:sz w:val="24"/>
          <w:szCs w:val="24"/>
        </w:rPr>
      </w:pPr>
    </w:p>
    <w:p w14:paraId="4B0259BC" w14:textId="7511DA8B" w:rsidR="002D548C" w:rsidRPr="00BE3464" w:rsidRDefault="00736A86" w:rsidP="00D02169">
      <w:pPr>
        <w:spacing w:after="0"/>
        <w:rPr>
          <w:sz w:val="24"/>
          <w:szCs w:val="24"/>
        </w:rPr>
      </w:pPr>
      <w:r w:rsidRPr="00BE3464">
        <w:rPr>
          <w:sz w:val="24"/>
          <w:szCs w:val="24"/>
          <w:u w:val="single"/>
        </w:rPr>
        <w:lastRenderedPageBreak/>
        <w:t>RAC #3:</w:t>
      </w:r>
      <w:r w:rsidRPr="00BE3464">
        <w:rPr>
          <w:sz w:val="24"/>
          <w:szCs w:val="24"/>
        </w:rPr>
        <w:t xml:space="preserve"> </w:t>
      </w:r>
      <w:r w:rsidR="00EA52BD" w:rsidRPr="00BE3464">
        <w:rPr>
          <w:sz w:val="24"/>
          <w:szCs w:val="24"/>
        </w:rPr>
        <w:t xml:space="preserve">The group had begun drafting rule language, but members expressed concern that they hadn’t had sufficient time to review the material for a meaningful discussion. At the same time, a new Court of Appeals </w:t>
      </w:r>
      <w:proofErr w:type="gramStart"/>
      <w:r w:rsidR="00EA52BD" w:rsidRPr="00BE3464">
        <w:rPr>
          <w:sz w:val="24"/>
          <w:szCs w:val="24"/>
        </w:rPr>
        <w:t>decision—</w:t>
      </w:r>
      <w:proofErr w:type="gramEnd"/>
      <w:r w:rsidR="00EA52BD" w:rsidRPr="00BE3464">
        <w:rPr>
          <w:sz w:val="24"/>
          <w:szCs w:val="24"/>
        </w:rPr>
        <w:t>the T.L.B. case</w:t>
      </w:r>
      <w:r w:rsidR="00146FF0" w:rsidRPr="00BE3464">
        <w:rPr>
          <w:rStyle w:val="FootnoteReference"/>
          <w:sz w:val="24"/>
          <w:szCs w:val="24"/>
        </w:rPr>
        <w:footnoteReference w:id="1"/>
      </w:r>
      <w:r w:rsidR="00EA52BD" w:rsidRPr="00BE3464">
        <w:rPr>
          <w:sz w:val="24"/>
          <w:szCs w:val="24"/>
        </w:rPr>
        <w:t>—was released, prompting the committee to agree to pause the process so everyone could read and digest the ruling</w:t>
      </w:r>
      <w:r w:rsidR="00933C90" w:rsidRPr="00BE3464">
        <w:rPr>
          <w:sz w:val="24"/>
          <w:szCs w:val="24"/>
        </w:rPr>
        <w:t>.</w:t>
      </w:r>
    </w:p>
    <w:p w14:paraId="372E1D66" w14:textId="77777777" w:rsidR="00933C90" w:rsidRPr="00BE3464" w:rsidRDefault="00933C90" w:rsidP="00D02169">
      <w:pPr>
        <w:spacing w:after="0"/>
        <w:rPr>
          <w:sz w:val="24"/>
          <w:szCs w:val="24"/>
        </w:rPr>
      </w:pPr>
    </w:p>
    <w:p w14:paraId="214DF62B" w14:textId="16A7CC58" w:rsidR="00933C90" w:rsidRPr="00BE3464" w:rsidRDefault="00933C90" w:rsidP="00D02169">
      <w:pPr>
        <w:spacing w:after="0"/>
        <w:rPr>
          <w:sz w:val="24"/>
          <w:szCs w:val="24"/>
        </w:rPr>
      </w:pPr>
      <w:r w:rsidRPr="00BE3464">
        <w:rPr>
          <w:sz w:val="24"/>
          <w:szCs w:val="24"/>
          <w:u w:val="single"/>
        </w:rPr>
        <w:t>RAC #4:</w:t>
      </w:r>
      <w:r w:rsidRPr="00BE3464">
        <w:rPr>
          <w:sz w:val="24"/>
          <w:szCs w:val="24"/>
        </w:rPr>
        <w:t xml:space="preserve"> </w:t>
      </w:r>
      <w:r w:rsidR="0013062F" w:rsidRPr="00BE3464">
        <w:rPr>
          <w:sz w:val="24"/>
          <w:szCs w:val="24"/>
        </w:rPr>
        <w:t xml:space="preserve">In the last meeting, the group reviewed the rule language and accompanying legislative history to ensure alignment with the original intent of the statute. Participants expressed concern that the proposed background and purpose section read too much like policy rather than rule, prompting a shift toward refining key definitions such as extreme risk, foreseeable future, and </w:t>
      </w:r>
      <w:proofErr w:type="gramStart"/>
      <w:r w:rsidR="0013062F" w:rsidRPr="00BE3464">
        <w:rPr>
          <w:sz w:val="24"/>
          <w:szCs w:val="24"/>
        </w:rPr>
        <w:t>resistant</w:t>
      </w:r>
      <w:proofErr w:type="gramEnd"/>
      <w:r w:rsidR="0013062F" w:rsidRPr="00BE3464">
        <w:rPr>
          <w:sz w:val="24"/>
          <w:szCs w:val="24"/>
        </w:rPr>
        <w:t xml:space="preserve"> to treatment, with the T.L.B. Court of Appeals decision serving as an important guide. Members cautioned against going beyond statutory language</w:t>
      </w:r>
      <w:r w:rsidR="00BE7113" w:rsidRPr="00BE3464">
        <w:rPr>
          <w:sz w:val="24"/>
          <w:szCs w:val="24"/>
        </w:rPr>
        <w:t xml:space="preserve">. The </w:t>
      </w:r>
      <w:r w:rsidR="0013062F" w:rsidRPr="00BE3464">
        <w:rPr>
          <w:sz w:val="24"/>
          <w:szCs w:val="24"/>
        </w:rPr>
        <w:t xml:space="preserve">group also discussed distinguishing the roles of examiners, who should provide </w:t>
      </w:r>
      <w:r w:rsidR="00BE7113" w:rsidRPr="00BE3464">
        <w:rPr>
          <w:sz w:val="24"/>
          <w:szCs w:val="24"/>
        </w:rPr>
        <w:t>factual and clinical information</w:t>
      </w:r>
      <w:r w:rsidR="0013062F" w:rsidRPr="00BE3464">
        <w:rPr>
          <w:sz w:val="24"/>
          <w:szCs w:val="24"/>
        </w:rPr>
        <w:t>, from the Board and courts, which make legal conclusions.</w:t>
      </w:r>
      <w:r w:rsidR="000870FE" w:rsidRPr="00BE3464">
        <w:rPr>
          <w:sz w:val="24"/>
          <w:szCs w:val="24"/>
        </w:rPr>
        <w:t xml:space="preserve"> </w:t>
      </w:r>
    </w:p>
    <w:p w14:paraId="2E1EE138" w14:textId="77777777" w:rsidR="000870FE" w:rsidRPr="00BE3464" w:rsidRDefault="000870FE" w:rsidP="00D02169">
      <w:pPr>
        <w:spacing w:after="0"/>
        <w:rPr>
          <w:sz w:val="24"/>
          <w:szCs w:val="24"/>
        </w:rPr>
      </w:pPr>
    </w:p>
    <w:p w14:paraId="7A9A48E6" w14:textId="63DF11E5" w:rsidR="000870FE" w:rsidRPr="00BE3464" w:rsidRDefault="000870FE" w:rsidP="00D02169">
      <w:pPr>
        <w:spacing w:after="0"/>
        <w:rPr>
          <w:sz w:val="24"/>
          <w:szCs w:val="24"/>
        </w:rPr>
      </w:pPr>
      <w:r w:rsidRPr="00BE3464">
        <w:rPr>
          <w:sz w:val="24"/>
          <w:szCs w:val="24"/>
        </w:rPr>
        <w:t xml:space="preserve">Alison described steps that the Board has taken since RAC #4, including: </w:t>
      </w:r>
    </w:p>
    <w:p w14:paraId="5FDA456A" w14:textId="49617EA0" w:rsidR="00910369" w:rsidRPr="00BE3464" w:rsidRDefault="00910369" w:rsidP="00910369">
      <w:pPr>
        <w:pStyle w:val="ListParagraph"/>
        <w:numPr>
          <w:ilvl w:val="0"/>
          <w:numId w:val="2"/>
        </w:numPr>
        <w:spacing w:after="0"/>
        <w:rPr>
          <w:sz w:val="24"/>
          <w:szCs w:val="24"/>
        </w:rPr>
      </w:pPr>
      <w:r w:rsidRPr="00BE3464">
        <w:rPr>
          <w:sz w:val="24"/>
          <w:szCs w:val="24"/>
        </w:rPr>
        <w:t>Created a new policy analyst role in August 2025 to bring more structure to the rulemaking process.</w:t>
      </w:r>
    </w:p>
    <w:p w14:paraId="14F9060A" w14:textId="2C6E8F31" w:rsidR="00910369" w:rsidRPr="00BE3464" w:rsidRDefault="00910369" w:rsidP="005871C0">
      <w:pPr>
        <w:pStyle w:val="ListParagraph"/>
        <w:numPr>
          <w:ilvl w:val="0"/>
          <w:numId w:val="2"/>
        </w:numPr>
        <w:spacing w:after="0"/>
        <w:rPr>
          <w:sz w:val="24"/>
          <w:szCs w:val="24"/>
        </w:rPr>
      </w:pPr>
      <w:r w:rsidRPr="00BE3464">
        <w:rPr>
          <w:sz w:val="24"/>
          <w:szCs w:val="24"/>
        </w:rPr>
        <w:t>Worked closely with the Oregon Health Authority as requests for guidance increase</w:t>
      </w:r>
      <w:r w:rsidR="00736DB2" w:rsidRPr="00BE3464">
        <w:rPr>
          <w:sz w:val="24"/>
          <w:szCs w:val="24"/>
        </w:rPr>
        <w:t>d</w:t>
      </w:r>
      <w:r w:rsidR="002C3CF3" w:rsidRPr="00BE3464">
        <w:rPr>
          <w:sz w:val="24"/>
          <w:szCs w:val="24"/>
        </w:rPr>
        <w:t>, partly in</w:t>
      </w:r>
      <w:r w:rsidR="00821F04" w:rsidRPr="00BE3464">
        <w:rPr>
          <w:sz w:val="24"/>
          <w:szCs w:val="24"/>
        </w:rPr>
        <w:t xml:space="preserve"> anticipation of an</w:t>
      </w:r>
      <w:r w:rsidR="002C3CF3" w:rsidRPr="00BE3464">
        <w:rPr>
          <w:sz w:val="24"/>
          <w:szCs w:val="24"/>
        </w:rPr>
        <w:t xml:space="preserve"> increased</w:t>
      </w:r>
      <w:r w:rsidR="00821F04" w:rsidRPr="00BE3464">
        <w:rPr>
          <w:sz w:val="24"/>
          <w:szCs w:val="24"/>
        </w:rPr>
        <w:t xml:space="preserve"> number of cases</w:t>
      </w:r>
      <w:r w:rsidR="005871C0" w:rsidRPr="00BE3464">
        <w:rPr>
          <w:sz w:val="24"/>
          <w:szCs w:val="24"/>
        </w:rPr>
        <w:t xml:space="preserve"> </w:t>
      </w:r>
      <w:r w:rsidR="002C3CF3" w:rsidRPr="00BE3464">
        <w:rPr>
          <w:sz w:val="24"/>
          <w:szCs w:val="24"/>
        </w:rPr>
        <w:t xml:space="preserve">due </w:t>
      </w:r>
      <w:r w:rsidR="005871C0" w:rsidRPr="00BE3464">
        <w:rPr>
          <w:sz w:val="24"/>
          <w:szCs w:val="24"/>
        </w:rPr>
        <w:t>to recent legislative changes expanding qualifying acts</w:t>
      </w:r>
      <w:r w:rsidR="005871C0" w:rsidRPr="00BE3464">
        <w:rPr>
          <w:rStyle w:val="FootnoteReference"/>
          <w:sz w:val="24"/>
          <w:szCs w:val="24"/>
        </w:rPr>
        <w:footnoteReference w:id="2"/>
      </w:r>
      <w:r w:rsidR="005871C0" w:rsidRPr="00BE3464">
        <w:rPr>
          <w:sz w:val="24"/>
          <w:szCs w:val="24"/>
        </w:rPr>
        <w:t xml:space="preserve">. </w:t>
      </w:r>
    </w:p>
    <w:p w14:paraId="30697A36" w14:textId="510C974D" w:rsidR="00910369" w:rsidRPr="00BE3464" w:rsidRDefault="00910369" w:rsidP="00910369">
      <w:pPr>
        <w:pStyle w:val="ListParagraph"/>
        <w:numPr>
          <w:ilvl w:val="0"/>
          <w:numId w:val="2"/>
        </w:numPr>
        <w:spacing w:after="0"/>
        <w:rPr>
          <w:sz w:val="24"/>
          <w:szCs w:val="24"/>
        </w:rPr>
      </w:pPr>
      <w:r w:rsidRPr="00BE3464">
        <w:rPr>
          <w:sz w:val="24"/>
          <w:szCs w:val="24"/>
        </w:rPr>
        <w:t xml:space="preserve">Prepared draft rules focused on clarifying the information needed </w:t>
      </w:r>
      <w:r w:rsidR="005871C0" w:rsidRPr="00BE3464">
        <w:rPr>
          <w:sz w:val="24"/>
          <w:szCs w:val="24"/>
        </w:rPr>
        <w:t xml:space="preserve">from examiners </w:t>
      </w:r>
      <w:r w:rsidRPr="00BE3464">
        <w:rPr>
          <w:sz w:val="24"/>
          <w:szCs w:val="24"/>
        </w:rPr>
        <w:t xml:space="preserve">by the PSRB and improving procedures, reflecting both </w:t>
      </w:r>
      <w:r w:rsidR="005871C0" w:rsidRPr="00BE3464">
        <w:rPr>
          <w:sz w:val="24"/>
          <w:szCs w:val="24"/>
        </w:rPr>
        <w:t>feedback from previous RAC meetings</w:t>
      </w:r>
      <w:r w:rsidRPr="00BE3464">
        <w:rPr>
          <w:sz w:val="24"/>
          <w:szCs w:val="24"/>
        </w:rPr>
        <w:t xml:space="preserve"> and agency expertise.</w:t>
      </w:r>
    </w:p>
    <w:p w14:paraId="263AB373" w14:textId="77777777" w:rsidR="00933C90" w:rsidRPr="00BE3464" w:rsidRDefault="00933C90" w:rsidP="00D02169">
      <w:pPr>
        <w:spacing w:after="0"/>
        <w:rPr>
          <w:sz w:val="24"/>
          <w:szCs w:val="24"/>
        </w:rPr>
      </w:pPr>
    </w:p>
    <w:p w14:paraId="3FC8B7B2" w14:textId="2E32B304" w:rsidR="00131DB2" w:rsidRPr="00BE3464" w:rsidRDefault="00131DB2" w:rsidP="00D02169">
      <w:pPr>
        <w:spacing w:after="0"/>
        <w:rPr>
          <w:b/>
          <w:bCs/>
          <w:sz w:val="24"/>
          <w:szCs w:val="24"/>
          <w:u w:val="single"/>
        </w:rPr>
      </w:pPr>
      <w:r w:rsidRPr="00BE3464">
        <w:rPr>
          <w:b/>
          <w:bCs/>
          <w:sz w:val="24"/>
          <w:szCs w:val="24"/>
          <w:u w:val="single"/>
        </w:rPr>
        <w:t>Rule Language</w:t>
      </w:r>
      <w:r w:rsidRPr="00BE3464">
        <w:rPr>
          <w:b/>
          <w:bCs/>
          <w:sz w:val="24"/>
          <w:szCs w:val="24"/>
          <w:u w:val="single"/>
        </w:rPr>
        <w:t xml:space="preserve"> </w:t>
      </w:r>
      <w:r w:rsidR="006A77E8" w:rsidRPr="00BE3464">
        <w:rPr>
          <w:b/>
          <w:bCs/>
          <w:sz w:val="24"/>
          <w:szCs w:val="24"/>
          <w:u w:val="single"/>
        </w:rPr>
        <w:t>Summary</w:t>
      </w:r>
      <w:r w:rsidR="00E20D25" w:rsidRPr="00BE3464">
        <w:rPr>
          <w:b/>
          <w:bCs/>
          <w:sz w:val="24"/>
          <w:szCs w:val="24"/>
          <w:u w:val="single"/>
        </w:rPr>
        <w:t xml:space="preserve"> &amp; Agency’s Response:</w:t>
      </w:r>
    </w:p>
    <w:p w14:paraId="21566508" w14:textId="77777777" w:rsidR="00131DB2" w:rsidRPr="00BE3464" w:rsidRDefault="00131DB2" w:rsidP="00D02169">
      <w:pPr>
        <w:spacing w:after="0"/>
        <w:rPr>
          <w:b/>
          <w:bCs/>
          <w:sz w:val="24"/>
          <w:szCs w:val="24"/>
          <w:u w:val="single"/>
        </w:rPr>
      </w:pPr>
    </w:p>
    <w:p w14:paraId="39802ADC" w14:textId="5DA8D4AD" w:rsidR="005A0491" w:rsidRPr="00FC6BF5" w:rsidRDefault="00BE3464" w:rsidP="00BE3464">
      <w:pPr>
        <w:rPr>
          <w:rFonts w:cs="Times New Roman"/>
          <w:bCs/>
          <w:sz w:val="24"/>
          <w:szCs w:val="24"/>
          <w:u w:val="single"/>
        </w:rPr>
      </w:pPr>
      <w:r w:rsidRPr="00FC6BF5">
        <w:rPr>
          <w:rFonts w:cs="Times New Roman"/>
          <w:bCs/>
          <w:sz w:val="24"/>
          <w:szCs w:val="24"/>
          <w:u w:val="single"/>
        </w:rPr>
        <w:t>859-200-0005</w:t>
      </w:r>
    </w:p>
    <w:p w14:paraId="6C33B4E4" w14:textId="77777777" w:rsidR="00520B18" w:rsidRPr="00231023" w:rsidRDefault="00520B18" w:rsidP="00520B18">
      <w:pPr>
        <w:pStyle w:val="ListParagraph"/>
        <w:numPr>
          <w:ilvl w:val="0"/>
          <w:numId w:val="27"/>
        </w:numPr>
        <w:spacing w:after="0"/>
        <w:rPr>
          <w:sz w:val="24"/>
          <w:szCs w:val="24"/>
        </w:rPr>
      </w:pPr>
      <w:r w:rsidRPr="00231023">
        <w:rPr>
          <w:sz w:val="24"/>
          <w:szCs w:val="24"/>
        </w:rPr>
        <w:t>Statutory Language vs. Terminology (Stigma vs. Consistency)</w:t>
      </w:r>
    </w:p>
    <w:p w14:paraId="16AF7E79" w14:textId="77777777" w:rsidR="00520B18" w:rsidRPr="00231023" w:rsidRDefault="00520B18" w:rsidP="00520B18">
      <w:pPr>
        <w:pStyle w:val="ListParagraph"/>
        <w:numPr>
          <w:ilvl w:val="1"/>
          <w:numId w:val="27"/>
        </w:numPr>
        <w:spacing w:after="0"/>
        <w:rPr>
          <w:sz w:val="24"/>
          <w:szCs w:val="24"/>
        </w:rPr>
      </w:pPr>
      <w:r w:rsidRPr="00231023">
        <w:rPr>
          <w:sz w:val="24"/>
          <w:szCs w:val="24"/>
        </w:rPr>
        <w:t>A member suggested that the term “extremely dangerous person” should be changed, expressing a preference for different terminology.</w:t>
      </w:r>
    </w:p>
    <w:p w14:paraId="6593B44F" w14:textId="77777777" w:rsidR="00520B18" w:rsidRPr="00231023" w:rsidRDefault="00520B18" w:rsidP="00520B18">
      <w:pPr>
        <w:pStyle w:val="ListParagraph"/>
        <w:numPr>
          <w:ilvl w:val="1"/>
          <w:numId w:val="27"/>
        </w:numPr>
        <w:spacing w:after="0"/>
        <w:rPr>
          <w:sz w:val="24"/>
          <w:szCs w:val="24"/>
        </w:rPr>
      </w:pPr>
      <w:r w:rsidRPr="00231023">
        <w:rPr>
          <w:sz w:val="24"/>
          <w:szCs w:val="24"/>
        </w:rPr>
        <w:t>A member responded that the term comes directly from the statute and emphasized the importance of maintaining statutory language to avoid confusion between the rule and governing law.</w:t>
      </w:r>
    </w:p>
    <w:p w14:paraId="6E79180F" w14:textId="77777777" w:rsidR="00520B18" w:rsidRPr="00231023" w:rsidRDefault="00520B18" w:rsidP="00520B18">
      <w:pPr>
        <w:pStyle w:val="ListParagraph"/>
        <w:numPr>
          <w:ilvl w:val="1"/>
          <w:numId w:val="27"/>
        </w:numPr>
        <w:spacing w:after="0"/>
        <w:rPr>
          <w:sz w:val="24"/>
          <w:szCs w:val="24"/>
        </w:rPr>
      </w:pPr>
      <w:r w:rsidRPr="00231023">
        <w:rPr>
          <w:sz w:val="24"/>
          <w:szCs w:val="24"/>
        </w:rPr>
        <w:t>A member raised concern about replacing “suffers from” with “affected by,” explaining that even small wording changes could create legal arguments about whether a person still meets criteria, particularly where symptoms are controlled by treatment.</w:t>
      </w:r>
    </w:p>
    <w:p w14:paraId="3AF3002A" w14:textId="3A8B3AB9" w:rsidR="00520B18" w:rsidRPr="00231023" w:rsidRDefault="00520B18" w:rsidP="00520B18">
      <w:pPr>
        <w:pStyle w:val="ListParagraph"/>
        <w:numPr>
          <w:ilvl w:val="1"/>
          <w:numId w:val="27"/>
        </w:numPr>
        <w:spacing w:after="0"/>
        <w:rPr>
          <w:sz w:val="24"/>
          <w:szCs w:val="24"/>
        </w:rPr>
      </w:pPr>
      <w:r w:rsidRPr="00231023">
        <w:rPr>
          <w:sz w:val="24"/>
          <w:szCs w:val="24"/>
        </w:rPr>
        <w:lastRenderedPageBreak/>
        <w:t>Staff Input (Alison Bort): Explained that changes in wording were intended to reduce stigmatizing language, not to change the legal standard, and acknowledged the need to remain consistent with statutory terminology and avoid unintended interpretation.</w:t>
      </w:r>
    </w:p>
    <w:p w14:paraId="175A0BB3" w14:textId="77777777" w:rsidR="00520B18" w:rsidRPr="00231023" w:rsidRDefault="00520B18" w:rsidP="00520B18">
      <w:pPr>
        <w:pStyle w:val="ListParagraph"/>
        <w:numPr>
          <w:ilvl w:val="0"/>
          <w:numId w:val="27"/>
        </w:numPr>
        <w:spacing w:after="0"/>
        <w:rPr>
          <w:sz w:val="24"/>
          <w:szCs w:val="24"/>
        </w:rPr>
      </w:pPr>
      <w:r w:rsidRPr="00231023">
        <w:rPr>
          <w:sz w:val="24"/>
          <w:szCs w:val="24"/>
        </w:rPr>
        <w:t>Initiation of Proceedings (DA vs. Court Authority)</w:t>
      </w:r>
    </w:p>
    <w:p w14:paraId="747F8D98" w14:textId="77777777" w:rsidR="00520B18" w:rsidRPr="00231023" w:rsidRDefault="00520B18" w:rsidP="00520B18">
      <w:pPr>
        <w:pStyle w:val="ListParagraph"/>
        <w:numPr>
          <w:ilvl w:val="1"/>
          <w:numId w:val="27"/>
        </w:numPr>
        <w:spacing w:after="0"/>
        <w:rPr>
          <w:sz w:val="24"/>
          <w:szCs w:val="24"/>
        </w:rPr>
      </w:pPr>
      <w:r w:rsidRPr="00231023">
        <w:rPr>
          <w:sz w:val="24"/>
          <w:szCs w:val="24"/>
        </w:rPr>
        <w:t>A member noted that ORS 161.367 appears to allow a judge to initiate proceedings under ORS 426.701, even though ORS 426.701 refers to district attorneys initiating proceedings.</w:t>
      </w:r>
    </w:p>
    <w:p w14:paraId="19784881" w14:textId="139BBE01" w:rsidR="00520B18" w:rsidRPr="00231023" w:rsidRDefault="00520B18">
      <w:pPr>
        <w:pStyle w:val="ListParagraph"/>
        <w:numPr>
          <w:ilvl w:val="1"/>
          <w:numId w:val="27"/>
        </w:numPr>
        <w:spacing w:after="0"/>
        <w:rPr>
          <w:sz w:val="24"/>
          <w:szCs w:val="24"/>
        </w:rPr>
      </w:pPr>
      <w:r w:rsidRPr="00231023">
        <w:rPr>
          <w:sz w:val="24"/>
          <w:szCs w:val="24"/>
        </w:rPr>
        <w:t>A member responded that, in practice, courts do not initiate these proceedings and expressed concern that interpreting the statute this way would improperly allow the judicial branch to direct the executive branch. The same member explained that statutory language allowing a court to “cause” a proceeding to be commenced does not mean the court independently files a petition.</w:t>
      </w:r>
    </w:p>
    <w:p w14:paraId="368234C3" w14:textId="77777777" w:rsidR="00520B18" w:rsidRPr="00231023" w:rsidRDefault="00520B18" w:rsidP="00520B18">
      <w:pPr>
        <w:pStyle w:val="ListParagraph"/>
        <w:numPr>
          <w:ilvl w:val="1"/>
          <w:numId w:val="27"/>
        </w:numPr>
        <w:spacing w:after="0"/>
        <w:rPr>
          <w:sz w:val="24"/>
          <w:szCs w:val="24"/>
        </w:rPr>
      </w:pPr>
      <w:r w:rsidRPr="00231023">
        <w:rPr>
          <w:sz w:val="24"/>
          <w:szCs w:val="24"/>
        </w:rPr>
        <w:t>Another member noted that the statute does contain language suggesting court initiation and stated that the rule should reflect the statutory language even if it is not typical practice.</w:t>
      </w:r>
    </w:p>
    <w:p w14:paraId="01F06108" w14:textId="77777777" w:rsidR="006C0C84" w:rsidRPr="00231023" w:rsidRDefault="006C0C84" w:rsidP="006C0C84">
      <w:pPr>
        <w:pStyle w:val="ListParagraph"/>
        <w:spacing w:after="0"/>
        <w:ind w:left="1440"/>
        <w:rPr>
          <w:sz w:val="24"/>
          <w:szCs w:val="24"/>
        </w:rPr>
      </w:pPr>
    </w:p>
    <w:p w14:paraId="2ED46EA2" w14:textId="77777777" w:rsidR="006C0C84" w:rsidRPr="00231023" w:rsidRDefault="006C0C84" w:rsidP="006C0C84">
      <w:pPr>
        <w:spacing w:after="0"/>
        <w:rPr>
          <w:sz w:val="24"/>
          <w:szCs w:val="24"/>
          <w:u w:val="single"/>
        </w:rPr>
      </w:pPr>
      <w:r w:rsidRPr="00231023">
        <w:rPr>
          <w:sz w:val="24"/>
          <w:szCs w:val="24"/>
          <w:u w:val="single"/>
        </w:rPr>
        <w:t>859-200-0030</w:t>
      </w:r>
    </w:p>
    <w:p w14:paraId="67826992" w14:textId="5F3FD4D2" w:rsidR="00520B18" w:rsidRPr="00231023" w:rsidRDefault="00520B18" w:rsidP="006C0C84">
      <w:pPr>
        <w:pStyle w:val="ListParagraph"/>
        <w:numPr>
          <w:ilvl w:val="0"/>
          <w:numId w:val="28"/>
        </w:numPr>
        <w:spacing w:after="0"/>
        <w:rPr>
          <w:sz w:val="24"/>
          <w:szCs w:val="24"/>
        </w:rPr>
      </w:pPr>
      <w:r w:rsidRPr="00231023">
        <w:rPr>
          <w:sz w:val="24"/>
          <w:szCs w:val="24"/>
        </w:rPr>
        <w:t>Substantially Similar (Scope of Symptoms and Behavior)</w:t>
      </w:r>
    </w:p>
    <w:p w14:paraId="031223C0" w14:textId="561556E5" w:rsidR="00520B18" w:rsidRPr="00231023" w:rsidRDefault="00520B18" w:rsidP="006A35E2">
      <w:pPr>
        <w:pStyle w:val="ListParagraph"/>
        <w:numPr>
          <w:ilvl w:val="1"/>
          <w:numId w:val="27"/>
        </w:numPr>
        <w:spacing w:after="0"/>
        <w:rPr>
          <w:sz w:val="24"/>
          <w:szCs w:val="24"/>
        </w:rPr>
      </w:pPr>
      <w:r w:rsidRPr="00231023">
        <w:rPr>
          <w:sz w:val="24"/>
          <w:szCs w:val="24"/>
        </w:rPr>
        <w:t>A member raised concern that limiting the language to differences in intensity or severity could imply that symptoms must otherwise be identical, explaining that symptoms may vary in form, content, or type while still reflecting the same disorder and risk.</w:t>
      </w:r>
      <w:r w:rsidR="006A35E2" w:rsidRPr="00231023">
        <w:rPr>
          <w:sz w:val="24"/>
          <w:szCs w:val="24"/>
        </w:rPr>
        <w:t xml:space="preserve"> </w:t>
      </w:r>
      <w:r w:rsidRPr="00231023">
        <w:rPr>
          <w:sz w:val="24"/>
          <w:szCs w:val="24"/>
        </w:rPr>
        <w:t>The same member emphasized that the rule should not be written so narrowly that it prevents consideration of changing symptom presentation over time.</w:t>
      </w:r>
    </w:p>
    <w:p w14:paraId="09FD6096" w14:textId="654D1014" w:rsidR="00520B18" w:rsidRPr="00231023" w:rsidRDefault="00520B18" w:rsidP="006A35E2">
      <w:pPr>
        <w:pStyle w:val="ListParagraph"/>
        <w:numPr>
          <w:ilvl w:val="1"/>
          <w:numId w:val="27"/>
        </w:numPr>
        <w:spacing w:after="0"/>
        <w:rPr>
          <w:sz w:val="24"/>
          <w:szCs w:val="24"/>
        </w:rPr>
      </w:pPr>
      <w:r w:rsidRPr="00231023">
        <w:rPr>
          <w:sz w:val="24"/>
          <w:szCs w:val="24"/>
        </w:rPr>
        <w:t>Staff Input (Alison Bort):</w:t>
      </w:r>
      <w:r w:rsidR="006A35E2" w:rsidRPr="00231023">
        <w:rPr>
          <w:sz w:val="24"/>
          <w:szCs w:val="24"/>
        </w:rPr>
        <w:t xml:space="preserve"> </w:t>
      </w:r>
      <w:r w:rsidRPr="00231023">
        <w:rPr>
          <w:sz w:val="24"/>
          <w:szCs w:val="24"/>
        </w:rPr>
        <w:t>Acknowledged the concern and discussed expanding language to better capture variation in symptom presentation while maintaining a connection to risk.</w:t>
      </w:r>
    </w:p>
    <w:p w14:paraId="1DB767B7" w14:textId="77777777" w:rsidR="006A35E2" w:rsidRPr="00231023" w:rsidRDefault="00520B18">
      <w:pPr>
        <w:pStyle w:val="ListParagraph"/>
        <w:numPr>
          <w:ilvl w:val="0"/>
          <w:numId w:val="27"/>
        </w:numPr>
        <w:spacing w:after="0"/>
        <w:rPr>
          <w:sz w:val="24"/>
          <w:szCs w:val="24"/>
        </w:rPr>
      </w:pPr>
      <w:r w:rsidRPr="00231023">
        <w:rPr>
          <w:sz w:val="24"/>
          <w:szCs w:val="24"/>
        </w:rPr>
        <w:t xml:space="preserve">Extreme Risk </w:t>
      </w:r>
    </w:p>
    <w:p w14:paraId="37F06F56" w14:textId="77777777" w:rsidR="00520B18" w:rsidRPr="00231023" w:rsidRDefault="00520B18" w:rsidP="006A35E2">
      <w:pPr>
        <w:pStyle w:val="ListParagraph"/>
        <w:numPr>
          <w:ilvl w:val="1"/>
          <w:numId w:val="27"/>
        </w:numPr>
        <w:spacing w:after="0"/>
        <w:rPr>
          <w:sz w:val="24"/>
          <w:szCs w:val="24"/>
        </w:rPr>
      </w:pPr>
      <w:r w:rsidRPr="00231023">
        <w:rPr>
          <w:sz w:val="24"/>
          <w:szCs w:val="24"/>
        </w:rPr>
        <w:t>A member asked whether the phrase “highly probable” is defined elsewhere or requires clarification.</w:t>
      </w:r>
    </w:p>
    <w:p w14:paraId="012F69F7" w14:textId="41C46DF1" w:rsidR="00520B18" w:rsidRPr="00231023" w:rsidRDefault="00520B18" w:rsidP="006A35E2">
      <w:pPr>
        <w:pStyle w:val="ListParagraph"/>
        <w:numPr>
          <w:ilvl w:val="1"/>
          <w:numId w:val="27"/>
        </w:numPr>
        <w:spacing w:after="0"/>
        <w:rPr>
          <w:sz w:val="24"/>
          <w:szCs w:val="24"/>
        </w:rPr>
      </w:pPr>
      <w:r w:rsidRPr="00231023">
        <w:rPr>
          <w:sz w:val="24"/>
          <w:szCs w:val="24"/>
        </w:rPr>
        <w:t>Staff Input (Alison Bort):</w:t>
      </w:r>
      <w:r w:rsidR="006A35E2" w:rsidRPr="00231023">
        <w:rPr>
          <w:sz w:val="24"/>
          <w:szCs w:val="24"/>
        </w:rPr>
        <w:t xml:space="preserve"> </w:t>
      </w:r>
      <w:r w:rsidRPr="00231023">
        <w:rPr>
          <w:sz w:val="24"/>
          <w:szCs w:val="24"/>
        </w:rPr>
        <w:t>Explained that the phrase comes directly from the Court of Appeals decision (TLB) and that the intent was to rely on that case rather than create a new definition in rule.</w:t>
      </w:r>
    </w:p>
    <w:p w14:paraId="1300D3AB" w14:textId="77777777" w:rsidR="00520B18" w:rsidRPr="00231023" w:rsidRDefault="00520B18" w:rsidP="00520B18">
      <w:pPr>
        <w:pStyle w:val="ListParagraph"/>
        <w:numPr>
          <w:ilvl w:val="0"/>
          <w:numId w:val="27"/>
        </w:numPr>
        <w:spacing w:after="0"/>
        <w:rPr>
          <w:sz w:val="24"/>
          <w:szCs w:val="24"/>
        </w:rPr>
      </w:pPr>
      <w:r w:rsidRPr="00231023">
        <w:rPr>
          <w:sz w:val="24"/>
          <w:szCs w:val="24"/>
        </w:rPr>
        <w:t>Judicial Notice and Prior Findings</w:t>
      </w:r>
    </w:p>
    <w:p w14:paraId="1D447775" w14:textId="4DE2EE85" w:rsidR="00520B18" w:rsidRPr="00231023" w:rsidRDefault="00520B18">
      <w:pPr>
        <w:pStyle w:val="ListParagraph"/>
        <w:numPr>
          <w:ilvl w:val="1"/>
          <w:numId w:val="27"/>
        </w:numPr>
        <w:spacing w:after="0"/>
        <w:rPr>
          <w:sz w:val="24"/>
          <w:szCs w:val="24"/>
        </w:rPr>
      </w:pPr>
      <w:r w:rsidRPr="00231023">
        <w:rPr>
          <w:sz w:val="24"/>
          <w:szCs w:val="24"/>
        </w:rPr>
        <w:t>A member stated that the finding that a qualifying act occurred “because of a qualifying mental disorder” carries forward and should not need to be relitigated, emphasizing concerns about retraumatizing victims and repeatedly litigating the same underlying facts.</w:t>
      </w:r>
      <w:r w:rsidR="00BA3AFC" w:rsidRPr="00231023">
        <w:rPr>
          <w:sz w:val="24"/>
          <w:szCs w:val="24"/>
        </w:rPr>
        <w:t xml:space="preserve"> </w:t>
      </w:r>
      <w:r w:rsidRPr="00231023">
        <w:rPr>
          <w:sz w:val="24"/>
          <w:szCs w:val="24"/>
        </w:rPr>
        <w:t>The same member clarified that parties can still argue whether a person currently meets criteria (e.g., still has a qualifying mental disorder or is still dangerous), but not the original causal finding.</w:t>
      </w:r>
    </w:p>
    <w:p w14:paraId="4159FF1E" w14:textId="781FCCD5" w:rsidR="00520B18" w:rsidRPr="00231023" w:rsidRDefault="00520B18" w:rsidP="00842091">
      <w:pPr>
        <w:pStyle w:val="ListParagraph"/>
        <w:numPr>
          <w:ilvl w:val="1"/>
          <w:numId w:val="27"/>
        </w:numPr>
        <w:spacing w:after="0"/>
        <w:rPr>
          <w:sz w:val="24"/>
          <w:szCs w:val="24"/>
        </w:rPr>
      </w:pPr>
      <w:r w:rsidRPr="00231023">
        <w:rPr>
          <w:sz w:val="24"/>
          <w:szCs w:val="24"/>
        </w:rPr>
        <w:t>Staff Input (Alison Bort):</w:t>
      </w:r>
      <w:r w:rsidR="00842091" w:rsidRPr="00231023">
        <w:rPr>
          <w:sz w:val="24"/>
          <w:szCs w:val="24"/>
        </w:rPr>
        <w:t xml:space="preserve"> </w:t>
      </w:r>
      <w:r w:rsidRPr="00231023">
        <w:rPr>
          <w:sz w:val="24"/>
          <w:szCs w:val="24"/>
        </w:rPr>
        <w:t xml:space="preserve">Discussed the Board’s ability to take judicial notice of prior findings and clarified the distinction between </w:t>
      </w:r>
      <w:r w:rsidR="002E63FA" w:rsidRPr="00231023">
        <w:rPr>
          <w:sz w:val="24"/>
          <w:szCs w:val="24"/>
        </w:rPr>
        <w:t>judicial notice of</w:t>
      </w:r>
      <w:r w:rsidRPr="00231023">
        <w:rPr>
          <w:sz w:val="24"/>
          <w:szCs w:val="24"/>
        </w:rPr>
        <w:t xml:space="preserve"> the act versus revisiting the </w:t>
      </w:r>
      <w:r w:rsidRPr="00231023">
        <w:rPr>
          <w:sz w:val="24"/>
          <w:szCs w:val="24"/>
        </w:rPr>
        <w:lastRenderedPageBreak/>
        <w:t xml:space="preserve">causal relationship, leading to </w:t>
      </w:r>
      <w:r w:rsidR="002E63FA" w:rsidRPr="00231023">
        <w:rPr>
          <w:sz w:val="24"/>
          <w:szCs w:val="24"/>
        </w:rPr>
        <w:t xml:space="preserve">needing further </w:t>
      </w:r>
      <w:r w:rsidRPr="00231023">
        <w:rPr>
          <w:sz w:val="24"/>
          <w:szCs w:val="24"/>
        </w:rPr>
        <w:t>clarification of the statutory framework during discussion.</w:t>
      </w:r>
    </w:p>
    <w:p w14:paraId="5F83E08E" w14:textId="77777777" w:rsidR="003F77F0" w:rsidRPr="00231023" w:rsidRDefault="003F77F0" w:rsidP="003F77F0">
      <w:pPr>
        <w:pStyle w:val="ListParagraph"/>
        <w:spacing w:after="0"/>
        <w:ind w:left="1440"/>
        <w:rPr>
          <w:sz w:val="24"/>
          <w:szCs w:val="24"/>
        </w:rPr>
      </w:pPr>
    </w:p>
    <w:p w14:paraId="5677F2EF" w14:textId="236713DE" w:rsidR="007022AB" w:rsidRPr="00231023" w:rsidRDefault="007022AB" w:rsidP="007022AB">
      <w:pPr>
        <w:spacing w:after="0"/>
        <w:rPr>
          <w:sz w:val="24"/>
          <w:szCs w:val="24"/>
          <w:u w:val="single"/>
        </w:rPr>
      </w:pPr>
      <w:r w:rsidRPr="00231023">
        <w:rPr>
          <w:sz w:val="24"/>
          <w:szCs w:val="24"/>
          <w:u w:val="single"/>
        </w:rPr>
        <w:t>859-200-</w:t>
      </w:r>
      <w:r w:rsidR="003F77F0" w:rsidRPr="00231023">
        <w:rPr>
          <w:sz w:val="24"/>
          <w:szCs w:val="24"/>
          <w:u w:val="single"/>
        </w:rPr>
        <w:t>0147</w:t>
      </w:r>
    </w:p>
    <w:p w14:paraId="349D09E6" w14:textId="1099103F" w:rsidR="00520B18" w:rsidRPr="00231023" w:rsidRDefault="00520B18" w:rsidP="00520B18">
      <w:pPr>
        <w:pStyle w:val="ListParagraph"/>
        <w:numPr>
          <w:ilvl w:val="0"/>
          <w:numId w:val="27"/>
        </w:numPr>
        <w:spacing w:after="0"/>
        <w:rPr>
          <w:sz w:val="24"/>
          <w:szCs w:val="24"/>
        </w:rPr>
      </w:pPr>
      <w:r w:rsidRPr="00231023">
        <w:rPr>
          <w:sz w:val="24"/>
          <w:szCs w:val="24"/>
        </w:rPr>
        <w:t xml:space="preserve">Examination Content Requirements </w:t>
      </w:r>
    </w:p>
    <w:p w14:paraId="3D378943" w14:textId="77777777" w:rsidR="002E63FA" w:rsidRPr="00231023" w:rsidRDefault="00520B18" w:rsidP="002E63FA">
      <w:pPr>
        <w:pStyle w:val="ListParagraph"/>
        <w:numPr>
          <w:ilvl w:val="1"/>
          <w:numId w:val="27"/>
        </w:numPr>
        <w:spacing w:after="0"/>
        <w:rPr>
          <w:sz w:val="24"/>
          <w:szCs w:val="24"/>
        </w:rPr>
      </w:pPr>
      <w:r w:rsidRPr="00231023">
        <w:rPr>
          <w:sz w:val="24"/>
          <w:szCs w:val="24"/>
        </w:rPr>
        <w:t>A member raised concern that stating examiners are not required to provide legal conclusions or use statutory terminology could lead evaluators to avoid answering key questions needed at hearings, creating ambiguity and difficulty in meeting legal burdens.</w:t>
      </w:r>
      <w:r w:rsidR="002E63FA" w:rsidRPr="00231023">
        <w:rPr>
          <w:sz w:val="24"/>
          <w:szCs w:val="24"/>
        </w:rPr>
        <w:t xml:space="preserve"> </w:t>
      </w:r>
      <w:r w:rsidRPr="00231023">
        <w:rPr>
          <w:sz w:val="24"/>
          <w:szCs w:val="24"/>
        </w:rPr>
        <w:t>The same member emphasized that even if not required, evaluators will be asked questions using statutory language and should be prepared to respond.</w:t>
      </w:r>
    </w:p>
    <w:p w14:paraId="6688142A" w14:textId="78A54302" w:rsidR="00520B18" w:rsidRPr="00231023" w:rsidRDefault="00520B18" w:rsidP="004A729D">
      <w:pPr>
        <w:pStyle w:val="ListParagraph"/>
        <w:numPr>
          <w:ilvl w:val="1"/>
          <w:numId w:val="27"/>
        </w:numPr>
        <w:spacing w:after="0"/>
        <w:rPr>
          <w:sz w:val="24"/>
          <w:szCs w:val="24"/>
        </w:rPr>
      </w:pPr>
      <w:r w:rsidRPr="00231023">
        <w:rPr>
          <w:sz w:val="24"/>
          <w:szCs w:val="24"/>
        </w:rPr>
        <w:t>A member raised concern that limiting discussion to “subsequent” incidents excludes relevant historical behavior prior to the qualifying act, emphasizing that a person’s full history is important.</w:t>
      </w:r>
      <w:r w:rsidR="00663BC8" w:rsidRPr="00231023">
        <w:rPr>
          <w:sz w:val="24"/>
          <w:szCs w:val="24"/>
        </w:rPr>
        <w:t xml:space="preserve"> </w:t>
      </w:r>
      <w:r w:rsidRPr="00231023">
        <w:rPr>
          <w:sz w:val="24"/>
          <w:szCs w:val="24"/>
        </w:rPr>
        <w:t>The same member stated that insight into the need for treatment and medication should be explicitly included, distinguishing between historical compliance and current insight.</w:t>
      </w:r>
      <w:r w:rsidR="003A247F" w:rsidRPr="00231023">
        <w:rPr>
          <w:sz w:val="24"/>
          <w:szCs w:val="24"/>
        </w:rPr>
        <w:t xml:space="preserve"> </w:t>
      </w:r>
      <w:r w:rsidRPr="00231023">
        <w:rPr>
          <w:sz w:val="24"/>
          <w:szCs w:val="24"/>
        </w:rPr>
        <w:t>The same member questioned inclusion of language regarding “limitations in available information,” stating it seemed out of place compared to other person-focused factors.</w:t>
      </w:r>
    </w:p>
    <w:p w14:paraId="7C1FDB06" w14:textId="6BC3A6DA" w:rsidR="00447C6C" w:rsidRPr="00231023" w:rsidRDefault="00447C6C" w:rsidP="00447C6C">
      <w:pPr>
        <w:pStyle w:val="ListParagraph"/>
        <w:numPr>
          <w:ilvl w:val="1"/>
          <w:numId w:val="27"/>
        </w:numPr>
        <w:spacing w:after="0"/>
        <w:rPr>
          <w:sz w:val="24"/>
          <w:szCs w:val="24"/>
        </w:rPr>
      </w:pPr>
      <w:r w:rsidRPr="00231023">
        <w:rPr>
          <w:sz w:val="24"/>
          <w:szCs w:val="24"/>
        </w:rPr>
        <w:t>A member questioned placement of provision related to limitations in information, indicating concern about clarity and organization of content requirements.</w:t>
      </w:r>
    </w:p>
    <w:p w14:paraId="733068AB" w14:textId="17FD4385" w:rsidR="00520B18" w:rsidRPr="00231023" w:rsidRDefault="00520B18" w:rsidP="004A729D">
      <w:pPr>
        <w:pStyle w:val="ListParagraph"/>
        <w:numPr>
          <w:ilvl w:val="1"/>
          <w:numId w:val="27"/>
        </w:numPr>
        <w:spacing w:after="0"/>
        <w:rPr>
          <w:sz w:val="24"/>
          <w:szCs w:val="24"/>
        </w:rPr>
      </w:pPr>
      <w:r w:rsidRPr="00231023">
        <w:rPr>
          <w:sz w:val="24"/>
          <w:szCs w:val="24"/>
        </w:rPr>
        <w:t>A member compared the rule to OAR 309-033-0960 and identified missing elements:</w:t>
      </w:r>
      <w:r w:rsidR="004A729D" w:rsidRPr="00231023">
        <w:rPr>
          <w:sz w:val="24"/>
          <w:szCs w:val="24"/>
        </w:rPr>
        <w:t xml:space="preserve"> </w:t>
      </w:r>
      <w:r w:rsidRPr="00231023">
        <w:rPr>
          <w:sz w:val="24"/>
          <w:szCs w:val="24"/>
        </w:rPr>
        <w:t>substance use history</w:t>
      </w:r>
      <w:r w:rsidR="004A729D" w:rsidRPr="00231023">
        <w:rPr>
          <w:sz w:val="24"/>
          <w:szCs w:val="24"/>
        </w:rPr>
        <w:t xml:space="preserve"> and </w:t>
      </w:r>
      <w:r w:rsidRPr="00231023">
        <w:rPr>
          <w:sz w:val="24"/>
          <w:szCs w:val="24"/>
        </w:rPr>
        <w:t>medical conditions that may produce similar behaviors</w:t>
      </w:r>
      <w:r w:rsidR="004A729D" w:rsidRPr="00231023">
        <w:rPr>
          <w:sz w:val="24"/>
          <w:szCs w:val="24"/>
        </w:rPr>
        <w:t xml:space="preserve">. </w:t>
      </w:r>
      <w:r w:rsidRPr="00231023">
        <w:rPr>
          <w:sz w:val="24"/>
          <w:szCs w:val="24"/>
        </w:rPr>
        <w:t xml:space="preserve">The </w:t>
      </w:r>
      <w:r w:rsidR="004A729D" w:rsidRPr="00231023">
        <w:rPr>
          <w:sz w:val="24"/>
          <w:szCs w:val="24"/>
        </w:rPr>
        <w:t>same</w:t>
      </w:r>
      <w:r w:rsidRPr="00231023">
        <w:rPr>
          <w:sz w:val="24"/>
          <w:szCs w:val="24"/>
        </w:rPr>
        <w:t xml:space="preserve"> </w:t>
      </w:r>
      <w:proofErr w:type="gramStart"/>
      <w:r w:rsidRPr="00231023">
        <w:rPr>
          <w:sz w:val="24"/>
          <w:szCs w:val="24"/>
        </w:rPr>
        <w:t>member</w:t>
      </w:r>
      <w:proofErr w:type="gramEnd"/>
      <w:r w:rsidRPr="00231023">
        <w:rPr>
          <w:sz w:val="24"/>
          <w:szCs w:val="24"/>
        </w:rPr>
        <w:t xml:space="preserve"> </w:t>
      </w:r>
      <w:proofErr w:type="gramStart"/>
      <w:r w:rsidRPr="00231023">
        <w:rPr>
          <w:sz w:val="24"/>
          <w:szCs w:val="24"/>
        </w:rPr>
        <w:t>stated</w:t>
      </w:r>
      <w:proofErr w:type="gramEnd"/>
      <w:r w:rsidRPr="00231023">
        <w:rPr>
          <w:sz w:val="24"/>
          <w:szCs w:val="24"/>
        </w:rPr>
        <w:t xml:space="preserve"> these are necessary to determine whether behavior is attributable to a qualifying mental disorder and expressed concern that if not explicitly required, they may be omitted.</w:t>
      </w:r>
      <w:r w:rsidR="004A729D" w:rsidRPr="00231023">
        <w:rPr>
          <w:sz w:val="24"/>
          <w:szCs w:val="24"/>
        </w:rPr>
        <w:t xml:space="preserve"> </w:t>
      </w:r>
      <w:r w:rsidRPr="00231023">
        <w:rPr>
          <w:sz w:val="24"/>
          <w:szCs w:val="24"/>
        </w:rPr>
        <w:t>The same member explained that substance use and medical conditions are relevant because they may provide alternative explanations for behavior attributed to a mental disorder.</w:t>
      </w:r>
    </w:p>
    <w:p w14:paraId="232C628E" w14:textId="77777777" w:rsidR="00520B18" w:rsidRPr="00231023" w:rsidRDefault="00520B18" w:rsidP="004A729D">
      <w:pPr>
        <w:pStyle w:val="ListParagraph"/>
        <w:numPr>
          <w:ilvl w:val="2"/>
          <w:numId w:val="27"/>
        </w:numPr>
        <w:spacing w:after="0"/>
        <w:rPr>
          <w:sz w:val="24"/>
          <w:szCs w:val="24"/>
        </w:rPr>
      </w:pPr>
      <w:r w:rsidRPr="00231023">
        <w:rPr>
          <w:sz w:val="24"/>
          <w:szCs w:val="24"/>
        </w:rPr>
        <w:t>A member responded that those factors are used differently in civil commitment investigations and emphasized the distinction between investigative reports and the type of information relevant at this stage.</w:t>
      </w:r>
    </w:p>
    <w:p w14:paraId="067CA335" w14:textId="73A1B2BA" w:rsidR="00520B18" w:rsidRPr="00231023" w:rsidRDefault="00520B18" w:rsidP="004A729D">
      <w:pPr>
        <w:pStyle w:val="ListParagraph"/>
        <w:numPr>
          <w:ilvl w:val="2"/>
          <w:numId w:val="27"/>
        </w:numPr>
        <w:spacing w:after="0"/>
        <w:rPr>
          <w:sz w:val="24"/>
          <w:szCs w:val="24"/>
        </w:rPr>
      </w:pPr>
      <w:r w:rsidRPr="00231023">
        <w:rPr>
          <w:sz w:val="24"/>
          <w:szCs w:val="24"/>
        </w:rPr>
        <w:t>A member emphasized that, in PSRB cases, the existence of a qualifying mental disorder has already been determined, and the evaluation is not re-establishing that issue but instead assessing ongoing risk and current condition.</w:t>
      </w:r>
      <w:r w:rsidR="004A729D" w:rsidRPr="00231023">
        <w:rPr>
          <w:sz w:val="24"/>
          <w:szCs w:val="24"/>
        </w:rPr>
        <w:t xml:space="preserve"> </w:t>
      </w:r>
      <w:r w:rsidRPr="00231023">
        <w:rPr>
          <w:sz w:val="24"/>
          <w:szCs w:val="24"/>
        </w:rPr>
        <w:t>The same member stated that substance use is still relevant, but for different reasons than in initial civil commitment proceedings.</w:t>
      </w:r>
    </w:p>
    <w:p w14:paraId="768DD189" w14:textId="77777777" w:rsidR="00520B18" w:rsidRPr="00231023" w:rsidRDefault="00520B18" w:rsidP="004A729D">
      <w:pPr>
        <w:pStyle w:val="ListParagraph"/>
        <w:numPr>
          <w:ilvl w:val="1"/>
          <w:numId w:val="27"/>
        </w:numPr>
        <w:spacing w:after="0"/>
        <w:rPr>
          <w:sz w:val="24"/>
          <w:szCs w:val="24"/>
        </w:rPr>
      </w:pPr>
      <w:r w:rsidRPr="00231023">
        <w:rPr>
          <w:sz w:val="24"/>
          <w:szCs w:val="24"/>
        </w:rPr>
        <w:t>A member recommended including a mental status examination (point-in-time assessment) in addition to psychosocial history.</w:t>
      </w:r>
    </w:p>
    <w:p w14:paraId="318758F7" w14:textId="1B3C13B7" w:rsidR="00520B18" w:rsidRPr="00231023" w:rsidRDefault="00520B18" w:rsidP="007D1711">
      <w:pPr>
        <w:pStyle w:val="ListParagraph"/>
        <w:numPr>
          <w:ilvl w:val="1"/>
          <w:numId w:val="27"/>
        </w:numPr>
        <w:spacing w:after="0"/>
        <w:rPr>
          <w:sz w:val="24"/>
          <w:szCs w:val="24"/>
        </w:rPr>
      </w:pPr>
      <w:r w:rsidRPr="00231023">
        <w:rPr>
          <w:sz w:val="24"/>
          <w:szCs w:val="24"/>
        </w:rPr>
        <w:t>A member raised concern that the rule may not adequately capture how a person’s condition has changed over time, particularly improvements in insight, and questioned how individuals demonstrate progress under the statutory framework.</w:t>
      </w:r>
      <w:r w:rsidR="007D1711" w:rsidRPr="00231023">
        <w:rPr>
          <w:sz w:val="24"/>
          <w:szCs w:val="24"/>
        </w:rPr>
        <w:t xml:space="preserve"> </w:t>
      </w:r>
      <w:r w:rsidRPr="00231023">
        <w:rPr>
          <w:sz w:val="24"/>
          <w:szCs w:val="24"/>
        </w:rPr>
        <w:t xml:space="preserve">The same member </w:t>
      </w:r>
      <w:r w:rsidRPr="00231023">
        <w:rPr>
          <w:sz w:val="24"/>
          <w:szCs w:val="24"/>
        </w:rPr>
        <w:lastRenderedPageBreak/>
        <w:t>questioned how individuals transition out of the statute, especially where risk is controlled through structured supervision rather than absence of symptoms.</w:t>
      </w:r>
    </w:p>
    <w:p w14:paraId="306CCA42" w14:textId="21B4B349" w:rsidR="00520B18" w:rsidRPr="00231023" w:rsidRDefault="00520B18" w:rsidP="00520B18">
      <w:pPr>
        <w:pStyle w:val="ListParagraph"/>
        <w:numPr>
          <w:ilvl w:val="0"/>
          <w:numId w:val="27"/>
        </w:numPr>
        <w:spacing w:after="0"/>
        <w:rPr>
          <w:sz w:val="24"/>
          <w:szCs w:val="24"/>
        </w:rPr>
      </w:pPr>
      <w:r w:rsidRPr="00231023">
        <w:rPr>
          <w:sz w:val="24"/>
          <w:szCs w:val="24"/>
        </w:rPr>
        <w:t>Examiner Authority</w:t>
      </w:r>
      <w:r w:rsidR="007D1711" w:rsidRPr="00231023">
        <w:rPr>
          <w:sz w:val="24"/>
          <w:szCs w:val="24"/>
        </w:rPr>
        <w:t>:</w:t>
      </w:r>
      <w:r w:rsidRPr="00231023">
        <w:rPr>
          <w:sz w:val="24"/>
          <w:szCs w:val="24"/>
        </w:rPr>
        <w:t xml:space="preserve"> Board vs. Court</w:t>
      </w:r>
    </w:p>
    <w:p w14:paraId="5898073D" w14:textId="77777777" w:rsidR="00520B18" w:rsidRPr="00231023" w:rsidRDefault="00520B18" w:rsidP="007D1711">
      <w:pPr>
        <w:pStyle w:val="ListParagraph"/>
        <w:numPr>
          <w:ilvl w:val="1"/>
          <w:numId w:val="27"/>
        </w:numPr>
        <w:spacing w:after="0"/>
        <w:rPr>
          <w:sz w:val="24"/>
          <w:szCs w:val="24"/>
        </w:rPr>
      </w:pPr>
      <w:r w:rsidRPr="00231023">
        <w:rPr>
          <w:sz w:val="24"/>
          <w:szCs w:val="24"/>
        </w:rPr>
        <w:t>A member asked whether rules apply to court examiners or only to Board proceedings and expressed concern about lack of clarity for court examiner standards.</w:t>
      </w:r>
    </w:p>
    <w:p w14:paraId="3C7A28D6" w14:textId="47864878" w:rsidR="00520B18" w:rsidRPr="00231023" w:rsidRDefault="00520B18" w:rsidP="007D1711">
      <w:pPr>
        <w:pStyle w:val="ListParagraph"/>
        <w:numPr>
          <w:ilvl w:val="1"/>
          <w:numId w:val="27"/>
        </w:numPr>
        <w:spacing w:after="0"/>
        <w:rPr>
          <w:sz w:val="24"/>
          <w:szCs w:val="24"/>
        </w:rPr>
      </w:pPr>
      <w:r w:rsidRPr="00231023">
        <w:rPr>
          <w:sz w:val="24"/>
          <w:szCs w:val="24"/>
        </w:rPr>
        <w:t>Staff Input (Alison Bort):</w:t>
      </w:r>
      <w:r w:rsidR="007D1711" w:rsidRPr="00231023">
        <w:rPr>
          <w:sz w:val="24"/>
          <w:szCs w:val="24"/>
        </w:rPr>
        <w:t xml:space="preserve"> </w:t>
      </w:r>
      <w:r w:rsidRPr="00231023">
        <w:rPr>
          <w:sz w:val="24"/>
          <w:szCs w:val="24"/>
        </w:rPr>
        <w:t>Clarified that these rules apply only to Board proceedings and that the Board does not believe it has authority to regulate court-appointed examiners, noting that work with OHA on certification and standards is ongoing outside this rulemaking process.</w:t>
      </w:r>
    </w:p>
    <w:p w14:paraId="1BF8D376" w14:textId="77777777" w:rsidR="004A1D06" w:rsidRPr="00231023" w:rsidRDefault="004A1D06" w:rsidP="004A1D06">
      <w:pPr>
        <w:pStyle w:val="ListParagraph"/>
        <w:spacing w:after="0"/>
        <w:ind w:left="1440"/>
        <w:rPr>
          <w:sz w:val="24"/>
          <w:szCs w:val="24"/>
        </w:rPr>
      </w:pPr>
    </w:p>
    <w:p w14:paraId="5C1DD73D" w14:textId="00C970DA" w:rsidR="00EA70A7" w:rsidRPr="00231023" w:rsidRDefault="00EA70A7" w:rsidP="00EA70A7">
      <w:pPr>
        <w:spacing w:after="0"/>
        <w:rPr>
          <w:sz w:val="24"/>
          <w:szCs w:val="24"/>
          <w:u w:val="single"/>
        </w:rPr>
      </w:pPr>
      <w:r w:rsidRPr="00231023">
        <w:rPr>
          <w:sz w:val="24"/>
          <w:szCs w:val="24"/>
          <w:u w:val="single"/>
        </w:rPr>
        <w:t>859-200-</w:t>
      </w:r>
      <w:r w:rsidR="004A1D06" w:rsidRPr="00231023">
        <w:rPr>
          <w:sz w:val="24"/>
          <w:szCs w:val="24"/>
          <w:u w:val="single"/>
        </w:rPr>
        <w:t>0145</w:t>
      </w:r>
    </w:p>
    <w:p w14:paraId="357D602D" w14:textId="77777777" w:rsidR="00520B18" w:rsidRPr="00231023" w:rsidRDefault="00520B18" w:rsidP="007D1711">
      <w:pPr>
        <w:pStyle w:val="ListParagraph"/>
        <w:numPr>
          <w:ilvl w:val="0"/>
          <w:numId w:val="27"/>
        </w:numPr>
        <w:spacing w:after="0"/>
        <w:rPr>
          <w:sz w:val="24"/>
          <w:szCs w:val="24"/>
        </w:rPr>
      </w:pPr>
      <w:r w:rsidRPr="00231023">
        <w:rPr>
          <w:sz w:val="24"/>
          <w:szCs w:val="24"/>
        </w:rPr>
        <w:t>Selection of Examiners and Objections</w:t>
      </w:r>
    </w:p>
    <w:p w14:paraId="2A5ED8E1" w14:textId="77777777" w:rsidR="008D5E7B" w:rsidRPr="00231023" w:rsidRDefault="008D5E7B" w:rsidP="008D5E7B">
      <w:pPr>
        <w:pStyle w:val="ListParagraph"/>
        <w:numPr>
          <w:ilvl w:val="1"/>
          <w:numId w:val="27"/>
        </w:numPr>
        <w:spacing w:after="0"/>
        <w:rPr>
          <w:sz w:val="24"/>
          <w:szCs w:val="24"/>
        </w:rPr>
      </w:pPr>
      <w:r w:rsidRPr="00231023">
        <w:rPr>
          <w:sz w:val="24"/>
          <w:szCs w:val="24"/>
        </w:rPr>
        <w:t>A member asked whether the defense should be able to object to an examiner selected by the state, comparing the issue to GEI evaluations.</w:t>
      </w:r>
    </w:p>
    <w:p w14:paraId="1566F9CB" w14:textId="329F24B8" w:rsidR="00520B18" w:rsidRPr="00231023" w:rsidRDefault="008D5E7B" w:rsidP="00BA058C">
      <w:pPr>
        <w:pStyle w:val="ListParagraph"/>
        <w:numPr>
          <w:ilvl w:val="1"/>
          <w:numId w:val="27"/>
        </w:numPr>
        <w:spacing w:after="0"/>
        <w:rPr>
          <w:sz w:val="24"/>
          <w:szCs w:val="24"/>
        </w:rPr>
      </w:pPr>
      <w:r w:rsidRPr="00231023">
        <w:rPr>
          <w:sz w:val="24"/>
          <w:szCs w:val="24"/>
        </w:rPr>
        <w:t>A member explained that, in practice, examiners are generally appointed by the court based on availability and that they were not aware of a mechanism to challenge the appointed examiner.</w:t>
      </w:r>
      <w:r w:rsidR="00BA058C" w:rsidRPr="00231023">
        <w:rPr>
          <w:sz w:val="24"/>
          <w:szCs w:val="24"/>
        </w:rPr>
        <w:t xml:space="preserve"> They further commented </w:t>
      </w:r>
      <w:r w:rsidRPr="00231023">
        <w:rPr>
          <w:sz w:val="24"/>
          <w:szCs w:val="24"/>
        </w:rPr>
        <w:t>that the defense may obtain its own expert evaluation without authorization, while the state requires explicit authority to obtain an additional examination because the person is represented.</w:t>
      </w:r>
    </w:p>
    <w:p w14:paraId="119C28CB" w14:textId="046B6719" w:rsidR="00BA058C" w:rsidRPr="00231023" w:rsidRDefault="00BA058C" w:rsidP="00BA058C">
      <w:pPr>
        <w:pStyle w:val="ListParagraph"/>
        <w:numPr>
          <w:ilvl w:val="1"/>
          <w:numId w:val="27"/>
        </w:numPr>
        <w:spacing w:after="0"/>
        <w:rPr>
          <w:sz w:val="24"/>
          <w:szCs w:val="24"/>
        </w:rPr>
      </w:pPr>
      <w:r w:rsidRPr="00231023">
        <w:rPr>
          <w:sz w:val="24"/>
          <w:szCs w:val="24"/>
        </w:rPr>
        <w:t>Staff Input (Alison Bort): Questioned whether comparable statutory authority exists under ORS 426.701 or 426.702 and distinguished this context from GEI proceedings. Also clarified that the rule concerns additional examinations, not selection of the Board’s examiner, and that additional examinations are rarely used.</w:t>
      </w:r>
    </w:p>
    <w:p w14:paraId="3292257D" w14:textId="77777777" w:rsidR="00885A40" w:rsidRPr="00231023" w:rsidRDefault="00885A40" w:rsidP="00885A40">
      <w:pPr>
        <w:pStyle w:val="ListParagraph"/>
        <w:spacing w:after="0"/>
        <w:ind w:left="1440"/>
        <w:rPr>
          <w:sz w:val="24"/>
          <w:szCs w:val="24"/>
        </w:rPr>
      </w:pPr>
    </w:p>
    <w:p w14:paraId="0FCC2392" w14:textId="4197FB22" w:rsidR="00885A40" w:rsidRPr="00231023" w:rsidRDefault="00885A40" w:rsidP="00885A40">
      <w:pPr>
        <w:spacing w:after="0"/>
        <w:rPr>
          <w:sz w:val="24"/>
          <w:szCs w:val="24"/>
          <w:u w:val="single"/>
        </w:rPr>
      </w:pPr>
      <w:r w:rsidRPr="00231023">
        <w:rPr>
          <w:sz w:val="24"/>
          <w:szCs w:val="24"/>
          <w:u w:val="single"/>
        </w:rPr>
        <w:t>859-200-0025</w:t>
      </w:r>
    </w:p>
    <w:p w14:paraId="2A89B08C" w14:textId="64CC4C58" w:rsidR="00520B18" w:rsidRPr="00231023" w:rsidRDefault="00FC6BF5" w:rsidP="00520B18">
      <w:pPr>
        <w:pStyle w:val="ListParagraph"/>
        <w:numPr>
          <w:ilvl w:val="0"/>
          <w:numId w:val="27"/>
        </w:numPr>
        <w:spacing w:after="0"/>
        <w:rPr>
          <w:sz w:val="24"/>
          <w:szCs w:val="24"/>
        </w:rPr>
      </w:pPr>
      <w:r w:rsidRPr="00231023">
        <w:rPr>
          <w:sz w:val="24"/>
          <w:szCs w:val="24"/>
        </w:rPr>
        <w:t>Funding</w:t>
      </w:r>
      <w:r w:rsidR="00520B18" w:rsidRPr="00231023">
        <w:rPr>
          <w:sz w:val="24"/>
          <w:szCs w:val="24"/>
        </w:rPr>
        <w:t xml:space="preserve"> Examinations</w:t>
      </w:r>
    </w:p>
    <w:p w14:paraId="7F46AF7D" w14:textId="77777777" w:rsidR="00520B18" w:rsidRPr="00231023" w:rsidRDefault="00520B18" w:rsidP="000B15A1">
      <w:pPr>
        <w:pStyle w:val="ListParagraph"/>
        <w:numPr>
          <w:ilvl w:val="1"/>
          <w:numId w:val="27"/>
        </w:numPr>
        <w:spacing w:after="0"/>
        <w:rPr>
          <w:sz w:val="24"/>
          <w:szCs w:val="24"/>
        </w:rPr>
      </w:pPr>
      <w:r w:rsidRPr="00231023">
        <w:rPr>
          <w:sz w:val="24"/>
          <w:szCs w:val="24"/>
        </w:rPr>
        <w:t>A member asked who pays for examinations.</w:t>
      </w:r>
    </w:p>
    <w:p w14:paraId="5C53156F" w14:textId="0CEE7BE9" w:rsidR="00520B18" w:rsidRPr="00231023" w:rsidRDefault="00520B18" w:rsidP="000B15A1">
      <w:pPr>
        <w:pStyle w:val="ListParagraph"/>
        <w:numPr>
          <w:ilvl w:val="1"/>
          <w:numId w:val="27"/>
        </w:numPr>
        <w:spacing w:after="0"/>
        <w:rPr>
          <w:sz w:val="24"/>
          <w:szCs w:val="24"/>
        </w:rPr>
      </w:pPr>
      <w:r w:rsidRPr="00231023">
        <w:rPr>
          <w:sz w:val="24"/>
          <w:szCs w:val="24"/>
        </w:rPr>
        <w:t>Staff Input (Alison Bort):</w:t>
      </w:r>
      <w:r w:rsidR="000B15A1" w:rsidRPr="00231023">
        <w:rPr>
          <w:sz w:val="24"/>
          <w:szCs w:val="24"/>
        </w:rPr>
        <w:t xml:space="preserve"> </w:t>
      </w:r>
      <w:r w:rsidRPr="00231023">
        <w:rPr>
          <w:sz w:val="24"/>
          <w:szCs w:val="24"/>
        </w:rPr>
        <w:t>Explained that Board examinations are generally funded through OHA community supervision resources or the state hospital, while court examiner funding is a separate issue.</w:t>
      </w:r>
    </w:p>
    <w:p w14:paraId="5767DD55" w14:textId="77777777" w:rsidR="00885A40" w:rsidRPr="00231023" w:rsidRDefault="00885A40" w:rsidP="00885A40">
      <w:pPr>
        <w:pStyle w:val="ListParagraph"/>
        <w:spacing w:after="0"/>
        <w:ind w:left="1440"/>
        <w:rPr>
          <w:sz w:val="24"/>
          <w:szCs w:val="24"/>
        </w:rPr>
      </w:pPr>
    </w:p>
    <w:p w14:paraId="14BD75DF" w14:textId="14C35EF6" w:rsidR="001935AD" w:rsidRPr="00231023" w:rsidRDefault="001935AD" w:rsidP="001935AD">
      <w:pPr>
        <w:spacing w:after="0"/>
        <w:rPr>
          <w:sz w:val="24"/>
          <w:szCs w:val="24"/>
          <w:u w:val="single"/>
        </w:rPr>
      </w:pPr>
      <w:r w:rsidRPr="00231023">
        <w:rPr>
          <w:sz w:val="24"/>
          <w:szCs w:val="24"/>
          <w:u w:val="single"/>
        </w:rPr>
        <w:t>859-200-</w:t>
      </w:r>
      <w:r w:rsidR="00CA65D7" w:rsidRPr="00231023">
        <w:rPr>
          <w:sz w:val="24"/>
          <w:szCs w:val="24"/>
          <w:u w:val="single"/>
        </w:rPr>
        <w:t>0170</w:t>
      </w:r>
    </w:p>
    <w:p w14:paraId="7A6A2195" w14:textId="77777777" w:rsidR="00520B18" w:rsidRPr="00231023" w:rsidRDefault="00520B18" w:rsidP="00520B18">
      <w:pPr>
        <w:pStyle w:val="ListParagraph"/>
        <w:numPr>
          <w:ilvl w:val="0"/>
          <w:numId w:val="27"/>
        </w:numPr>
        <w:spacing w:after="0"/>
        <w:rPr>
          <w:sz w:val="24"/>
          <w:szCs w:val="24"/>
        </w:rPr>
      </w:pPr>
      <w:r w:rsidRPr="00231023">
        <w:rPr>
          <w:sz w:val="24"/>
          <w:szCs w:val="24"/>
        </w:rPr>
        <w:t>Hearing Structure and Timing</w:t>
      </w:r>
    </w:p>
    <w:p w14:paraId="54973E4C" w14:textId="50610EDB" w:rsidR="00520B18" w:rsidRPr="00231023" w:rsidRDefault="00520B18" w:rsidP="000B15A1">
      <w:pPr>
        <w:pStyle w:val="ListParagraph"/>
        <w:numPr>
          <w:ilvl w:val="1"/>
          <w:numId w:val="27"/>
        </w:numPr>
        <w:spacing w:after="0"/>
        <w:rPr>
          <w:sz w:val="24"/>
          <w:szCs w:val="24"/>
        </w:rPr>
      </w:pPr>
      <w:r w:rsidRPr="00231023">
        <w:rPr>
          <w:sz w:val="24"/>
          <w:szCs w:val="24"/>
        </w:rPr>
        <w:t xml:space="preserve">A member raised concern that allowing hearings </w:t>
      </w:r>
      <w:r w:rsidR="003620CE" w:rsidRPr="00231023">
        <w:rPr>
          <w:sz w:val="24"/>
          <w:szCs w:val="24"/>
        </w:rPr>
        <w:t xml:space="preserve">to occur </w:t>
      </w:r>
      <w:r w:rsidR="00452AF5" w:rsidRPr="00231023">
        <w:rPr>
          <w:sz w:val="24"/>
          <w:szCs w:val="24"/>
        </w:rPr>
        <w:t>prior to the initial hearing</w:t>
      </w:r>
      <w:r w:rsidR="00447C6C" w:rsidRPr="00231023">
        <w:rPr>
          <w:sz w:val="24"/>
          <w:szCs w:val="24"/>
        </w:rPr>
        <w:t xml:space="preserve"> where</w:t>
      </w:r>
      <w:r w:rsidRPr="00231023">
        <w:rPr>
          <w:sz w:val="24"/>
          <w:szCs w:val="24"/>
        </w:rPr>
        <w:t xml:space="preserve"> required examination reports </w:t>
      </w:r>
      <w:r w:rsidR="00447C6C" w:rsidRPr="00231023">
        <w:rPr>
          <w:sz w:val="24"/>
          <w:szCs w:val="24"/>
        </w:rPr>
        <w:t>may not be</w:t>
      </w:r>
      <w:r w:rsidRPr="00231023">
        <w:rPr>
          <w:sz w:val="24"/>
          <w:szCs w:val="24"/>
        </w:rPr>
        <w:t xml:space="preserve"> completed </w:t>
      </w:r>
      <w:r w:rsidR="00447C6C" w:rsidRPr="00231023">
        <w:rPr>
          <w:sz w:val="24"/>
          <w:szCs w:val="24"/>
        </w:rPr>
        <w:t xml:space="preserve">and </w:t>
      </w:r>
      <w:r w:rsidRPr="00231023">
        <w:rPr>
          <w:sz w:val="24"/>
          <w:szCs w:val="24"/>
        </w:rPr>
        <w:t>could lead to delays or continuances.</w:t>
      </w:r>
    </w:p>
    <w:p w14:paraId="653FF941" w14:textId="22EB6B19" w:rsidR="00520B18" w:rsidRPr="00231023" w:rsidRDefault="00520B18" w:rsidP="000B15A1">
      <w:pPr>
        <w:pStyle w:val="ListParagraph"/>
        <w:numPr>
          <w:ilvl w:val="1"/>
          <w:numId w:val="27"/>
        </w:numPr>
        <w:spacing w:after="0"/>
        <w:rPr>
          <w:sz w:val="24"/>
          <w:szCs w:val="24"/>
        </w:rPr>
      </w:pPr>
      <w:r w:rsidRPr="00231023">
        <w:rPr>
          <w:sz w:val="24"/>
          <w:szCs w:val="24"/>
        </w:rPr>
        <w:t>Staff Input (Alison Bort):</w:t>
      </w:r>
      <w:r w:rsidR="000B15A1" w:rsidRPr="00231023">
        <w:rPr>
          <w:sz w:val="24"/>
          <w:szCs w:val="24"/>
        </w:rPr>
        <w:t xml:space="preserve"> </w:t>
      </w:r>
      <w:r w:rsidRPr="00231023">
        <w:rPr>
          <w:sz w:val="24"/>
          <w:szCs w:val="24"/>
        </w:rPr>
        <w:t xml:space="preserve">Explained that the rule is intended to allow combining hearings (e.g., conditional release and initial hearings) when appropriate, reducing duplication, </w:t>
      </w:r>
      <w:r w:rsidRPr="00231023">
        <w:rPr>
          <w:sz w:val="24"/>
          <w:szCs w:val="24"/>
        </w:rPr>
        <w:lastRenderedPageBreak/>
        <w:t>while maintaining existing requirements when parties do not agree.</w:t>
      </w:r>
      <w:r w:rsidR="00447C6C" w:rsidRPr="00231023">
        <w:rPr>
          <w:sz w:val="24"/>
          <w:szCs w:val="24"/>
        </w:rPr>
        <w:t xml:space="preserve"> Examinations would be available.</w:t>
      </w:r>
    </w:p>
    <w:p w14:paraId="624A10A6" w14:textId="77777777" w:rsidR="00520B18" w:rsidRPr="00231023" w:rsidRDefault="00520B18" w:rsidP="00520B18">
      <w:pPr>
        <w:pStyle w:val="ListParagraph"/>
        <w:numPr>
          <w:ilvl w:val="0"/>
          <w:numId w:val="27"/>
        </w:numPr>
        <w:spacing w:after="0"/>
        <w:rPr>
          <w:sz w:val="24"/>
          <w:szCs w:val="24"/>
        </w:rPr>
      </w:pPr>
      <w:r w:rsidRPr="00231023">
        <w:rPr>
          <w:sz w:val="24"/>
          <w:szCs w:val="24"/>
        </w:rPr>
        <w:t>Meaning of “Proper Care” in Community</w:t>
      </w:r>
    </w:p>
    <w:p w14:paraId="4E6D8892" w14:textId="77777777" w:rsidR="00520B18" w:rsidRPr="00231023" w:rsidRDefault="00520B18" w:rsidP="00447C6C">
      <w:pPr>
        <w:pStyle w:val="ListParagraph"/>
        <w:numPr>
          <w:ilvl w:val="1"/>
          <w:numId w:val="27"/>
        </w:numPr>
        <w:spacing w:after="0"/>
        <w:rPr>
          <w:sz w:val="24"/>
          <w:szCs w:val="24"/>
        </w:rPr>
      </w:pPr>
      <w:r w:rsidRPr="00231023">
        <w:rPr>
          <w:sz w:val="24"/>
          <w:szCs w:val="24"/>
        </w:rPr>
        <w:t>A member asked what “proper care” means in the context of safely managing a person in the community.</w:t>
      </w:r>
    </w:p>
    <w:p w14:paraId="07A7A539" w14:textId="7B2CAD05" w:rsidR="00520B18" w:rsidRPr="00231023" w:rsidRDefault="00520B18" w:rsidP="00447C6C">
      <w:pPr>
        <w:pStyle w:val="ListParagraph"/>
        <w:numPr>
          <w:ilvl w:val="1"/>
          <w:numId w:val="27"/>
        </w:numPr>
        <w:spacing w:after="0"/>
        <w:rPr>
          <w:sz w:val="24"/>
          <w:szCs w:val="24"/>
        </w:rPr>
      </w:pPr>
      <w:r w:rsidRPr="00231023">
        <w:rPr>
          <w:sz w:val="24"/>
          <w:szCs w:val="24"/>
        </w:rPr>
        <w:t>Staff Input (Alison Bort):</w:t>
      </w:r>
      <w:r w:rsidR="00447C6C" w:rsidRPr="00231023">
        <w:rPr>
          <w:sz w:val="24"/>
          <w:szCs w:val="24"/>
        </w:rPr>
        <w:t xml:space="preserve"> </w:t>
      </w:r>
      <w:r w:rsidRPr="00231023">
        <w:rPr>
          <w:sz w:val="24"/>
          <w:szCs w:val="24"/>
        </w:rPr>
        <w:t>Explained that the language tracks the statute and refers to care that is both necessary and available in the community.</w:t>
      </w:r>
    </w:p>
    <w:p w14:paraId="39BECB74" w14:textId="77777777" w:rsidR="00520B18" w:rsidRPr="00231023" w:rsidRDefault="00520B18" w:rsidP="00D02169">
      <w:pPr>
        <w:spacing w:after="0"/>
        <w:rPr>
          <w:b/>
          <w:bCs/>
          <w:sz w:val="24"/>
          <w:szCs w:val="24"/>
          <w:u w:val="single"/>
        </w:rPr>
      </w:pPr>
    </w:p>
    <w:p w14:paraId="4FCC3B1C" w14:textId="0B7BC3E0" w:rsidR="00131DB2" w:rsidRPr="00BE3464" w:rsidRDefault="00131DB2" w:rsidP="00D02169">
      <w:pPr>
        <w:spacing w:after="0"/>
        <w:rPr>
          <w:b/>
          <w:bCs/>
          <w:sz w:val="24"/>
          <w:szCs w:val="24"/>
          <w:u w:val="single"/>
        </w:rPr>
      </w:pPr>
      <w:r w:rsidRPr="00BE3464">
        <w:rPr>
          <w:b/>
          <w:bCs/>
          <w:sz w:val="24"/>
          <w:szCs w:val="24"/>
          <w:u w:val="single"/>
        </w:rPr>
        <w:t>Required Rulemaking Considerations</w:t>
      </w:r>
    </w:p>
    <w:p w14:paraId="3ACF7981" w14:textId="58CFE66A" w:rsidR="00131DB2" w:rsidRPr="00BE3464" w:rsidRDefault="00147C2C" w:rsidP="00D02169">
      <w:pPr>
        <w:spacing w:after="0"/>
        <w:rPr>
          <w:sz w:val="24"/>
          <w:szCs w:val="24"/>
        </w:rPr>
      </w:pPr>
      <w:r w:rsidRPr="00BE3464">
        <w:rPr>
          <w:sz w:val="24"/>
          <w:szCs w:val="24"/>
        </w:rPr>
        <w:t>RAC members did not have input</w:t>
      </w:r>
      <w:r w:rsidR="00B3589D" w:rsidRPr="00BE3464">
        <w:rPr>
          <w:sz w:val="24"/>
          <w:szCs w:val="24"/>
        </w:rPr>
        <w:t xml:space="preserve"> when presented with the considerations for</w:t>
      </w:r>
      <w:r w:rsidRPr="00BE3464">
        <w:rPr>
          <w:sz w:val="24"/>
          <w:szCs w:val="24"/>
        </w:rPr>
        <w:t xml:space="preserve"> </w:t>
      </w:r>
      <w:r w:rsidR="00294028" w:rsidRPr="00BE3464">
        <w:rPr>
          <w:sz w:val="24"/>
          <w:szCs w:val="24"/>
        </w:rPr>
        <w:t>the p</w:t>
      </w:r>
      <w:r w:rsidR="00D7710C" w:rsidRPr="00BE3464">
        <w:rPr>
          <w:sz w:val="24"/>
          <w:szCs w:val="24"/>
        </w:rPr>
        <w:t>otential fiscal impact, impact on small business</w:t>
      </w:r>
      <w:r w:rsidR="00294028" w:rsidRPr="00BE3464">
        <w:rPr>
          <w:sz w:val="24"/>
          <w:szCs w:val="24"/>
        </w:rPr>
        <w:t>es</w:t>
      </w:r>
      <w:r w:rsidR="00D7710C" w:rsidRPr="00BE3464">
        <w:rPr>
          <w:sz w:val="24"/>
          <w:szCs w:val="24"/>
        </w:rPr>
        <w:t xml:space="preserve">, or on racial equity </w:t>
      </w:r>
      <w:r w:rsidR="00294028" w:rsidRPr="00BE3464">
        <w:rPr>
          <w:sz w:val="24"/>
          <w:szCs w:val="24"/>
        </w:rPr>
        <w:t xml:space="preserve">based on the proposed rule changes. </w:t>
      </w:r>
    </w:p>
    <w:p w14:paraId="1EAF58CA" w14:textId="77777777" w:rsidR="00294028" w:rsidRPr="00BE3464" w:rsidRDefault="00294028" w:rsidP="00D02169">
      <w:pPr>
        <w:spacing w:after="0"/>
        <w:rPr>
          <w:sz w:val="24"/>
          <w:szCs w:val="24"/>
        </w:rPr>
      </w:pPr>
    </w:p>
    <w:p w14:paraId="5B6093A6" w14:textId="0D4CBEC1" w:rsidR="00131DB2" w:rsidRPr="00BE3464" w:rsidRDefault="00131DB2" w:rsidP="00D02169">
      <w:pPr>
        <w:spacing w:after="0"/>
        <w:rPr>
          <w:b/>
          <w:bCs/>
          <w:sz w:val="24"/>
          <w:szCs w:val="24"/>
          <w:u w:val="single"/>
        </w:rPr>
      </w:pPr>
      <w:r w:rsidRPr="00BE3464">
        <w:rPr>
          <w:b/>
          <w:bCs/>
          <w:sz w:val="24"/>
          <w:szCs w:val="24"/>
          <w:u w:val="single"/>
        </w:rPr>
        <w:t>Next Steps &amp; Anticipated Dates</w:t>
      </w:r>
    </w:p>
    <w:p w14:paraId="70ED17DC" w14:textId="63E1E8B1" w:rsidR="008A0AB4" w:rsidRPr="00BE3464" w:rsidRDefault="002F521A" w:rsidP="00D02169">
      <w:pPr>
        <w:spacing w:after="0"/>
        <w:rPr>
          <w:sz w:val="24"/>
          <w:szCs w:val="24"/>
        </w:rPr>
      </w:pPr>
      <w:r w:rsidRPr="00BE3464">
        <w:rPr>
          <w:sz w:val="24"/>
          <w:szCs w:val="24"/>
        </w:rPr>
        <w:t>Alysson presented the next steps in the rulemaking process and will send follow-up information to the RAC members via email</w:t>
      </w:r>
      <w:r w:rsidR="00DF72A2" w:rsidRPr="00BE3464">
        <w:rPr>
          <w:sz w:val="24"/>
          <w:szCs w:val="24"/>
        </w:rPr>
        <w:t xml:space="preserve"> by Friday, April 24. The PSRB will be </w:t>
      </w:r>
      <w:r w:rsidR="008B66B9" w:rsidRPr="00BE3464">
        <w:rPr>
          <w:sz w:val="24"/>
          <w:szCs w:val="24"/>
        </w:rPr>
        <w:t xml:space="preserve">publishing public notice of proposed rulemaking in May and sending notices to legislature later in the month. Additional public comments are welcomed through May June 9. The PSRB will host a public hearing that day also. </w:t>
      </w:r>
      <w:r w:rsidR="007A7806" w:rsidRPr="00BE3464">
        <w:rPr>
          <w:sz w:val="24"/>
          <w:szCs w:val="24"/>
        </w:rPr>
        <w:t>The rules will be presented to the Board on June 1</w:t>
      </w:r>
      <w:r w:rsidR="00D973CA">
        <w:rPr>
          <w:sz w:val="24"/>
          <w:szCs w:val="24"/>
        </w:rPr>
        <w:t>0</w:t>
      </w:r>
      <w:r w:rsidR="007A7806" w:rsidRPr="00BE3464">
        <w:rPr>
          <w:sz w:val="24"/>
          <w:szCs w:val="24"/>
        </w:rPr>
        <w:t xml:space="preserve"> for a final vote, </w:t>
      </w:r>
      <w:r w:rsidR="00972593" w:rsidRPr="00BE3464">
        <w:rPr>
          <w:sz w:val="24"/>
          <w:szCs w:val="24"/>
        </w:rPr>
        <w:t xml:space="preserve">as the anticipated effective date for the rules is June 30, 2026. </w:t>
      </w:r>
    </w:p>
    <w:p w14:paraId="4C3E4A59" w14:textId="77777777" w:rsidR="002F521A" w:rsidRPr="00BE3464" w:rsidRDefault="002F521A" w:rsidP="00D02169">
      <w:pPr>
        <w:spacing w:after="0"/>
        <w:rPr>
          <w:sz w:val="24"/>
          <w:szCs w:val="24"/>
        </w:rPr>
      </w:pPr>
    </w:p>
    <w:p w14:paraId="1F15394E" w14:textId="36442FDE" w:rsidR="00131DB2" w:rsidRPr="00BE3464" w:rsidRDefault="00131DB2" w:rsidP="00D02169">
      <w:pPr>
        <w:spacing w:after="0"/>
        <w:rPr>
          <w:b/>
          <w:bCs/>
          <w:sz w:val="24"/>
          <w:szCs w:val="24"/>
          <w:u w:val="single"/>
        </w:rPr>
      </w:pPr>
      <w:r w:rsidRPr="00BE3464">
        <w:rPr>
          <w:b/>
          <w:bCs/>
          <w:sz w:val="24"/>
          <w:szCs w:val="24"/>
          <w:u w:val="single"/>
        </w:rPr>
        <w:t>Adjourn</w:t>
      </w:r>
    </w:p>
    <w:p w14:paraId="770C71A3" w14:textId="3EAF4AA9" w:rsidR="00131DB2" w:rsidRPr="00BE3464" w:rsidRDefault="00972593" w:rsidP="00D02169">
      <w:pPr>
        <w:spacing w:after="0"/>
        <w:rPr>
          <w:sz w:val="24"/>
          <w:szCs w:val="24"/>
        </w:rPr>
      </w:pPr>
      <w:r w:rsidRPr="00BE3464">
        <w:rPr>
          <w:sz w:val="24"/>
          <w:szCs w:val="24"/>
        </w:rPr>
        <w:t xml:space="preserve">Alison and Alysson expressed appreciation to RAC members and adjourned the meeting. </w:t>
      </w:r>
    </w:p>
    <w:p w14:paraId="4BB4AD72" w14:textId="77777777" w:rsidR="00D02169" w:rsidRPr="00BE3464" w:rsidRDefault="00D02169" w:rsidP="00821F2C">
      <w:pPr>
        <w:rPr>
          <w:sz w:val="24"/>
          <w:szCs w:val="24"/>
        </w:rPr>
      </w:pPr>
    </w:p>
    <w:p w14:paraId="4F08091B" w14:textId="4E6650B7" w:rsidR="00E10AD3" w:rsidRPr="00972593" w:rsidRDefault="00C740BE" w:rsidP="00821F2C">
      <w:pPr>
        <w:rPr>
          <w:sz w:val="24"/>
          <w:szCs w:val="24"/>
        </w:rPr>
      </w:pPr>
      <w:r w:rsidRPr="00BE3464">
        <w:rPr>
          <w:b/>
          <w:bCs/>
          <w:sz w:val="24"/>
          <w:szCs w:val="24"/>
        </w:rPr>
        <w:t>For additional information, contact:</w:t>
      </w:r>
      <w:r w:rsidRPr="00BE3464">
        <w:rPr>
          <w:sz w:val="24"/>
          <w:szCs w:val="24"/>
        </w:rPr>
        <w:t xml:space="preserve"> Alysson Bocciolatt, Alysson.Bocciolatt@psrb.orego</w:t>
      </w:r>
      <w:r w:rsidRPr="00972593">
        <w:rPr>
          <w:sz w:val="24"/>
          <w:szCs w:val="24"/>
        </w:rPr>
        <w:t>n.gov</w:t>
      </w:r>
    </w:p>
    <w:sectPr w:rsidR="00E10AD3" w:rsidRPr="00972593" w:rsidSect="00E767B3">
      <w:headerReference w:type="default" r:id="rId12"/>
      <w:footerReference w:type="default" r:id="rId13"/>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7C8A" w14:textId="77777777" w:rsidR="00413400" w:rsidRDefault="00413400" w:rsidP="00311A7E">
      <w:pPr>
        <w:spacing w:after="0" w:line="240" w:lineRule="auto"/>
      </w:pPr>
      <w:r>
        <w:separator/>
      </w:r>
    </w:p>
  </w:endnote>
  <w:endnote w:type="continuationSeparator" w:id="0">
    <w:p w14:paraId="3433755C" w14:textId="77777777" w:rsidR="00413400" w:rsidRDefault="00413400" w:rsidP="0031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1C8C" w14:textId="52879136" w:rsidR="00747A05" w:rsidRDefault="00747A05" w:rsidP="00747A05">
    <w:pPr>
      <w:rPr>
        <w:sz w:val="20"/>
        <w:szCs w:val="20"/>
      </w:rPr>
    </w:pPr>
    <w:r>
      <w:rPr>
        <w:noProof/>
        <w:u w:val="single"/>
      </w:rPr>
      <w:drawing>
        <wp:anchor distT="0" distB="0" distL="114300" distR="114300" simplePos="0" relativeHeight="251658241" behindDoc="1" locked="0" layoutInCell="1" allowOverlap="1" wp14:anchorId="1A3C1023" wp14:editId="0C933170">
          <wp:simplePos x="0" y="0"/>
          <wp:positionH relativeFrom="column">
            <wp:posOffset>-31750</wp:posOffset>
          </wp:positionH>
          <wp:positionV relativeFrom="paragraph">
            <wp:posOffset>130810</wp:posOffset>
          </wp:positionV>
          <wp:extent cx="6858000" cy="66675"/>
          <wp:effectExtent l="0" t="0" r="0" b="9525"/>
          <wp:wrapSquare wrapText="bothSides"/>
          <wp:docPr id="14118180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18083"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66675"/>
                  </a:xfrm>
                  <a:prstGeom prst="rect">
                    <a:avLst/>
                  </a:prstGeom>
                </pic:spPr>
              </pic:pic>
            </a:graphicData>
          </a:graphic>
          <wp14:sizeRelV relativeFrom="margin">
            <wp14:pctHeight>0</wp14:pctHeight>
          </wp14:sizeRelV>
        </wp:anchor>
      </w:drawing>
    </w:r>
    <w:r w:rsidRPr="00CA3791">
      <w:rPr>
        <w:sz w:val="20"/>
        <w:szCs w:val="20"/>
      </w:rPr>
      <w:t xml:space="preserve">Please contact </w:t>
    </w:r>
    <w:hyperlink r:id="rId2" w:history="1">
      <w:r w:rsidRPr="00CA3791">
        <w:rPr>
          <w:rStyle w:val="Hyperlink"/>
          <w:sz w:val="20"/>
          <w:szCs w:val="20"/>
        </w:rPr>
        <w:t>psrb@psrb.oregon.gov</w:t>
      </w:r>
    </w:hyperlink>
    <w:r w:rsidRPr="00CA3791">
      <w:rPr>
        <w:sz w:val="20"/>
        <w:szCs w:val="20"/>
      </w:rPr>
      <w:t xml:space="preserve"> / 503-229-5596</w:t>
    </w:r>
  </w:p>
  <w:p w14:paraId="150A422A" w14:textId="77777777" w:rsidR="00747A05" w:rsidRDefault="00747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48C2" w14:textId="77777777" w:rsidR="00413400" w:rsidRDefault="00413400" w:rsidP="00311A7E">
      <w:pPr>
        <w:spacing w:after="0" w:line="240" w:lineRule="auto"/>
      </w:pPr>
      <w:r>
        <w:separator/>
      </w:r>
    </w:p>
  </w:footnote>
  <w:footnote w:type="continuationSeparator" w:id="0">
    <w:p w14:paraId="1883A9FC" w14:textId="77777777" w:rsidR="00413400" w:rsidRDefault="00413400" w:rsidP="00311A7E">
      <w:pPr>
        <w:spacing w:after="0" w:line="240" w:lineRule="auto"/>
      </w:pPr>
      <w:r>
        <w:continuationSeparator/>
      </w:r>
    </w:p>
  </w:footnote>
  <w:footnote w:id="1">
    <w:p w14:paraId="545708AE" w14:textId="0F69F460" w:rsidR="00146FF0" w:rsidRPr="00D92F1D" w:rsidRDefault="00146FF0">
      <w:pPr>
        <w:pStyle w:val="FootnoteText"/>
      </w:pPr>
      <w:r w:rsidRPr="00D92F1D">
        <w:rPr>
          <w:rStyle w:val="FootnoteReference"/>
        </w:rPr>
        <w:footnoteRef/>
      </w:r>
      <w:r w:rsidRPr="00D92F1D">
        <w:t xml:space="preserve"> </w:t>
      </w:r>
      <w:r w:rsidR="00B554D3">
        <w:t xml:space="preserve">State of Oregon v. T.L.B., </w:t>
      </w:r>
      <w:r w:rsidR="00D92F1D" w:rsidRPr="00D92F1D">
        <w:t xml:space="preserve">335 Or App 225 (2024)   </w:t>
      </w:r>
    </w:p>
  </w:footnote>
  <w:footnote w:id="2">
    <w:p w14:paraId="4C187836" w14:textId="7FEE40FF" w:rsidR="005871C0" w:rsidRDefault="005871C0">
      <w:pPr>
        <w:pStyle w:val="FootnoteText"/>
      </w:pPr>
      <w:r>
        <w:rPr>
          <w:rStyle w:val="FootnoteReference"/>
        </w:rPr>
        <w:footnoteRef/>
      </w:r>
      <w:r>
        <w:t xml:space="preserve"> HB 2005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1D79" w14:textId="77777777" w:rsidR="00E10AD3" w:rsidRDefault="00EC3EA5" w:rsidP="00E10AD3">
    <w:pPr>
      <w:tabs>
        <w:tab w:val="left" w:pos="2340"/>
      </w:tabs>
      <w:spacing w:after="0" w:line="276" w:lineRule="auto"/>
      <w:jc w:val="right"/>
      <w:rPr>
        <w:b/>
        <w:bCs/>
        <w:sz w:val="28"/>
        <w:szCs w:val="28"/>
        <w:u w:val="single"/>
      </w:rPr>
    </w:pPr>
    <w:r w:rsidRPr="00E10AD3">
      <w:rPr>
        <w:b/>
        <w:bCs/>
        <w:noProof/>
        <w:sz w:val="28"/>
        <w:szCs w:val="28"/>
      </w:rPr>
      <w:drawing>
        <wp:anchor distT="0" distB="0" distL="114300" distR="114300" simplePos="0" relativeHeight="251658242" behindDoc="1" locked="0" layoutInCell="1" allowOverlap="1" wp14:anchorId="7356AA62" wp14:editId="39546E7D">
          <wp:simplePos x="0" y="0"/>
          <wp:positionH relativeFrom="margin">
            <wp:align>left</wp:align>
          </wp:positionH>
          <wp:positionV relativeFrom="paragraph">
            <wp:posOffset>0</wp:posOffset>
          </wp:positionV>
          <wp:extent cx="1316355" cy="731520"/>
          <wp:effectExtent l="0" t="0" r="0" b="0"/>
          <wp:wrapTight wrapText="bothSides">
            <wp:wrapPolygon edited="0">
              <wp:start x="2813" y="563"/>
              <wp:lineTo x="0" y="3938"/>
              <wp:lineTo x="0" y="11250"/>
              <wp:lineTo x="313" y="20250"/>
              <wp:lineTo x="21256" y="20250"/>
              <wp:lineTo x="21256" y="15750"/>
              <wp:lineTo x="20318" y="563"/>
              <wp:lineTo x="2813" y="563"/>
            </wp:wrapPolygon>
          </wp:wrapTight>
          <wp:docPr id="288528219" name="Picture 1" descr="PSR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28219" name="Picture 1" descr="PSRB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55" cy="731520"/>
                  </a:xfrm>
                  <a:prstGeom prst="rect">
                    <a:avLst/>
                  </a:prstGeom>
                </pic:spPr>
              </pic:pic>
            </a:graphicData>
          </a:graphic>
        </wp:anchor>
      </w:drawing>
    </w:r>
    <w:r w:rsidR="00747A05" w:rsidRPr="00E10AD3">
      <w:rPr>
        <w:b/>
        <w:bCs/>
        <w:noProof/>
        <w:sz w:val="28"/>
        <w:szCs w:val="28"/>
      </w:rPr>
      <w:drawing>
        <wp:anchor distT="0" distB="0" distL="114300" distR="114300" simplePos="0" relativeHeight="251658240" behindDoc="1" locked="1" layoutInCell="1" allowOverlap="0" wp14:anchorId="5E6C037A" wp14:editId="771F7332">
          <wp:simplePos x="0" y="0"/>
          <wp:positionH relativeFrom="margin">
            <wp:posOffset>12700</wp:posOffset>
          </wp:positionH>
          <wp:positionV relativeFrom="paragraph">
            <wp:posOffset>533400</wp:posOffset>
          </wp:positionV>
          <wp:extent cx="6858000" cy="64135"/>
          <wp:effectExtent l="0" t="0" r="0" b="0"/>
          <wp:wrapSquare wrapText="bothSides"/>
          <wp:docPr id="95264475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44753" name="Picture 2">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0" cy="64135"/>
                  </a:xfrm>
                  <a:prstGeom prst="rect">
                    <a:avLst/>
                  </a:prstGeom>
                </pic:spPr>
              </pic:pic>
            </a:graphicData>
          </a:graphic>
          <wp14:sizeRelH relativeFrom="margin">
            <wp14:pctWidth>0</wp14:pctWidth>
          </wp14:sizeRelH>
          <wp14:sizeRelV relativeFrom="margin">
            <wp14:pctHeight>0</wp14:pctHeight>
          </wp14:sizeRelV>
        </wp:anchor>
      </w:drawing>
    </w:r>
  </w:p>
  <w:p w14:paraId="0862560C" w14:textId="30B1FE20" w:rsidR="00C26B86" w:rsidRDefault="004C7571" w:rsidP="00C26B86">
    <w:pPr>
      <w:tabs>
        <w:tab w:val="left" w:pos="2340"/>
      </w:tabs>
      <w:spacing w:after="0" w:line="276" w:lineRule="auto"/>
      <w:jc w:val="right"/>
      <w:rPr>
        <w:b/>
        <w:bCs/>
        <w:sz w:val="28"/>
        <w:szCs w:val="28"/>
        <w:u w:val="single"/>
      </w:rPr>
    </w:pPr>
    <w:r>
      <w:rPr>
        <w:b/>
        <w:bCs/>
        <w:sz w:val="28"/>
        <w:szCs w:val="28"/>
        <w:u w:val="single"/>
      </w:rPr>
      <w:t>Civil Commitment</w:t>
    </w:r>
    <w:r w:rsidR="00285707">
      <w:rPr>
        <w:b/>
        <w:bCs/>
        <w:sz w:val="28"/>
        <w:szCs w:val="28"/>
        <w:u w:val="single"/>
      </w:rPr>
      <w:t xml:space="preserve"> Rules</w:t>
    </w:r>
    <w:r w:rsidR="00C26B86">
      <w:rPr>
        <w:b/>
        <w:bCs/>
        <w:sz w:val="28"/>
        <w:szCs w:val="28"/>
        <w:u w:val="single"/>
      </w:rPr>
      <w:t xml:space="preserve"> Advisory Committee</w:t>
    </w:r>
  </w:p>
  <w:p w14:paraId="3F8BB31F" w14:textId="76BF3161" w:rsidR="00C26B86" w:rsidRDefault="00C26B86" w:rsidP="00C26B86">
    <w:pPr>
      <w:tabs>
        <w:tab w:val="left" w:pos="2340"/>
      </w:tabs>
      <w:spacing w:after="0" w:line="276" w:lineRule="auto"/>
      <w:jc w:val="right"/>
      <w:rPr>
        <w:b/>
        <w:bCs/>
        <w:sz w:val="28"/>
        <w:szCs w:val="28"/>
        <w:u w:val="single"/>
      </w:rPr>
    </w:pPr>
    <w:r>
      <w:rPr>
        <w:b/>
        <w:bCs/>
        <w:sz w:val="28"/>
        <w:szCs w:val="28"/>
        <w:u w:val="single"/>
      </w:rPr>
      <w:t xml:space="preserve">Meeting </w:t>
    </w:r>
    <w:r w:rsidR="005372D2">
      <w:rPr>
        <w:b/>
        <w:bCs/>
        <w:sz w:val="28"/>
        <w:szCs w:val="28"/>
        <w:u w:val="single"/>
      </w:rPr>
      <w:t>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02E"/>
    <w:multiLevelType w:val="multilevel"/>
    <w:tmpl w:val="C1B01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50FCA"/>
    <w:multiLevelType w:val="multilevel"/>
    <w:tmpl w:val="F0E2B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74D5A"/>
    <w:multiLevelType w:val="multilevel"/>
    <w:tmpl w:val="720CB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05695"/>
    <w:multiLevelType w:val="multilevel"/>
    <w:tmpl w:val="A3149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746D6"/>
    <w:multiLevelType w:val="multilevel"/>
    <w:tmpl w:val="9B1CF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C0ED1"/>
    <w:multiLevelType w:val="multilevel"/>
    <w:tmpl w:val="2598A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62885"/>
    <w:multiLevelType w:val="multilevel"/>
    <w:tmpl w:val="43E2B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E5AEB"/>
    <w:multiLevelType w:val="multilevel"/>
    <w:tmpl w:val="7EA0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932E1"/>
    <w:multiLevelType w:val="multilevel"/>
    <w:tmpl w:val="3F423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537B3"/>
    <w:multiLevelType w:val="multilevel"/>
    <w:tmpl w:val="FC887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82E22"/>
    <w:multiLevelType w:val="multilevel"/>
    <w:tmpl w:val="F17A9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82DAE"/>
    <w:multiLevelType w:val="multilevel"/>
    <w:tmpl w:val="74A8E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A4410F"/>
    <w:multiLevelType w:val="multilevel"/>
    <w:tmpl w:val="4C74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C1B70"/>
    <w:multiLevelType w:val="multilevel"/>
    <w:tmpl w:val="7B3E5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2A3F99"/>
    <w:multiLevelType w:val="multilevel"/>
    <w:tmpl w:val="07ACC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A5F85"/>
    <w:multiLevelType w:val="hybridMultilevel"/>
    <w:tmpl w:val="72DCDE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D9476C"/>
    <w:multiLevelType w:val="multilevel"/>
    <w:tmpl w:val="779AB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2A3509"/>
    <w:multiLevelType w:val="multilevel"/>
    <w:tmpl w:val="9C585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419F2"/>
    <w:multiLevelType w:val="multilevel"/>
    <w:tmpl w:val="28603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2101F"/>
    <w:multiLevelType w:val="multilevel"/>
    <w:tmpl w:val="74DA6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F7F73"/>
    <w:multiLevelType w:val="hybridMultilevel"/>
    <w:tmpl w:val="45EE0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2659C"/>
    <w:multiLevelType w:val="hybridMultilevel"/>
    <w:tmpl w:val="D866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66D2A"/>
    <w:multiLevelType w:val="hybridMultilevel"/>
    <w:tmpl w:val="6C86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B5DF2"/>
    <w:multiLevelType w:val="multilevel"/>
    <w:tmpl w:val="A40E3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406236"/>
    <w:multiLevelType w:val="multilevel"/>
    <w:tmpl w:val="DF160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4764C7"/>
    <w:multiLevelType w:val="multilevel"/>
    <w:tmpl w:val="D0A00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3044DD"/>
    <w:multiLevelType w:val="hybridMultilevel"/>
    <w:tmpl w:val="AAEC9E68"/>
    <w:lvl w:ilvl="0" w:tplc="0D862C74">
      <w:numFmt w:val="bullet"/>
      <w:lvlText w:val="-"/>
      <w:lvlJc w:val="left"/>
      <w:pPr>
        <w:ind w:left="720" w:hanging="360"/>
      </w:pPr>
      <w:rPr>
        <w:rFonts w:ascii="Aptos Display" w:eastAsiaTheme="minorHAnsi" w:hAnsi="Aptos Displ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31102"/>
    <w:multiLevelType w:val="hybridMultilevel"/>
    <w:tmpl w:val="BEAE98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964408">
    <w:abstractNumId w:val="22"/>
  </w:num>
  <w:num w:numId="2" w16cid:durableId="707028831">
    <w:abstractNumId w:val="26"/>
  </w:num>
  <w:num w:numId="3" w16cid:durableId="1942640852">
    <w:abstractNumId w:val="27"/>
  </w:num>
  <w:num w:numId="4" w16cid:durableId="2083595494">
    <w:abstractNumId w:val="12"/>
  </w:num>
  <w:num w:numId="5" w16cid:durableId="1415786080">
    <w:abstractNumId w:val="15"/>
  </w:num>
  <w:num w:numId="6" w16cid:durableId="1451850438">
    <w:abstractNumId w:val="5"/>
  </w:num>
  <w:num w:numId="7" w16cid:durableId="1976256628">
    <w:abstractNumId w:val="13"/>
  </w:num>
  <w:num w:numId="8" w16cid:durableId="915240093">
    <w:abstractNumId w:val="18"/>
  </w:num>
  <w:num w:numId="9" w16cid:durableId="1965424796">
    <w:abstractNumId w:val="3"/>
  </w:num>
  <w:num w:numId="10" w16cid:durableId="1211920246">
    <w:abstractNumId w:val="0"/>
  </w:num>
  <w:num w:numId="11" w16cid:durableId="1547185056">
    <w:abstractNumId w:val="16"/>
  </w:num>
  <w:num w:numId="12" w16cid:durableId="1318261425">
    <w:abstractNumId w:val="23"/>
  </w:num>
  <w:num w:numId="13" w16cid:durableId="745567320">
    <w:abstractNumId w:val="14"/>
  </w:num>
  <w:num w:numId="14" w16cid:durableId="445740192">
    <w:abstractNumId w:val="9"/>
  </w:num>
  <w:num w:numId="15" w16cid:durableId="2051025661">
    <w:abstractNumId w:val="24"/>
  </w:num>
  <w:num w:numId="16" w16cid:durableId="154221898">
    <w:abstractNumId w:val="17"/>
  </w:num>
  <w:num w:numId="17" w16cid:durableId="564604501">
    <w:abstractNumId w:val="2"/>
  </w:num>
  <w:num w:numId="18" w16cid:durableId="1886285411">
    <w:abstractNumId w:val="10"/>
  </w:num>
  <w:num w:numId="19" w16cid:durableId="932856987">
    <w:abstractNumId w:val="1"/>
  </w:num>
  <w:num w:numId="20" w16cid:durableId="984313994">
    <w:abstractNumId w:val="11"/>
  </w:num>
  <w:num w:numId="21" w16cid:durableId="1575899260">
    <w:abstractNumId w:val="6"/>
  </w:num>
  <w:num w:numId="22" w16cid:durableId="1909270039">
    <w:abstractNumId w:val="19"/>
  </w:num>
  <w:num w:numId="23" w16cid:durableId="1212352216">
    <w:abstractNumId w:val="25"/>
  </w:num>
  <w:num w:numId="24" w16cid:durableId="769006750">
    <w:abstractNumId w:val="8"/>
  </w:num>
  <w:num w:numId="25" w16cid:durableId="135152852">
    <w:abstractNumId w:val="4"/>
  </w:num>
  <w:num w:numId="26" w16cid:durableId="382677606">
    <w:abstractNumId w:val="7"/>
  </w:num>
  <w:num w:numId="27" w16cid:durableId="1266156906">
    <w:abstractNumId w:val="20"/>
  </w:num>
  <w:num w:numId="28" w16cid:durableId="15134959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7E"/>
    <w:rsid w:val="00010B19"/>
    <w:rsid w:val="000120A8"/>
    <w:rsid w:val="00012346"/>
    <w:rsid w:val="00014D62"/>
    <w:rsid w:val="000306FD"/>
    <w:rsid w:val="00052A17"/>
    <w:rsid w:val="00057A2B"/>
    <w:rsid w:val="00061CCE"/>
    <w:rsid w:val="00066DF3"/>
    <w:rsid w:val="00070A36"/>
    <w:rsid w:val="000710D4"/>
    <w:rsid w:val="00072C23"/>
    <w:rsid w:val="00080D37"/>
    <w:rsid w:val="00082164"/>
    <w:rsid w:val="00086DA2"/>
    <w:rsid w:val="000870FE"/>
    <w:rsid w:val="0009207F"/>
    <w:rsid w:val="000B15A1"/>
    <w:rsid w:val="000B63C1"/>
    <w:rsid w:val="000C69F0"/>
    <w:rsid w:val="000C6C43"/>
    <w:rsid w:val="000E5AA5"/>
    <w:rsid w:val="000F0F0B"/>
    <w:rsid w:val="000F1D99"/>
    <w:rsid w:val="000F5664"/>
    <w:rsid w:val="000F5785"/>
    <w:rsid w:val="000F734C"/>
    <w:rsid w:val="001068EE"/>
    <w:rsid w:val="0013062F"/>
    <w:rsid w:val="00131DB2"/>
    <w:rsid w:val="0014551C"/>
    <w:rsid w:val="00146FF0"/>
    <w:rsid w:val="00147C2C"/>
    <w:rsid w:val="00150669"/>
    <w:rsid w:val="001506EC"/>
    <w:rsid w:val="00156E6B"/>
    <w:rsid w:val="00160F9E"/>
    <w:rsid w:val="00162748"/>
    <w:rsid w:val="001677E0"/>
    <w:rsid w:val="00170F6B"/>
    <w:rsid w:val="001727CF"/>
    <w:rsid w:val="0018550C"/>
    <w:rsid w:val="0018734B"/>
    <w:rsid w:val="00192096"/>
    <w:rsid w:val="001935AD"/>
    <w:rsid w:val="001B4853"/>
    <w:rsid w:val="001C5F9D"/>
    <w:rsid w:val="001C7610"/>
    <w:rsid w:val="001D432C"/>
    <w:rsid w:val="001D6255"/>
    <w:rsid w:val="001E5530"/>
    <w:rsid w:val="001F1508"/>
    <w:rsid w:val="001F41F6"/>
    <w:rsid w:val="002064D6"/>
    <w:rsid w:val="00207A41"/>
    <w:rsid w:val="00210814"/>
    <w:rsid w:val="002129EB"/>
    <w:rsid w:val="00215A1E"/>
    <w:rsid w:val="00216C65"/>
    <w:rsid w:val="00231023"/>
    <w:rsid w:val="002466C9"/>
    <w:rsid w:val="00267C30"/>
    <w:rsid w:val="002741C8"/>
    <w:rsid w:val="00274AA4"/>
    <w:rsid w:val="00285707"/>
    <w:rsid w:val="00294028"/>
    <w:rsid w:val="002A0D1E"/>
    <w:rsid w:val="002A104D"/>
    <w:rsid w:val="002A28E7"/>
    <w:rsid w:val="002C3CF3"/>
    <w:rsid w:val="002D134B"/>
    <w:rsid w:val="002D4FEF"/>
    <w:rsid w:val="002D548C"/>
    <w:rsid w:val="002D7498"/>
    <w:rsid w:val="002E03B2"/>
    <w:rsid w:val="002E12D4"/>
    <w:rsid w:val="002E4960"/>
    <w:rsid w:val="002E63FA"/>
    <w:rsid w:val="002F00FE"/>
    <w:rsid w:val="002F39AA"/>
    <w:rsid w:val="002F4129"/>
    <w:rsid w:val="002F493E"/>
    <w:rsid w:val="002F521A"/>
    <w:rsid w:val="002F73BE"/>
    <w:rsid w:val="00311A7E"/>
    <w:rsid w:val="003225F4"/>
    <w:rsid w:val="00332935"/>
    <w:rsid w:val="00345AEE"/>
    <w:rsid w:val="003620CE"/>
    <w:rsid w:val="0037112C"/>
    <w:rsid w:val="00380566"/>
    <w:rsid w:val="0038301D"/>
    <w:rsid w:val="0038601F"/>
    <w:rsid w:val="00396AC9"/>
    <w:rsid w:val="003A0FC2"/>
    <w:rsid w:val="003A247F"/>
    <w:rsid w:val="003A5A05"/>
    <w:rsid w:val="003B25C7"/>
    <w:rsid w:val="003B4582"/>
    <w:rsid w:val="003C777A"/>
    <w:rsid w:val="003C7CE1"/>
    <w:rsid w:val="003D1E91"/>
    <w:rsid w:val="003D26FF"/>
    <w:rsid w:val="003D732C"/>
    <w:rsid w:val="003E15C4"/>
    <w:rsid w:val="003F77F0"/>
    <w:rsid w:val="00406E8A"/>
    <w:rsid w:val="0041138C"/>
    <w:rsid w:val="00413400"/>
    <w:rsid w:val="00424CE7"/>
    <w:rsid w:val="00425EBF"/>
    <w:rsid w:val="00426099"/>
    <w:rsid w:val="00431795"/>
    <w:rsid w:val="004317F0"/>
    <w:rsid w:val="004325B2"/>
    <w:rsid w:val="004450EC"/>
    <w:rsid w:val="00447C6C"/>
    <w:rsid w:val="00452AF5"/>
    <w:rsid w:val="00454D29"/>
    <w:rsid w:val="0045526F"/>
    <w:rsid w:val="00460DB5"/>
    <w:rsid w:val="00461B4C"/>
    <w:rsid w:val="00466C52"/>
    <w:rsid w:val="00470B7F"/>
    <w:rsid w:val="00470DDE"/>
    <w:rsid w:val="00497D9A"/>
    <w:rsid w:val="004A1D06"/>
    <w:rsid w:val="004A2958"/>
    <w:rsid w:val="004A3D9E"/>
    <w:rsid w:val="004A729D"/>
    <w:rsid w:val="004B3A3F"/>
    <w:rsid w:val="004C7571"/>
    <w:rsid w:val="004D5FFD"/>
    <w:rsid w:val="004E7611"/>
    <w:rsid w:val="004F093B"/>
    <w:rsid w:val="004F3274"/>
    <w:rsid w:val="0050187A"/>
    <w:rsid w:val="00512FD8"/>
    <w:rsid w:val="005142D8"/>
    <w:rsid w:val="00516D43"/>
    <w:rsid w:val="00517ABD"/>
    <w:rsid w:val="0052073A"/>
    <w:rsid w:val="00520B18"/>
    <w:rsid w:val="005214E0"/>
    <w:rsid w:val="0052155B"/>
    <w:rsid w:val="00525BD5"/>
    <w:rsid w:val="00535B22"/>
    <w:rsid w:val="005372D2"/>
    <w:rsid w:val="005439E4"/>
    <w:rsid w:val="00563C11"/>
    <w:rsid w:val="00571984"/>
    <w:rsid w:val="00575B03"/>
    <w:rsid w:val="00580B2F"/>
    <w:rsid w:val="00584C15"/>
    <w:rsid w:val="005871C0"/>
    <w:rsid w:val="00591CF4"/>
    <w:rsid w:val="00593E7F"/>
    <w:rsid w:val="00597B50"/>
    <w:rsid w:val="005A0491"/>
    <w:rsid w:val="005B303B"/>
    <w:rsid w:val="005B633A"/>
    <w:rsid w:val="005C3A50"/>
    <w:rsid w:val="005C7512"/>
    <w:rsid w:val="005F1245"/>
    <w:rsid w:val="00602AE9"/>
    <w:rsid w:val="0060308E"/>
    <w:rsid w:val="00604F53"/>
    <w:rsid w:val="00607710"/>
    <w:rsid w:val="00610D72"/>
    <w:rsid w:val="00610FEA"/>
    <w:rsid w:val="006125F0"/>
    <w:rsid w:val="0064158E"/>
    <w:rsid w:val="00641B00"/>
    <w:rsid w:val="0064651C"/>
    <w:rsid w:val="00650AF1"/>
    <w:rsid w:val="00656525"/>
    <w:rsid w:val="00663BC8"/>
    <w:rsid w:val="00663CAB"/>
    <w:rsid w:val="006823C0"/>
    <w:rsid w:val="006A35E2"/>
    <w:rsid w:val="006A77E8"/>
    <w:rsid w:val="006B142B"/>
    <w:rsid w:val="006B3233"/>
    <w:rsid w:val="006B659A"/>
    <w:rsid w:val="006C0C84"/>
    <w:rsid w:val="006C0ED9"/>
    <w:rsid w:val="006C2470"/>
    <w:rsid w:val="006C2B87"/>
    <w:rsid w:val="006F3F81"/>
    <w:rsid w:val="006F758A"/>
    <w:rsid w:val="007022AB"/>
    <w:rsid w:val="0070489C"/>
    <w:rsid w:val="00704CDC"/>
    <w:rsid w:val="00711676"/>
    <w:rsid w:val="007120F5"/>
    <w:rsid w:val="00716D27"/>
    <w:rsid w:val="00733392"/>
    <w:rsid w:val="00733C3E"/>
    <w:rsid w:val="00736A86"/>
    <w:rsid w:val="00736CDB"/>
    <w:rsid w:val="00736DB2"/>
    <w:rsid w:val="00737050"/>
    <w:rsid w:val="00740D32"/>
    <w:rsid w:val="0074118D"/>
    <w:rsid w:val="00743A0A"/>
    <w:rsid w:val="00747A05"/>
    <w:rsid w:val="00751C85"/>
    <w:rsid w:val="007526D2"/>
    <w:rsid w:val="00760C74"/>
    <w:rsid w:val="00763AA2"/>
    <w:rsid w:val="00765F79"/>
    <w:rsid w:val="007662FE"/>
    <w:rsid w:val="00776E50"/>
    <w:rsid w:val="00780609"/>
    <w:rsid w:val="0078232F"/>
    <w:rsid w:val="00792278"/>
    <w:rsid w:val="007A11A7"/>
    <w:rsid w:val="007A2D08"/>
    <w:rsid w:val="007A4CA3"/>
    <w:rsid w:val="007A7806"/>
    <w:rsid w:val="007A7978"/>
    <w:rsid w:val="007B0586"/>
    <w:rsid w:val="007B109A"/>
    <w:rsid w:val="007B53C2"/>
    <w:rsid w:val="007B7A39"/>
    <w:rsid w:val="007C5E48"/>
    <w:rsid w:val="007D1711"/>
    <w:rsid w:val="007E0602"/>
    <w:rsid w:val="007E3230"/>
    <w:rsid w:val="007F201B"/>
    <w:rsid w:val="007F2CC5"/>
    <w:rsid w:val="007F778A"/>
    <w:rsid w:val="007F7EE0"/>
    <w:rsid w:val="00800844"/>
    <w:rsid w:val="00814578"/>
    <w:rsid w:val="00816614"/>
    <w:rsid w:val="00820827"/>
    <w:rsid w:val="00821F04"/>
    <w:rsid w:val="00821F2C"/>
    <w:rsid w:val="008233A6"/>
    <w:rsid w:val="00827A72"/>
    <w:rsid w:val="008302B4"/>
    <w:rsid w:val="00831E3F"/>
    <w:rsid w:val="008357B6"/>
    <w:rsid w:val="00836CC3"/>
    <w:rsid w:val="0083779E"/>
    <w:rsid w:val="008415F3"/>
    <w:rsid w:val="00842091"/>
    <w:rsid w:val="0084341E"/>
    <w:rsid w:val="008532DE"/>
    <w:rsid w:val="008563DC"/>
    <w:rsid w:val="00860F4C"/>
    <w:rsid w:val="0086150C"/>
    <w:rsid w:val="0087265D"/>
    <w:rsid w:val="00873AE9"/>
    <w:rsid w:val="00873EC5"/>
    <w:rsid w:val="00874CCC"/>
    <w:rsid w:val="00885A40"/>
    <w:rsid w:val="00886A0D"/>
    <w:rsid w:val="00890ACC"/>
    <w:rsid w:val="00896E46"/>
    <w:rsid w:val="008A0AB4"/>
    <w:rsid w:val="008A0BB7"/>
    <w:rsid w:val="008A560E"/>
    <w:rsid w:val="008B1384"/>
    <w:rsid w:val="008B66B9"/>
    <w:rsid w:val="008C53D1"/>
    <w:rsid w:val="008C75C9"/>
    <w:rsid w:val="008D5E7B"/>
    <w:rsid w:val="008D629D"/>
    <w:rsid w:val="008E20DB"/>
    <w:rsid w:val="008E36C0"/>
    <w:rsid w:val="008F571E"/>
    <w:rsid w:val="00910369"/>
    <w:rsid w:val="00913C5B"/>
    <w:rsid w:val="00917B21"/>
    <w:rsid w:val="00924B65"/>
    <w:rsid w:val="0093270F"/>
    <w:rsid w:val="00933C26"/>
    <w:rsid w:val="00933C90"/>
    <w:rsid w:val="009363CF"/>
    <w:rsid w:val="00946872"/>
    <w:rsid w:val="00954613"/>
    <w:rsid w:val="009616DE"/>
    <w:rsid w:val="00961C0A"/>
    <w:rsid w:val="00962C77"/>
    <w:rsid w:val="00972593"/>
    <w:rsid w:val="00975871"/>
    <w:rsid w:val="009801AB"/>
    <w:rsid w:val="0098185A"/>
    <w:rsid w:val="009B5C26"/>
    <w:rsid w:val="009C0AD7"/>
    <w:rsid w:val="009D09F7"/>
    <w:rsid w:val="009D3D6A"/>
    <w:rsid w:val="009D424F"/>
    <w:rsid w:val="009E2329"/>
    <w:rsid w:val="009F4CF4"/>
    <w:rsid w:val="009F58DB"/>
    <w:rsid w:val="009F784E"/>
    <w:rsid w:val="00A01DAF"/>
    <w:rsid w:val="00A05688"/>
    <w:rsid w:val="00A13EF3"/>
    <w:rsid w:val="00A20355"/>
    <w:rsid w:val="00A314A4"/>
    <w:rsid w:val="00A333AA"/>
    <w:rsid w:val="00A419C3"/>
    <w:rsid w:val="00A51F81"/>
    <w:rsid w:val="00A53FA8"/>
    <w:rsid w:val="00A542B7"/>
    <w:rsid w:val="00A57DAD"/>
    <w:rsid w:val="00A67D7C"/>
    <w:rsid w:val="00A76CAD"/>
    <w:rsid w:val="00A82C20"/>
    <w:rsid w:val="00A87932"/>
    <w:rsid w:val="00A926F0"/>
    <w:rsid w:val="00AA31F9"/>
    <w:rsid w:val="00AB0C19"/>
    <w:rsid w:val="00AB3410"/>
    <w:rsid w:val="00AB3DAE"/>
    <w:rsid w:val="00AB5A27"/>
    <w:rsid w:val="00AB6534"/>
    <w:rsid w:val="00AC2AFF"/>
    <w:rsid w:val="00AC7830"/>
    <w:rsid w:val="00AD085C"/>
    <w:rsid w:val="00AD5A53"/>
    <w:rsid w:val="00AE30C0"/>
    <w:rsid w:val="00AE349F"/>
    <w:rsid w:val="00AF4971"/>
    <w:rsid w:val="00B00372"/>
    <w:rsid w:val="00B02133"/>
    <w:rsid w:val="00B1421A"/>
    <w:rsid w:val="00B153CC"/>
    <w:rsid w:val="00B32C8E"/>
    <w:rsid w:val="00B3589D"/>
    <w:rsid w:val="00B36322"/>
    <w:rsid w:val="00B5376E"/>
    <w:rsid w:val="00B54E6B"/>
    <w:rsid w:val="00B554D3"/>
    <w:rsid w:val="00B5791B"/>
    <w:rsid w:val="00B66F0E"/>
    <w:rsid w:val="00B77163"/>
    <w:rsid w:val="00B864E9"/>
    <w:rsid w:val="00B921C1"/>
    <w:rsid w:val="00B960E6"/>
    <w:rsid w:val="00BA058C"/>
    <w:rsid w:val="00BA3AFC"/>
    <w:rsid w:val="00BA5E9B"/>
    <w:rsid w:val="00BC4CBE"/>
    <w:rsid w:val="00BC776B"/>
    <w:rsid w:val="00BE3464"/>
    <w:rsid w:val="00BE4CDF"/>
    <w:rsid w:val="00BE7113"/>
    <w:rsid w:val="00BF1F23"/>
    <w:rsid w:val="00BF41FF"/>
    <w:rsid w:val="00C0243D"/>
    <w:rsid w:val="00C02E9A"/>
    <w:rsid w:val="00C12659"/>
    <w:rsid w:val="00C14C04"/>
    <w:rsid w:val="00C17DC2"/>
    <w:rsid w:val="00C20835"/>
    <w:rsid w:val="00C2343D"/>
    <w:rsid w:val="00C26B86"/>
    <w:rsid w:val="00C315CA"/>
    <w:rsid w:val="00C3259E"/>
    <w:rsid w:val="00C3438E"/>
    <w:rsid w:val="00C37653"/>
    <w:rsid w:val="00C3777A"/>
    <w:rsid w:val="00C43AD4"/>
    <w:rsid w:val="00C56193"/>
    <w:rsid w:val="00C56457"/>
    <w:rsid w:val="00C601A3"/>
    <w:rsid w:val="00C6040E"/>
    <w:rsid w:val="00C7272B"/>
    <w:rsid w:val="00C740BE"/>
    <w:rsid w:val="00C859E5"/>
    <w:rsid w:val="00C9040C"/>
    <w:rsid w:val="00C90E39"/>
    <w:rsid w:val="00CA2D32"/>
    <w:rsid w:val="00CA3791"/>
    <w:rsid w:val="00CA5FFC"/>
    <w:rsid w:val="00CA65D7"/>
    <w:rsid w:val="00CB1185"/>
    <w:rsid w:val="00CC63DB"/>
    <w:rsid w:val="00CD0A69"/>
    <w:rsid w:val="00CE09E8"/>
    <w:rsid w:val="00CE0D72"/>
    <w:rsid w:val="00CE62FE"/>
    <w:rsid w:val="00CE774C"/>
    <w:rsid w:val="00D0047F"/>
    <w:rsid w:val="00D02169"/>
    <w:rsid w:val="00D07770"/>
    <w:rsid w:val="00D144EB"/>
    <w:rsid w:val="00D25B74"/>
    <w:rsid w:val="00D260BE"/>
    <w:rsid w:val="00D261E2"/>
    <w:rsid w:val="00D33CF2"/>
    <w:rsid w:val="00D41AE2"/>
    <w:rsid w:val="00D44D61"/>
    <w:rsid w:val="00D65E2F"/>
    <w:rsid w:val="00D664FC"/>
    <w:rsid w:val="00D7710C"/>
    <w:rsid w:val="00D8286E"/>
    <w:rsid w:val="00D86EDD"/>
    <w:rsid w:val="00D92F1D"/>
    <w:rsid w:val="00D950C5"/>
    <w:rsid w:val="00D973CA"/>
    <w:rsid w:val="00DA1B96"/>
    <w:rsid w:val="00DB0A98"/>
    <w:rsid w:val="00DB6B04"/>
    <w:rsid w:val="00DB7299"/>
    <w:rsid w:val="00DD49B6"/>
    <w:rsid w:val="00DD7B1C"/>
    <w:rsid w:val="00DE09B4"/>
    <w:rsid w:val="00DE12C0"/>
    <w:rsid w:val="00DE12F9"/>
    <w:rsid w:val="00DE1979"/>
    <w:rsid w:val="00DE1BEE"/>
    <w:rsid w:val="00DE3B15"/>
    <w:rsid w:val="00DF1811"/>
    <w:rsid w:val="00DF39BE"/>
    <w:rsid w:val="00DF72A2"/>
    <w:rsid w:val="00E00AD6"/>
    <w:rsid w:val="00E02D82"/>
    <w:rsid w:val="00E04AB0"/>
    <w:rsid w:val="00E10AD3"/>
    <w:rsid w:val="00E20D25"/>
    <w:rsid w:val="00E30662"/>
    <w:rsid w:val="00E35B6B"/>
    <w:rsid w:val="00E4574C"/>
    <w:rsid w:val="00E767B3"/>
    <w:rsid w:val="00E94EA7"/>
    <w:rsid w:val="00EA163C"/>
    <w:rsid w:val="00EA3844"/>
    <w:rsid w:val="00EA52BD"/>
    <w:rsid w:val="00EA70A7"/>
    <w:rsid w:val="00EB3983"/>
    <w:rsid w:val="00EB4588"/>
    <w:rsid w:val="00EB6C23"/>
    <w:rsid w:val="00EC3EA5"/>
    <w:rsid w:val="00ED0BAE"/>
    <w:rsid w:val="00ED4A07"/>
    <w:rsid w:val="00EE5FB9"/>
    <w:rsid w:val="00EF157F"/>
    <w:rsid w:val="00EF2E3A"/>
    <w:rsid w:val="00EF564B"/>
    <w:rsid w:val="00F165AC"/>
    <w:rsid w:val="00F228AA"/>
    <w:rsid w:val="00F32AF7"/>
    <w:rsid w:val="00F42861"/>
    <w:rsid w:val="00F51C2E"/>
    <w:rsid w:val="00F627B6"/>
    <w:rsid w:val="00F63CCD"/>
    <w:rsid w:val="00F66052"/>
    <w:rsid w:val="00F7246E"/>
    <w:rsid w:val="00F83DD7"/>
    <w:rsid w:val="00F90644"/>
    <w:rsid w:val="00FA1A9E"/>
    <w:rsid w:val="00FA314A"/>
    <w:rsid w:val="00FA3A0D"/>
    <w:rsid w:val="00FB1FF5"/>
    <w:rsid w:val="00FB5CF1"/>
    <w:rsid w:val="00FB667B"/>
    <w:rsid w:val="00FC19F1"/>
    <w:rsid w:val="00FC333C"/>
    <w:rsid w:val="00FC6BF5"/>
    <w:rsid w:val="00FE5202"/>
    <w:rsid w:val="00FE7044"/>
    <w:rsid w:val="00FF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393E"/>
  <w15:chartTrackingRefBased/>
  <w15:docId w15:val="{5F8672DA-DD35-488D-A2FE-E20AA816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FFC"/>
  </w:style>
  <w:style w:type="paragraph" w:styleId="Heading1">
    <w:name w:val="heading 1"/>
    <w:basedOn w:val="Normal"/>
    <w:next w:val="Normal"/>
    <w:link w:val="Heading1Char"/>
    <w:uiPriority w:val="9"/>
    <w:qFormat/>
    <w:rsid w:val="00311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A7E"/>
    <w:rPr>
      <w:rFonts w:eastAsiaTheme="majorEastAsia" w:cstheme="majorBidi"/>
      <w:color w:val="272727" w:themeColor="text1" w:themeTint="D8"/>
    </w:rPr>
  </w:style>
  <w:style w:type="paragraph" w:styleId="Title">
    <w:name w:val="Title"/>
    <w:basedOn w:val="Normal"/>
    <w:next w:val="Normal"/>
    <w:link w:val="TitleChar"/>
    <w:uiPriority w:val="10"/>
    <w:qFormat/>
    <w:rsid w:val="00311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A7E"/>
    <w:pPr>
      <w:spacing w:before="160"/>
      <w:jc w:val="center"/>
    </w:pPr>
    <w:rPr>
      <w:i/>
      <w:iCs/>
      <w:color w:val="404040" w:themeColor="text1" w:themeTint="BF"/>
    </w:rPr>
  </w:style>
  <w:style w:type="character" w:customStyle="1" w:styleId="QuoteChar">
    <w:name w:val="Quote Char"/>
    <w:basedOn w:val="DefaultParagraphFont"/>
    <w:link w:val="Quote"/>
    <w:uiPriority w:val="29"/>
    <w:rsid w:val="00311A7E"/>
    <w:rPr>
      <w:i/>
      <w:iCs/>
      <w:color w:val="404040" w:themeColor="text1" w:themeTint="BF"/>
    </w:rPr>
  </w:style>
  <w:style w:type="paragraph" w:styleId="ListParagraph">
    <w:name w:val="List Paragraph"/>
    <w:basedOn w:val="Normal"/>
    <w:uiPriority w:val="34"/>
    <w:qFormat/>
    <w:rsid w:val="00311A7E"/>
    <w:pPr>
      <w:ind w:left="720"/>
      <w:contextualSpacing/>
    </w:pPr>
  </w:style>
  <w:style w:type="character" w:styleId="IntenseEmphasis">
    <w:name w:val="Intense Emphasis"/>
    <w:basedOn w:val="DefaultParagraphFont"/>
    <w:uiPriority w:val="21"/>
    <w:qFormat/>
    <w:rsid w:val="00311A7E"/>
    <w:rPr>
      <w:i/>
      <w:iCs/>
      <w:color w:val="0F4761" w:themeColor="accent1" w:themeShade="BF"/>
    </w:rPr>
  </w:style>
  <w:style w:type="paragraph" w:styleId="IntenseQuote">
    <w:name w:val="Intense Quote"/>
    <w:basedOn w:val="Normal"/>
    <w:next w:val="Normal"/>
    <w:link w:val="IntenseQuoteChar"/>
    <w:uiPriority w:val="30"/>
    <w:qFormat/>
    <w:rsid w:val="00311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A7E"/>
    <w:rPr>
      <w:i/>
      <w:iCs/>
      <w:color w:val="0F4761" w:themeColor="accent1" w:themeShade="BF"/>
    </w:rPr>
  </w:style>
  <w:style w:type="character" w:styleId="IntenseReference">
    <w:name w:val="Intense Reference"/>
    <w:basedOn w:val="DefaultParagraphFont"/>
    <w:uiPriority w:val="32"/>
    <w:qFormat/>
    <w:rsid w:val="00311A7E"/>
    <w:rPr>
      <w:b/>
      <w:bCs/>
      <w:smallCaps/>
      <w:color w:val="0F4761" w:themeColor="accent1" w:themeShade="BF"/>
      <w:spacing w:val="5"/>
    </w:rPr>
  </w:style>
  <w:style w:type="paragraph" w:styleId="Footer">
    <w:name w:val="footer"/>
    <w:basedOn w:val="Normal"/>
    <w:link w:val="FooterChar"/>
    <w:uiPriority w:val="99"/>
    <w:unhideWhenUsed/>
    <w:rsid w:val="00311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A7E"/>
  </w:style>
  <w:style w:type="paragraph" w:styleId="Header">
    <w:name w:val="header"/>
    <w:basedOn w:val="Normal"/>
    <w:link w:val="HeaderChar"/>
    <w:uiPriority w:val="99"/>
    <w:unhideWhenUsed/>
    <w:rsid w:val="00CA2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D32"/>
  </w:style>
  <w:style w:type="character" w:styleId="Hyperlink">
    <w:name w:val="Hyperlink"/>
    <w:basedOn w:val="DefaultParagraphFont"/>
    <w:uiPriority w:val="99"/>
    <w:unhideWhenUsed/>
    <w:rsid w:val="007F778A"/>
    <w:rPr>
      <w:color w:val="467886" w:themeColor="hyperlink"/>
      <w:u w:val="single"/>
    </w:rPr>
  </w:style>
  <w:style w:type="character" w:styleId="UnresolvedMention">
    <w:name w:val="Unresolved Mention"/>
    <w:basedOn w:val="DefaultParagraphFont"/>
    <w:uiPriority w:val="99"/>
    <w:semiHidden/>
    <w:unhideWhenUsed/>
    <w:rsid w:val="007F778A"/>
    <w:rPr>
      <w:color w:val="605E5C"/>
      <w:shd w:val="clear" w:color="auto" w:fill="E1DFDD"/>
    </w:rPr>
  </w:style>
  <w:style w:type="character" w:styleId="CommentReference">
    <w:name w:val="annotation reference"/>
    <w:basedOn w:val="DefaultParagraphFont"/>
    <w:uiPriority w:val="99"/>
    <w:semiHidden/>
    <w:unhideWhenUsed/>
    <w:rsid w:val="00E10AD3"/>
    <w:rPr>
      <w:sz w:val="16"/>
      <w:szCs w:val="16"/>
    </w:rPr>
  </w:style>
  <w:style w:type="paragraph" w:styleId="CommentText">
    <w:name w:val="annotation text"/>
    <w:basedOn w:val="Normal"/>
    <w:link w:val="CommentTextChar"/>
    <w:uiPriority w:val="99"/>
    <w:unhideWhenUsed/>
    <w:rsid w:val="00E10AD3"/>
    <w:pPr>
      <w:spacing w:line="240" w:lineRule="auto"/>
    </w:pPr>
    <w:rPr>
      <w:sz w:val="20"/>
      <w:szCs w:val="20"/>
    </w:rPr>
  </w:style>
  <w:style w:type="character" w:customStyle="1" w:styleId="CommentTextChar">
    <w:name w:val="Comment Text Char"/>
    <w:basedOn w:val="DefaultParagraphFont"/>
    <w:link w:val="CommentText"/>
    <w:uiPriority w:val="99"/>
    <w:rsid w:val="00E10AD3"/>
    <w:rPr>
      <w:sz w:val="20"/>
      <w:szCs w:val="20"/>
    </w:rPr>
  </w:style>
  <w:style w:type="paragraph" w:styleId="CommentSubject">
    <w:name w:val="annotation subject"/>
    <w:basedOn w:val="CommentText"/>
    <w:next w:val="CommentText"/>
    <w:link w:val="CommentSubjectChar"/>
    <w:uiPriority w:val="99"/>
    <w:semiHidden/>
    <w:unhideWhenUsed/>
    <w:rsid w:val="00E10AD3"/>
    <w:rPr>
      <w:b/>
      <w:bCs/>
    </w:rPr>
  </w:style>
  <w:style w:type="character" w:customStyle="1" w:styleId="CommentSubjectChar">
    <w:name w:val="Comment Subject Char"/>
    <w:basedOn w:val="CommentTextChar"/>
    <w:link w:val="CommentSubject"/>
    <w:uiPriority w:val="99"/>
    <w:semiHidden/>
    <w:rsid w:val="00E10AD3"/>
    <w:rPr>
      <w:b/>
      <w:bCs/>
      <w:sz w:val="20"/>
      <w:szCs w:val="20"/>
    </w:rPr>
  </w:style>
  <w:style w:type="table" w:styleId="TableGrid">
    <w:name w:val="Table Grid"/>
    <w:basedOn w:val="TableNormal"/>
    <w:uiPriority w:val="39"/>
    <w:rsid w:val="00D02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6F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FF0"/>
    <w:rPr>
      <w:sz w:val="20"/>
      <w:szCs w:val="20"/>
    </w:rPr>
  </w:style>
  <w:style w:type="character" w:styleId="FootnoteReference">
    <w:name w:val="footnote reference"/>
    <w:basedOn w:val="DefaultParagraphFont"/>
    <w:uiPriority w:val="99"/>
    <w:semiHidden/>
    <w:unhideWhenUsed/>
    <w:rsid w:val="00146FF0"/>
    <w:rPr>
      <w:vertAlign w:val="superscript"/>
    </w:rPr>
  </w:style>
  <w:style w:type="character" w:styleId="Mention">
    <w:name w:val="Mention"/>
    <w:basedOn w:val="DefaultParagraphFont"/>
    <w:uiPriority w:val="99"/>
    <w:unhideWhenUsed/>
    <w:rsid w:val="00972593"/>
    <w:rPr>
      <w:color w:val="2B579A"/>
      <w:shd w:val="clear" w:color="auto" w:fill="E1DFDD"/>
    </w:rPr>
  </w:style>
  <w:style w:type="paragraph" w:styleId="NormalWeb">
    <w:name w:val="Normal (Web)"/>
    <w:basedOn w:val="Normal"/>
    <w:uiPriority w:val="99"/>
    <w:semiHidden/>
    <w:unhideWhenUsed/>
    <w:rsid w:val="009E23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5113">
      <w:bodyDiv w:val="1"/>
      <w:marLeft w:val="0"/>
      <w:marRight w:val="0"/>
      <w:marTop w:val="0"/>
      <w:marBottom w:val="0"/>
      <w:divBdr>
        <w:top w:val="none" w:sz="0" w:space="0" w:color="auto"/>
        <w:left w:val="none" w:sz="0" w:space="0" w:color="auto"/>
        <w:bottom w:val="none" w:sz="0" w:space="0" w:color="auto"/>
        <w:right w:val="none" w:sz="0" w:space="0" w:color="auto"/>
      </w:divBdr>
    </w:div>
    <w:div w:id="870455121">
      <w:bodyDiv w:val="1"/>
      <w:marLeft w:val="0"/>
      <w:marRight w:val="0"/>
      <w:marTop w:val="0"/>
      <w:marBottom w:val="0"/>
      <w:divBdr>
        <w:top w:val="none" w:sz="0" w:space="0" w:color="auto"/>
        <w:left w:val="none" w:sz="0" w:space="0" w:color="auto"/>
        <w:bottom w:val="none" w:sz="0" w:space="0" w:color="auto"/>
        <w:right w:val="none" w:sz="0" w:space="0" w:color="auto"/>
      </w:divBdr>
    </w:div>
    <w:div w:id="1049379379">
      <w:bodyDiv w:val="1"/>
      <w:marLeft w:val="0"/>
      <w:marRight w:val="0"/>
      <w:marTop w:val="0"/>
      <w:marBottom w:val="0"/>
      <w:divBdr>
        <w:top w:val="none" w:sz="0" w:space="0" w:color="auto"/>
        <w:left w:val="none" w:sz="0" w:space="0" w:color="auto"/>
        <w:bottom w:val="none" w:sz="0" w:space="0" w:color="auto"/>
        <w:right w:val="none" w:sz="0" w:space="0" w:color="auto"/>
      </w:divBdr>
    </w:div>
    <w:div w:id="1078212555">
      <w:bodyDiv w:val="1"/>
      <w:marLeft w:val="0"/>
      <w:marRight w:val="0"/>
      <w:marTop w:val="0"/>
      <w:marBottom w:val="0"/>
      <w:divBdr>
        <w:top w:val="none" w:sz="0" w:space="0" w:color="auto"/>
        <w:left w:val="none" w:sz="0" w:space="0" w:color="auto"/>
        <w:bottom w:val="none" w:sz="0" w:space="0" w:color="auto"/>
        <w:right w:val="none" w:sz="0" w:space="0" w:color="auto"/>
      </w:divBdr>
    </w:div>
    <w:div w:id="1142426811">
      <w:bodyDiv w:val="1"/>
      <w:marLeft w:val="0"/>
      <w:marRight w:val="0"/>
      <w:marTop w:val="0"/>
      <w:marBottom w:val="0"/>
      <w:divBdr>
        <w:top w:val="none" w:sz="0" w:space="0" w:color="auto"/>
        <w:left w:val="none" w:sz="0" w:space="0" w:color="auto"/>
        <w:bottom w:val="none" w:sz="0" w:space="0" w:color="auto"/>
        <w:right w:val="none" w:sz="0" w:space="0" w:color="auto"/>
      </w:divBdr>
    </w:div>
    <w:div w:id="146049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prb/Documents/Civil%20Commitment%20RA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srb@psrb.oregon.go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administrative meeting agendas</Value>
    </DocType>
  </documentManagement>
</p:properties>
</file>

<file path=customXml/itemProps1.xml><?xml version="1.0" encoding="utf-8"?>
<ds:datastoreItem xmlns:ds="http://schemas.openxmlformats.org/officeDocument/2006/customXml" ds:itemID="{C7E99F80-97E5-4F0B-9796-C415DDAFE6AE}">
  <ds:schemaRefs>
    <ds:schemaRef ds:uri="http://schemas.microsoft.com/sharepoint/v3/contenttype/forms"/>
  </ds:schemaRefs>
</ds:datastoreItem>
</file>

<file path=customXml/itemProps2.xml><?xml version="1.0" encoding="utf-8"?>
<ds:datastoreItem xmlns:ds="http://schemas.openxmlformats.org/officeDocument/2006/customXml" ds:itemID="{0359E16E-B261-4102-89C2-8C8A16C786F2}"/>
</file>

<file path=customXml/itemProps3.xml><?xml version="1.0" encoding="utf-8"?>
<ds:datastoreItem xmlns:ds="http://schemas.openxmlformats.org/officeDocument/2006/customXml" ds:itemID="{4EC4598B-6BC3-4980-9F09-F2E096785485}">
  <ds:schemaRefs>
    <ds:schemaRef ds:uri="http://schemas.openxmlformats.org/officeDocument/2006/bibliography"/>
  </ds:schemaRefs>
</ds:datastoreItem>
</file>

<file path=customXml/itemProps4.xml><?xml version="1.0" encoding="utf-8"?>
<ds:datastoreItem xmlns:ds="http://schemas.openxmlformats.org/officeDocument/2006/customXml" ds:itemID="{469E5407-4430-4162-BE8D-FCFA5208FC2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317</TotalTime>
  <Pages>7</Pages>
  <Words>2417</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16162</CharactersWithSpaces>
  <SharedDoc>false</SharedDoc>
  <HLinks>
    <vt:vector size="12" baseType="variant">
      <vt:variant>
        <vt:i4>458837</vt:i4>
      </vt:variant>
      <vt:variant>
        <vt:i4>0</vt:i4>
      </vt:variant>
      <vt:variant>
        <vt:i4>0</vt:i4>
      </vt:variant>
      <vt:variant>
        <vt:i4>5</vt:i4>
      </vt:variant>
      <vt:variant>
        <vt:lpwstr>https://www.oregon.gov/prb/Documents/Civil Commitment RAC</vt:lpwstr>
      </vt:variant>
      <vt:variant>
        <vt:lpwstr>5%20-%20Presentation%20-%204.21.2026.pdf</vt:lpwstr>
      </vt:variant>
      <vt:variant>
        <vt:i4>1376363</vt:i4>
      </vt:variant>
      <vt:variant>
        <vt:i4>0</vt:i4>
      </vt:variant>
      <vt:variant>
        <vt:i4>0</vt:i4>
      </vt:variant>
      <vt:variant>
        <vt:i4>5</vt:i4>
      </vt:variant>
      <vt:variant>
        <vt:lpwstr>mailto:psrb@psrb.oregon.gov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TRIPATHI Priya * PSRB</dc:creator>
  <cp:keywords/>
  <dc:description/>
  <cp:lastModifiedBy>BOCCIOLATT Alysson * PSRB</cp:lastModifiedBy>
  <cp:revision>114</cp:revision>
  <dcterms:created xsi:type="dcterms:W3CDTF">2026-04-22T21:45:00Z</dcterms:created>
  <dcterms:modified xsi:type="dcterms:W3CDTF">2026-04-28T15:27:00Z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2025-04-25T21:18:27Z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1adbe5ae-5682-40b0-9ef2-dd60a9ee853e</vt:lpwstr>
  </property>
  <property fmtid="{D5CDD505-2E9C-101B-9397-08002B2CF9AE}" pid="8" name="MSIP_Label_09b73270-2993-4076-be47-9c78f42a1e84_ContentBits">
    <vt:lpwstr>0</vt:lpwstr>
  </property>
  <property fmtid="{D5CDD505-2E9C-101B-9397-08002B2CF9AE}" pid="9" name="MSIP_Label_09b73270-2993-4076-be47-9c78f42a1e84_Tag">
    <vt:lpwstr>10, 0, 1, 1</vt:lpwstr>
  </property>
  <property fmtid="{D5CDD505-2E9C-101B-9397-08002B2CF9AE}" pid="10" name="ContentTypeId">
    <vt:lpwstr>0x010100FD501E88C465D043B824773B3E3ED383</vt:lpwstr>
  </property>
</Properties>
</file>