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2410" w:type="dxa"/>
        <w:tblCellMar>
          <w:left w:w="0" w:type="dxa"/>
          <w:right w:w="0" w:type="dxa"/>
        </w:tblCellMar>
        <w:tblLook w:val="04A0" w:firstRow="1" w:lastRow="0" w:firstColumn="1" w:lastColumn="0" w:noHBand="0" w:noVBand="1"/>
      </w:tblPr>
      <w:tblGrid>
        <w:gridCol w:w="1943"/>
        <w:gridCol w:w="2374"/>
        <w:gridCol w:w="353"/>
        <w:gridCol w:w="3960"/>
        <w:gridCol w:w="3780"/>
      </w:tblGrid>
      <w:tr w:rsidR="000524DD" w:rsidTr="00184DC6">
        <w:trPr>
          <w:trHeight w:val="319"/>
          <w:tblHeader/>
        </w:trPr>
        <w:tc>
          <w:tcPr>
            <w:tcW w:w="12410"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0524DD" w:rsidRDefault="000524DD" w:rsidP="00DD18B9">
            <w:pPr>
              <w:rPr>
                <w:color w:val="FFFFFF"/>
              </w:rPr>
            </w:pPr>
            <w:r>
              <w:rPr>
                <w:b/>
                <w:bCs/>
                <w:color w:val="FFFFFF"/>
              </w:rPr>
              <w:t>Name of program:</w:t>
            </w:r>
            <w:r>
              <w:rPr>
                <w:color w:val="FFFFFF"/>
              </w:rPr>
              <w:t xml:space="preserve"> </w:t>
            </w:r>
            <w:r w:rsidR="00DD18B9">
              <w:rPr>
                <w:color w:val="FFFFFF"/>
              </w:rPr>
              <w:t>Preliminary Teaching License: Single</w:t>
            </w:r>
            <w:r w:rsidR="00CC73F3">
              <w:rPr>
                <w:color w:val="FFFFFF"/>
              </w:rPr>
              <w:t>-</w:t>
            </w:r>
            <w:r w:rsidR="00DD18B9">
              <w:rPr>
                <w:color w:val="FFFFFF"/>
              </w:rPr>
              <w:t>Subject Areas</w:t>
            </w:r>
          </w:p>
          <w:p w:rsidR="00DD18B9" w:rsidRDefault="00DD18B9" w:rsidP="00372B94">
            <w:pPr>
              <w:spacing w:after="0"/>
              <w:rPr>
                <w:color w:val="FFFFFF"/>
              </w:rPr>
            </w:pPr>
            <w:r>
              <w:rPr>
                <w:color w:val="FFFFFF"/>
              </w:rPr>
              <w:t xml:space="preserve">This table may be used for: Mathematics (Advanced and Foundational); Agricultural Science; Biology; </w:t>
            </w:r>
            <w:r w:rsidRPr="00DD18B9">
              <w:rPr>
                <w:color w:val="FFFFFF"/>
              </w:rPr>
              <w:t xml:space="preserve">Business: Generalist; Business: Marketing; Career Trades: Generalist; Chemistry; </w:t>
            </w:r>
            <w:r w:rsidR="00372B94">
              <w:rPr>
                <w:color w:val="FFFFFF"/>
              </w:rPr>
              <w:t xml:space="preserve">Drama;* </w:t>
            </w:r>
            <w:r w:rsidRPr="00DD18B9">
              <w:rPr>
                <w:color w:val="FFFFFF"/>
              </w:rPr>
              <w:t>English Language Arts</w:t>
            </w:r>
            <w:r>
              <w:rPr>
                <w:color w:val="FFFFFF"/>
              </w:rPr>
              <w:t xml:space="preserve"> (Includes Foundational ELA)</w:t>
            </w:r>
            <w:r w:rsidRPr="00DD18B9">
              <w:rPr>
                <w:color w:val="FFFFFF"/>
              </w:rPr>
              <w:t xml:space="preserve">; </w:t>
            </w:r>
            <w:r>
              <w:rPr>
                <w:color w:val="FFFFFF"/>
              </w:rPr>
              <w:t>Family and Consumer Sciences</w:t>
            </w:r>
            <w:r w:rsidRPr="00DD18B9">
              <w:rPr>
                <w:color w:val="FFFFFF"/>
              </w:rPr>
              <w:t>; Health; Integrated Science</w:t>
            </w:r>
            <w:r>
              <w:rPr>
                <w:color w:val="FFFFFF"/>
              </w:rPr>
              <w:t xml:space="preserve"> (Includes Foundational Science)</w:t>
            </w:r>
            <w:r w:rsidRPr="00DD18B9">
              <w:rPr>
                <w:color w:val="FFFFFF"/>
              </w:rPr>
              <w:t xml:space="preserve">; Physics; </w:t>
            </w:r>
            <w:r>
              <w:rPr>
                <w:color w:val="FFFFFF"/>
              </w:rPr>
              <w:t xml:space="preserve">Social Studies (Includes Foundational Social Studies); and </w:t>
            </w:r>
            <w:r w:rsidRPr="00DD18B9">
              <w:rPr>
                <w:color w:val="FFFFFF"/>
              </w:rPr>
              <w:t xml:space="preserve">Speech (Forensics) </w:t>
            </w:r>
          </w:p>
          <w:p w:rsidR="00372B94" w:rsidRPr="00372B94" w:rsidRDefault="00372B94" w:rsidP="00C66E86">
            <w:pPr>
              <w:spacing w:after="0" w:line="240" w:lineRule="auto"/>
              <w:rPr>
                <w:b/>
                <w:i/>
                <w:color w:val="FFFFFF"/>
              </w:rPr>
            </w:pPr>
            <w:r>
              <w:rPr>
                <w:b/>
                <w:color w:val="FFFFFF"/>
              </w:rPr>
              <w:t xml:space="preserve">  * </w:t>
            </w:r>
            <w:r>
              <w:rPr>
                <w:b/>
                <w:i/>
                <w:color w:val="FFFFFF"/>
              </w:rPr>
              <w:t>Inclusion of Drama as a single-subject endorsement area assumes adoption of Drama exam in November 2018.</w:t>
            </w:r>
          </w:p>
          <w:p w:rsidR="00372B94" w:rsidRDefault="00372B94" w:rsidP="00C66E86">
            <w:pPr>
              <w:spacing w:after="0" w:line="240" w:lineRule="auto"/>
              <w:rPr>
                <w:b/>
                <w:color w:val="FFFFFF"/>
              </w:rPr>
            </w:pPr>
          </w:p>
          <w:p w:rsidR="00DD18B9" w:rsidRPr="00184DC6" w:rsidRDefault="00DD18B9" w:rsidP="00C66E86">
            <w:pPr>
              <w:spacing w:after="0" w:line="240" w:lineRule="auto"/>
              <w:rPr>
                <w:b/>
                <w:color w:val="FFFFFF"/>
              </w:rPr>
            </w:pPr>
            <w:r w:rsidRPr="00184DC6">
              <w:rPr>
                <w:b/>
                <w:color w:val="FFFFFF"/>
              </w:rPr>
              <w:t>Please indicate which single-subject areas are included in this table:</w:t>
            </w:r>
            <w:r w:rsidR="00CC73F3">
              <w:rPr>
                <w:b/>
                <w:color w:val="FFFFFF"/>
              </w:rPr>
              <w:t xml:space="preserve"> </w:t>
            </w:r>
            <w:r w:rsidR="00C66E86">
              <w:rPr>
                <w:rFonts w:ascii="Calibri" w:hAnsi="Calibri" w:cs="Arial"/>
                <w:color w:val="FFFFFF" w:themeColor="background1"/>
                <w:kern w:val="2"/>
                <w:szCs w:val="20"/>
              </w:rPr>
              <w:t>HERE</w:t>
            </w:r>
          </w:p>
          <w:p w:rsidR="00DD18B9" w:rsidRPr="00C66E86" w:rsidRDefault="00DD18B9" w:rsidP="00C66E86">
            <w:pPr>
              <w:spacing w:after="0" w:line="240" w:lineRule="auto"/>
              <w:rPr>
                <w:color w:val="FFFFFF"/>
              </w:rPr>
            </w:pPr>
          </w:p>
          <w:p w:rsidR="00DD18B9" w:rsidRPr="000F0CB1" w:rsidRDefault="00DD18B9" w:rsidP="00DD18B9">
            <w:pPr>
              <w:rPr>
                <w:i/>
                <w:color w:val="FFFFFF"/>
              </w:rPr>
            </w:pPr>
            <w:r w:rsidRPr="00C66E86">
              <w:rPr>
                <w:b/>
                <w:i/>
                <w:color w:val="FFFFFF"/>
              </w:rPr>
              <w:t>NOTE:</w:t>
            </w:r>
            <w:r w:rsidRPr="000F0CB1">
              <w:rPr>
                <w:i/>
                <w:color w:val="FFFFFF"/>
              </w:rPr>
              <w:t xml:space="preserve"> The Commission has adopted separate program standards for </w:t>
            </w:r>
            <w:bookmarkStart w:id="0" w:name="_GoBack"/>
            <w:bookmarkEnd w:id="0"/>
            <w:r w:rsidRPr="000F0CB1">
              <w:rPr>
                <w:i/>
                <w:color w:val="FFFFFF"/>
              </w:rPr>
              <w:t xml:space="preserve">initial Art, Music, </w:t>
            </w:r>
            <w:r w:rsidR="00B27A5F">
              <w:rPr>
                <w:i/>
                <w:color w:val="FFFFFF"/>
              </w:rPr>
              <w:t xml:space="preserve">and </w:t>
            </w:r>
            <w:r w:rsidRPr="000F0CB1">
              <w:rPr>
                <w:i/>
                <w:color w:val="FFFFFF"/>
              </w:rPr>
              <w:t>PE endorsement areas.  Please use the corresponding alignment tables for these initial endorsement areas.</w:t>
            </w:r>
          </w:p>
          <w:p w:rsidR="00DD18B9" w:rsidRPr="00C66E86" w:rsidRDefault="00DD18B9" w:rsidP="00C66E86">
            <w:pPr>
              <w:rPr>
                <w:i/>
                <w:color w:val="FFFFFF"/>
              </w:rPr>
            </w:pPr>
            <w:r w:rsidRPr="00C66E86">
              <w:rPr>
                <w:b/>
                <w:i/>
                <w:color w:val="FFFFFF"/>
              </w:rPr>
              <w:t>NOTE:</w:t>
            </w:r>
            <w:r w:rsidRPr="000F0CB1">
              <w:rPr>
                <w:i/>
                <w:color w:val="FFFFFF"/>
              </w:rPr>
              <w:t xml:space="preserve"> Initial programs for Reading Intervention, SPED and ESOL are included in the Program Report for advanced level programs in these areas. </w:t>
            </w:r>
          </w:p>
        </w:tc>
      </w:tr>
      <w:tr w:rsidR="000524DD" w:rsidTr="00184DC6">
        <w:trPr>
          <w:trHeight w:val="330"/>
          <w:tblHeader/>
        </w:trPr>
        <w:tc>
          <w:tcPr>
            <w:tcW w:w="1943" w:type="dxa"/>
            <w:vMerge w:val="restart"/>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0524DD" w:rsidRDefault="000524DD" w:rsidP="0036528F">
            <w:r>
              <w:rPr>
                <w:b/>
                <w:bCs/>
              </w:rPr>
              <w:t> </w:t>
            </w:r>
          </w:p>
          <w:p w:rsidR="000524DD" w:rsidRDefault="000524DD" w:rsidP="0036528F">
            <w:r>
              <w:rPr>
                <w:b/>
                <w:bCs/>
              </w:rPr>
              <w:t>Program Standards</w:t>
            </w:r>
          </w:p>
        </w:tc>
        <w:tc>
          <w:tcPr>
            <w:tcW w:w="10467" w:type="dxa"/>
            <w:gridSpan w:val="4"/>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184DC6" w:rsidRDefault="00184DC6" w:rsidP="00184DC6">
            <w:pPr>
              <w:spacing w:after="0"/>
              <w:jc w:val="center"/>
              <w:rPr>
                <w:bCs/>
              </w:rPr>
            </w:pPr>
            <w:r>
              <w:rPr>
                <w:bCs/>
              </w:rPr>
              <w:t>Report any courses, assessments, teacher performance assessment and/or clinical practices</w:t>
            </w:r>
          </w:p>
          <w:p w:rsidR="000524DD" w:rsidRDefault="00184DC6" w:rsidP="00184DC6">
            <w:pPr>
              <w:jc w:val="center"/>
            </w:pPr>
            <w:r>
              <w:rPr>
                <w:bCs/>
              </w:rPr>
              <w:t xml:space="preserve"> that align to the required standards for the Preliminary Teaching License: Secondary Single-Subject Areas</w:t>
            </w:r>
          </w:p>
        </w:tc>
      </w:tr>
      <w:tr w:rsidR="002E2BFC" w:rsidTr="004958C3">
        <w:trPr>
          <w:trHeight w:val="102"/>
          <w:tblHeader/>
        </w:trPr>
        <w:tc>
          <w:tcPr>
            <w:tcW w:w="0" w:type="auto"/>
            <w:vMerge/>
            <w:tcBorders>
              <w:top w:val="nil"/>
              <w:left w:val="single" w:sz="8" w:space="0" w:color="auto"/>
              <w:bottom w:val="single" w:sz="8" w:space="0" w:color="auto"/>
              <w:right w:val="single" w:sz="8" w:space="0" w:color="auto"/>
            </w:tcBorders>
            <w:vAlign w:val="center"/>
            <w:hideMark/>
          </w:tcPr>
          <w:p w:rsidR="002E2BFC" w:rsidRDefault="002E2BFC" w:rsidP="0036528F">
            <w:pPr>
              <w:rPr>
                <w:rFonts w:ascii="Calibri" w:hAnsi="Calibri"/>
              </w:rPr>
            </w:pPr>
          </w:p>
        </w:tc>
        <w:tc>
          <w:tcPr>
            <w:tcW w:w="2727" w:type="dxa"/>
            <w:gridSpan w:val="2"/>
            <w:tcBorders>
              <w:top w:val="nil"/>
              <w:left w:val="nil"/>
              <w:bottom w:val="double" w:sz="4" w:space="0" w:color="auto"/>
              <w:right w:val="double" w:sz="4" w:space="0" w:color="auto"/>
            </w:tcBorders>
            <w:tcMar>
              <w:top w:w="0" w:type="dxa"/>
              <w:left w:w="108" w:type="dxa"/>
              <w:bottom w:w="0" w:type="dxa"/>
              <w:right w:w="108" w:type="dxa"/>
            </w:tcMar>
            <w:hideMark/>
          </w:tcPr>
          <w:p w:rsidR="002E2BFC" w:rsidRDefault="002E2BFC" w:rsidP="0036528F">
            <w:pPr>
              <w:jc w:val="center"/>
            </w:pPr>
            <w:r>
              <w:rPr>
                <w:b/>
                <w:bCs/>
                <w:sz w:val="20"/>
                <w:szCs w:val="20"/>
              </w:rPr>
              <w:t>Course</w:t>
            </w:r>
          </w:p>
        </w:tc>
        <w:tc>
          <w:tcPr>
            <w:tcW w:w="396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2E2BFC" w:rsidRDefault="002E2BFC" w:rsidP="00184DC6">
            <w:pPr>
              <w:jc w:val="center"/>
            </w:pPr>
            <w:r>
              <w:rPr>
                <w:b/>
                <w:bCs/>
                <w:sz w:val="20"/>
                <w:szCs w:val="20"/>
              </w:rPr>
              <w:t xml:space="preserve">Assessment </w:t>
            </w:r>
          </w:p>
          <w:p w:rsidR="002E2BFC" w:rsidRDefault="002E2BFC" w:rsidP="0036528F">
            <w:pPr>
              <w:jc w:val="center"/>
            </w:pPr>
            <w:r>
              <w:rPr>
                <w:b/>
                <w:bCs/>
                <w:sz w:val="20"/>
                <w:szCs w:val="20"/>
              </w:rPr>
              <w:t>Teacher Performance Assessment</w:t>
            </w:r>
          </w:p>
        </w:tc>
        <w:tc>
          <w:tcPr>
            <w:tcW w:w="3780"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2E2BFC" w:rsidRDefault="002E2BFC" w:rsidP="0036528F">
            <w:pPr>
              <w:jc w:val="center"/>
            </w:pPr>
            <w:r>
              <w:rPr>
                <w:b/>
                <w:bCs/>
                <w:sz w:val="20"/>
                <w:szCs w:val="20"/>
              </w:rPr>
              <w:t>Clinical Practices</w:t>
            </w:r>
          </w:p>
        </w:tc>
      </w:tr>
      <w:tr w:rsidR="002E2BFC" w:rsidTr="003F45BB">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FC" w:rsidRDefault="002E2BFC" w:rsidP="00184DC6">
            <w:r>
              <w:rPr>
                <w:b/>
                <w:bCs/>
                <w:i/>
                <w:iCs/>
                <w:sz w:val="16"/>
                <w:szCs w:val="16"/>
              </w:rPr>
              <w:t xml:space="preserve">Preliminary Teaching </w:t>
            </w:r>
            <w:r w:rsidR="00C66E86">
              <w:rPr>
                <w:b/>
                <w:bCs/>
                <w:i/>
                <w:iCs/>
                <w:sz w:val="16"/>
                <w:szCs w:val="16"/>
              </w:rPr>
              <w:t xml:space="preserve">License: </w:t>
            </w:r>
            <w:r>
              <w:rPr>
                <w:b/>
                <w:bCs/>
                <w:i/>
                <w:iCs/>
                <w:sz w:val="16"/>
                <w:szCs w:val="16"/>
              </w:rPr>
              <w:t>Single</w:t>
            </w:r>
            <w:r w:rsidR="00C66E86">
              <w:rPr>
                <w:b/>
                <w:bCs/>
                <w:i/>
                <w:iCs/>
                <w:sz w:val="16"/>
                <w:szCs w:val="16"/>
              </w:rPr>
              <w:t>-</w:t>
            </w:r>
            <w:r>
              <w:rPr>
                <w:b/>
                <w:bCs/>
                <w:i/>
                <w:iCs/>
                <w:sz w:val="16"/>
                <w:szCs w:val="16"/>
              </w:rPr>
              <w:t>Subject</w:t>
            </w:r>
            <w:r w:rsidR="00C66E86">
              <w:rPr>
                <w:b/>
                <w:bCs/>
                <w:i/>
                <w:iCs/>
                <w:sz w:val="16"/>
                <w:szCs w:val="16"/>
              </w:rPr>
              <w:t xml:space="preserve"> areas</w:t>
            </w:r>
            <w:r>
              <w:rPr>
                <w:b/>
                <w:bCs/>
                <w:i/>
                <w:iCs/>
                <w:sz w:val="16"/>
                <w:szCs w:val="16"/>
              </w:rPr>
              <w:t>/</w:t>
            </w:r>
            <w:r w:rsidRPr="0036528F">
              <w:rPr>
                <w:bCs/>
                <w:i/>
                <w:iCs/>
                <w:sz w:val="16"/>
                <w:szCs w:val="16"/>
              </w:rPr>
              <w:t>Subject Test</w:t>
            </w:r>
          </w:p>
          <w:p w:rsidR="002E2BFC" w:rsidRDefault="002E2BFC" w:rsidP="00184DC6">
            <w:r>
              <w:rPr>
                <w:sz w:val="16"/>
                <w:szCs w:val="16"/>
              </w:rPr>
              <w:t>The program requires candidates to complete th</w:t>
            </w:r>
            <w:r w:rsidR="00C66E86">
              <w:rPr>
                <w:sz w:val="16"/>
                <w:szCs w:val="16"/>
              </w:rPr>
              <w:t>e Commission-approved test for single-s</w:t>
            </w:r>
            <w:r>
              <w:rPr>
                <w:sz w:val="16"/>
                <w:szCs w:val="16"/>
              </w:rPr>
              <w:t>ubject endorsement area</w:t>
            </w:r>
            <w:r w:rsidR="00C66E86">
              <w:rPr>
                <w:sz w:val="16"/>
                <w:szCs w:val="16"/>
              </w:rPr>
              <w:t>s</w:t>
            </w:r>
            <w:r>
              <w:rPr>
                <w:sz w:val="16"/>
                <w:szCs w:val="16"/>
              </w:rPr>
              <w:t>.</w:t>
            </w:r>
          </w:p>
        </w:tc>
        <w:tc>
          <w:tcPr>
            <w:tcW w:w="2727" w:type="dxa"/>
            <w:gridSpan w:val="2"/>
            <w:tcBorders>
              <w:top w:val="double" w:sz="4" w:space="0" w:color="auto"/>
              <w:left w:val="nil"/>
              <w:bottom w:val="single" w:sz="8" w:space="0" w:color="auto"/>
              <w:right w:val="double" w:sz="4" w:space="0" w:color="auto"/>
            </w:tcBorders>
            <w:tcMar>
              <w:top w:w="0" w:type="dxa"/>
              <w:left w:w="108" w:type="dxa"/>
              <w:bottom w:w="0" w:type="dxa"/>
              <w:right w:w="108" w:type="dxa"/>
            </w:tcMar>
            <w:vAlign w:val="center"/>
            <w:hideMark/>
          </w:tcPr>
          <w:p w:rsidR="002E2BFC" w:rsidRPr="004E0020" w:rsidRDefault="002E2BFC" w:rsidP="00184DC6">
            <w:pPr>
              <w:jc w:val="center"/>
              <w:rPr>
                <w:sz w:val="20"/>
              </w:rPr>
            </w:pPr>
            <w:r w:rsidRPr="004E0020">
              <w:rPr>
                <w:color w:val="D0CECE" w:themeColor="background2" w:themeShade="E6"/>
                <w:sz w:val="20"/>
              </w:rPr>
              <w:t>Courses</w:t>
            </w:r>
          </w:p>
        </w:tc>
        <w:tc>
          <w:tcPr>
            <w:tcW w:w="3960" w:type="dxa"/>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886763">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2BFC" w:rsidRPr="0036528F" w:rsidRDefault="00C66E86" w:rsidP="00184DC6">
            <w:pPr>
              <w:rPr>
                <w:i/>
              </w:rPr>
            </w:pPr>
            <w:r>
              <w:rPr>
                <w:b/>
                <w:bCs/>
                <w:i/>
                <w:iCs/>
                <w:sz w:val="16"/>
                <w:szCs w:val="16"/>
              </w:rPr>
              <w:t>Preliminary Teaching License: Single-</w:t>
            </w:r>
            <w:r w:rsidR="002E2BFC">
              <w:rPr>
                <w:b/>
                <w:bCs/>
                <w:i/>
                <w:iCs/>
                <w:sz w:val="16"/>
                <w:szCs w:val="16"/>
              </w:rPr>
              <w:t xml:space="preserve">Subject </w:t>
            </w:r>
            <w:r>
              <w:rPr>
                <w:b/>
                <w:bCs/>
                <w:i/>
                <w:iCs/>
                <w:sz w:val="16"/>
                <w:szCs w:val="16"/>
              </w:rPr>
              <w:t>areas</w:t>
            </w:r>
            <w:r w:rsidR="002E2BFC">
              <w:rPr>
                <w:b/>
                <w:bCs/>
                <w:i/>
                <w:iCs/>
                <w:sz w:val="16"/>
                <w:szCs w:val="16"/>
              </w:rPr>
              <w:t>/</w:t>
            </w:r>
            <w:r w:rsidR="002E2BFC" w:rsidRPr="0036528F">
              <w:rPr>
                <w:bCs/>
                <w:i/>
                <w:iCs/>
                <w:sz w:val="16"/>
                <w:szCs w:val="16"/>
              </w:rPr>
              <w:t>Clinical Practices</w:t>
            </w:r>
          </w:p>
          <w:p w:rsidR="002E2BFC" w:rsidRDefault="002E2BFC" w:rsidP="00184DC6">
            <w:pPr>
              <w:rPr>
                <w:sz w:val="16"/>
                <w:szCs w:val="16"/>
              </w:rPr>
            </w:pPr>
            <w:r>
              <w:rPr>
                <w:sz w:val="16"/>
                <w:szCs w:val="16"/>
              </w:rPr>
              <w:lastRenderedPageBreak/>
              <w:t>The program requires candidates to complete field experiences that include supervised teaching or internships in the single-subject area</w:t>
            </w:r>
            <w:r w:rsidR="00C66E86">
              <w:rPr>
                <w:sz w:val="16"/>
                <w:szCs w:val="16"/>
              </w:rPr>
              <w:t>s</w:t>
            </w:r>
            <w:r>
              <w:rPr>
                <w:sz w:val="16"/>
                <w:szCs w:val="16"/>
              </w:rPr>
              <w:t>.</w:t>
            </w:r>
          </w:p>
          <w:p w:rsidR="002E2BFC" w:rsidRPr="009557E7" w:rsidRDefault="002E2BFC" w:rsidP="00184DC6">
            <w:pPr>
              <w:rPr>
                <w:i/>
              </w:rPr>
            </w:pPr>
            <w:r>
              <w:rPr>
                <w:i/>
                <w:sz w:val="16"/>
                <w:szCs w:val="16"/>
              </w:rPr>
              <w:t>I</w:t>
            </w:r>
            <w:r w:rsidRPr="009557E7">
              <w:rPr>
                <w:i/>
                <w:sz w:val="16"/>
                <w:szCs w:val="16"/>
              </w:rPr>
              <w:t>ndicate any differences in the clinical practices, if any, between the single-subject endorsement area</w:t>
            </w:r>
            <w:r>
              <w:rPr>
                <w:i/>
                <w:sz w:val="16"/>
                <w:szCs w:val="16"/>
              </w:rPr>
              <w:t>s</w:t>
            </w:r>
            <w:r w:rsidRPr="009557E7">
              <w:rPr>
                <w:i/>
                <w:sz w:val="16"/>
                <w:szCs w:val="16"/>
              </w:rPr>
              <w:t xml:space="preserve"> included in this report. </w:t>
            </w:r>
          </w:p>
        </w:tc>
        <w:tc>
          <w:tcPr>
            <w:tcW w:w="2727" w:type="dxa"/>
            <w:gridSpan w:val="2"/>
            <w:tcBorders>
              <w:top w:val="nil"/>
              <w:left w:val="nil"/>
              <w:bottom w:val="single" w:sz="8" w:space="0" w:color="auto"/>
              <w:right w:val="double" w:sz="4" w:space="0" w:color="auto"/>
            </w:tcBorders>
            <w:tcMar>
              <w:top w:w="0" w:type="dxa"/>
              <w:left w:w="108" w:type="dxa"/>
              <w:bottom w:w="0" w:type="dxa"/>
              <w:right w:w="108" w:type="dxa"/>
            </w:tcMar>
            <w:vAlign w:val="center"/>
            <w:hideMark/>
          </w:tcPr>
          <w:p w:rsidR="002E2BFC" w:rsidRPr="004E0020" w:rsidRDefault="002E2BFC" w:rsidP="00184DC6">
            <w:pPr>
              <w:jc w:val="center"/>
              <w:rPr>
                <w:sz w:val="20"/>
              </w:rPr>
            </w:pPr>
            <w:r w:rsidRPr="004E0020">
              <w:rPr>
                <w:color w:val="D0CECE" w:themeColor="background2" w:themeShade="E6"/>
                <w:sz w:val="20"/>
              </w:rPr>
              <w:lastRenderedPageBreak/>
              <w:t>Courses</w:t>
            </w:r>
          </w:p>
        </w:tc>
        <w:tc>
          <w:tcPr>
            <w:tcW w:w="3960" w:type="dxa"/>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0524DD" w:rsidTr="00184DC6">
        <w:trPr>
          <w:trHeight w:val="553"/>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6D66" w:rsidRDefault="00BD138B" w:rsidP="00416D66">
            <w:pPr>
              <w:spacing w:after="0"/>
              <w:rPr>
                <w:b/>
                <w:bCs/>
                <w:i/>
                <w:iCs/>
                <w:sz w:val="16"/>
                <w:szCs w:val="16"/>
              </w:rPr>
            </w:pPr>
            <w:r>
              <w:rPr>
                <w:b/>
                <w:bCs/>
                <w:i/>
                <w:iCs/>
                <w:sz w:val="16"/>
                <w:szCs w:val="16"/>
              </w:rPr>
              <w:t>Preliminary Teaching License</w:t>
            </w:r>
            <w:r w:rsidR="00C66E86">
              <w:rPr>
                <w:b/>
                <w:bCs/>
                <w:i/>
                <w:iCs/>
                <w:sz w:val="16"/>
                <w:szCs w:val="16"/>
              </w:rPr>
              <w:t>:</w:t>
            </w:r>
            <w:r>
              <w:rPr>
                <w:b/>
                <w:bCs/>
                <w:i/>
                <w:iCs/>
                <w:sz w:val="16"/>
                <w:szCs w:val="16"/>
              </w:rPr>
              <w:t xml:space="preserve"> </w:t>
            </w:r>
            <w:r w:rsidR="00C66E86">
              <w:rPr>
                <w:b/>
                <w:bCs/>
                <w:i/>
                <w:iCs/>
                <w:sz w:val="16"/>
                <w:szCs w:val="16"/>
              </w:rPr>
              <w:t>Single-</w:t>
            </w:r>
            <w:r w:rsidR="009557E7">
              <w:rPr>
                <w:b/>
                <w:bCs/>
                <w:i/>
                <w:iCs/>
                <w:sz w:val="16"/>
                <w:szCs w:val="16"/>
              </w:rPr>
              <w:t xml:space="preserve">Subject </w:t>
            </w:r>
            <w:r w:rsidR="00C66E86">
              <w:rPr>
                <w:b/>
                <w:bCs/>
                <w:i/>
                <w:iCs/>
                <w:sz w:val="16"/>
                <w:szCs w:val="16"/>
              </w:rPr>
              <w:t>areas</w:t>
            </w:r>
          </w:p>
          <w:p w:rsidR="000524DD" w:rsidRDefault="000A68F0" w:rsidP="0036528F">
            <w:r w:rsidRPr="000A68F0">
              <w:rPr>
                <w:bCs/>
                <w:i/>
                <w:iCs/>
                <w:sz w:val="16"/>
                <w:szCs w:val="16"/>
              </w:rPr>
              <w:t>Cultural Competency and Equitable Practice</w:t>
            </w:r>
          </w:p>
          <w:p w:rsidR="000524DD" w:rsidRDefault="000524DD" w:rsidP="00BD138B">
            <w:pPr>
              <w:rPr>
                <w:sz w:val="16"/>
                <w:szCs w:val="16"/>
              </w:rPr>
            </w:pPr>
            <w:r>
              <w:rPr>
                <w:sz w:val="16"/>
                <w:szCs w:val="16"/>
              </w:rPr>
              <w:t xml:space="preserve">The program integrates principles of cultural competency and equitable practice in each competency standard through the entire </w:t>
            </w:r>
            <w:r w:rsidR="00BD138B">
              <w:rPr>
                <w:sz w:val="16"/>
                <w:szCs w:val="16"/>
              </w:rPr>
              <w:t xml:space="preserve">Preliminary Teaching License </w:t>
            </w:r>
            <w:r>
              <w:rPr>
                <w:sz w:val="16"/>
                <w:szCs w:val="16"/>
              </w:rPr>
              <w:t>program.</w:t>
            </w:r>
          </w:p>
          <w:p w:rsidR="009557E7" w:rsidRDefault="009557E7" w:rsidP="00BD138B">
            <w:r>
              <w:rPr>
                <w:i/>
                <w:sz w:val="16"/>
                <w:szCs w:val="16"/>
              </w:rPr>
              <w:t>I</w:t>
            </w:r>
            <w:r w:rsidRPr="009557E7">
              <w:rPr>
                <w:i/>
                <w:sz w:val="16"/>
                <w:szCs w:val="16"/>
              </w:rPr>
              <w:t>ndicate any differences</w:t>
            </w:r>
            <w:r>
              <w:rPr>
                <w:i/>
                <w:sz w:val="16"/>
                <w:szCs w:val="16"/>
              </w:rPr>
              <w:t xml:space="preserve"> in the cultural competency and equitable practice</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1046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524DD" w:rsidRDefault="000524DD" w:rsidP="0036528F">
            <w:r>
              <w:rPr>
                <w:color w:val="FF0000"/>
                <w:sz w:val="16"/>
                <w:szCs w:val="16"/>
              </w:rPr>
              <w:t>Please provide a narrative section for this item.</w:t>
            </w:r>
          </w:p>
          <w:p w:rsidR="000524DD" w:rsidRDefault="000524DD" w:rsidP="0036528F">
            <w:r>
              <w:rPr>
                <w:sz w:val="16"/>
                <w:szCs w:val="16"/>
              </w:rPr>
              <w:t> </w:t>
            </w:r>
          </w:p>
        </w:tc>
      </w:tr>
      <w:tr w:rsidR="00233351" w:rsidTr="00531980">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351" w:rsidRPr="00DE19FB" w:rsidRDefault="00233351" w:rsidP="00233351">
            <w:pPr>
              <w:spacing w:after="0"/>
              <w:rPr>
                <w:b/>
                <w:bCs/>
                <w:i/>
                <w:iCs/>
                <w:sz w:val="16"/>
                <w:szCs w:val="16"/>
              </w:rPr>
            </w:pPr>
            <w:r w:rsidRPr="00DE19FB">
              <w:rPr>
                <w:b/>
                <w:bCs/>
                <w:i/>
                <w:iCs/>
                <w:sz w:val="16"/>
                <w:szCs w:val="16"/>
              </w:rPr>
              <w:t>Preliminary Teaching License: Single-Subject areas</w:t>
            </w:r>
          </w:p>
          <w:p w:rsidR="00233351" w:rsidRPr="00DE19FB" w:rsidRDefault="00233351" w:rsidP="00233351">
            <w:pPr>
              <w:rPr>
                <w:bCs/>
                <w:i/>
                <w:iCs/>
                <w:sz w:val="16"/>
                <w:szCs w:val="16"/>
              </w:rPr>
            </w:pPr>
            <w:r w:rsidRPr="00DE19FB">
              <w:rPr>
                <w:bCs/>
                <w:i/>
                <w:iCs/>
                <w:sz w:val="16"/>
                <w:szCs w:val="16"/>
              </w:rPr>
              <w:t xml:space="preserve">Learner Development </w:t>
            </w:r>
          </w:p>
          <w:p w:rsidR="00233351" w:rsidRPr="00DE19FB" w:rsidRDefault="00233351" w:rsidP="00233351">
            <w:pPr>
              <w:rPr>
                <w:rStyle w:val="history"/>
                <w:color w:val="000000"/>
                <w:sz w:val="16"/>
                <w:szCs w:val="20"/>
              </w:rPr>
            </w:pPr>
            <w:r w:rsidRPr="00DE19FB">
              <w:rPr>
                <w:rStyle w:val="history"/>
                <w:color w:val="000000"/>
                <w:sz w:val="16"/>
                <w:szCs w:val="20"/>
              </w:rPr>
              <w:t>The teacher understands how children learn, grow, and develop, recognizing that patterns of learning and development vary individually within and across the cognitive, linguistic, social, emotional, and physical areas; and designs and implements developmentally appropriate and challenging learning experiences. [InTASC Standard #1]</w:t>
            </w:r>
          </w:p>
          <w:p w:rsidR="00233351" w:rsidRPr="00DE19FB" w:rsidRDefault="00233351" w:rsidP="00233351">
            <w:pPr>
              <w:rPr>
                <w:sz w:val="20"/>
              </w:rPr>
            </w:pPr>
            <w:r w:rsidRPr="00DE19FB">
              <w:rPr>
                <w:i/>
                <w:sz w:val="16"/>
                <w:szCs w:val="16"/>
              </w:rPr>
              <w:t>Indicate any differences for the Learner Development standard, if any, between the single-subject endorsement areas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33351" w:rsidRPr="004E0020" w:rsidRDefault="00233351" w:rsidP="00233351">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33351" w:rsidRPr="002E2BFC" w:rsidRDefault="00233351" w:rsidP="00233351">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33351" w:rsidRPr="00A228E7" w:rsidRDefault="00233351" w:rsidP="00233351">
            <w:pPr>
              <w:jc w:val="center"/>
            </w:pPr>
            <w:r w:rsidRPr="00A228E7">
              <w:rPr>
                <w:sz w:val="16"/>
                <w:szCs w:val="16"/>
              </w:rPr>
              <w:t> </w:t>
            </w:r>
          </w:p>
          <w:p w:rsidR="00233351" w:rsidRPr="004E0020" w:rsidRDefault="00233351" w:rsidP="00233351">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33351" w:rsidRPr="00A228E7" w:rsidRDefault="00233351" w:rsidP="00233351">
            <w:pPr>
              <w:jc w:val="center"/>
            </w:pPr>
            <w:r w:rsidRPr="00A228E7">
              <w:rPr>
                <w:sz w:val="16"/>
                <w:szCs w:val="16"/>
              </w:rPr>
              <w:t> </w:t>
            </w:r>
          </w:p>
        </w:tc>
      </w:tr>
      <w:tr w:rsidR="002E2BFC" w:rsidTr="004640C3">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Learning Differences</w:t>
            </w:r>
          </w:p>
          <w:p w:rsidR="002E2BFC" w:rsidRDefault="002E2BFC" w:rsidP="00184DC6">
            <w:pPr>
              <w:rPr>
                <w:bCs/>
                <w:iCs/>
                <w:sz w:val="16"/>
                <w:szCs w:val="16"/>
              </w:rPr>
            </w:pPr>
            <w:r w:rsidRPr="00522EB3">
              <w:rPr>
                <w:bCs/>
                <w:iCs/>
                <w:sz w:val="16"/>
                <w:szCs w:val="16"/>
              </w:rPr>
              <w:t>The teacher uses understanding of individual differences and diverse cultures and communities to ensure inclusive learning environments that enable each learner to meet high standards. [InTASC Standard #2]</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 </w:t>
            </w:r>
            <w:r>
              <w:rPr>
                <w:i/>
                <w:sz w:val="16"/>
                <w:szCs w:val="16"/>
              </w:rPr>
              <w:t>Learning Differences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E27C66">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Pr="00DE19FB" w:rsidRDefault="002E2BFC" w:rsidP="00184DC6">
            <w:pPr>
              <w:rPr>
                <w:bCs/>
                <w:i/>
                <w:iCs/>
                <w:sz w:val="16"/>
                <w:szCs w:val="16"/>
              </w:rPr>
            </w:pPr>
            <w:r w:rsidRPr="00DE19FB">
              <w:rPr>
                <w:b/>
                <w:bCs/>
                <w:i/>
                <w:iCs/>
                <w:sz w:val="16"/>
                <w:szCs w:val="16"/>
              </w:rPr>
              <w:t>Preliminary Teaching License-Single Subject /</w:t>
            </w:r>
            <w:r w:rsidRPr="00DE19FB">
              <w:rPr>
                <w:bCs/>
                <w:i/>
                <w:iCs/>
                <w:sz w:val="16"/>
                <w:szCs w:val="16"/>
              </w:rPr>
              <w:t>Learning Environments</w:t>
            </w:r>
          </w:p>
          <w:p w:rsidR="002E2BFC" w:rsidRPr="00DE19FB" w:rsidRDefault="002E2BFC" w:rsidP="00184DC6">
            <w:pPr>
              <w:rPr>
                <w:bCs/>
                <w:iCs/>
                <w:sz w:val="16"/>
                <w:szCs w:val="16"/>
              </w:rPr>
            </w:pPr>
            <w:r w:rsidRPr="00DE19FB">
              <w:rPr>
                <w:bCs/>
                <w:iCs/>
                <w:sz w:val="16"/>
                <w:szCs w:val="16"/>
              </w:rPr>
              <w:t>The teacher works with others to create environments that support individual and collaborative learning, and that encourage positive social interaction, active engagement in learning, and self-motivation. [InTASC Standard #3]</w:t>
            </w:r>
          </w:p>
          <w:p w:rsidR="002E2BFC" w:rsidRPr="00DE19FB" w:rsidRDefault="002E2BFC" w:rsidP="00184DC6">
            <w:pPr>
              <w:rPr>
                <w:b/>
                <w:bCs/>
                <w:i/>
                <w:iCs/>
                <w:sz w:val="18"/>
                <w:szCs w:val="18"/>
              </w:rPr>
            </w:pPr>
            <w:r w:rsidRPr="00DE19FB">
              <w:rPr>
                <w:i/>
                <w:sz w:val="16"/>
                <w:szCs w:val="16"/>
              </w:rPr>
              <w:t>Indicate any differences for the Learning Environments standard, if any, between the single-subject endorsement areas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792011">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Content Knowledge</w:t>
            </w:r>
          </w:p>
          <w:p w:rsidR="002E2BFC" w:rsidRDefault="002E2BFC" w:rsidP="00184DC6">
            <w:pPr>
              <w:rPr>
                <w:bCs/>
                <w:iCs/>
                <w:sz w:val="16"/>
                <w:szCs w:val="16"/>
              </w:rPr>
            </w:pPr>
            <w:r w:rsidRPr="00522EB3">
              <w:rPr>
                <w:bCs/>
                <w:iCs/>
                <w:sz w:val="16"/>
                <w:szCs w:val="16"/>
              </w:rPr>
              <w:t>The teacher understands the central concepts, tools of inquiry, and structures of the discipline(s) he or she teaches and creates learning experiences that make these aspects of the discipline accessible and meaningful for learners to assure mastery of the content. [InTASC Standard #4]</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 </w:t>
            </w:r>
            <w:r>
              <w:rPr>
                <w:i/>
                <w:sz w:val="16"/>
                <w:szCs w:val="16"/>
              </w:rPr>
              <w:t>content knowledge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2E2BFC">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454A54">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Application of Content</w:t>
            </w:r>
          </w:p>
          <w:p w:rsidR="002E2BFC" w:rsidRDefault="002E2BFC" w:rsidP="00184DC6">
            <w:pPr>
              <w:rPr>
                <w:bCs/>
                <w:iCs/>
                <w:sz w:val="16"/>
                <w:szCs w:val="16"/>
              </w:rPr>
            </w:pPr>
            <w:r w:rsidRPr="00522EB3">
              <w:rPr>
                <w:bCs/>
                <w:iCs/>
                <w:sz w:val="16"/>
                <w:szCs w:val="16"/>
              </w:rPr>
              <w:t>The teacher understands how to connect concepts and use differing perspectives to engage learners in critical thinking, creativity, and collaborative problem solving related to authentic local and global issues. [InTASC Standard #5]</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application of content knowledge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FA0079">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Assessment</w:t>
            </w:r>
          </w:p>
          <w:p w:rsidR="002E2BFC" w:rsidRDefault="002E2BFC" w:rsidP="00184DC6">
            <w:pPr>
              <w:rPr>
                <w:bCs/>
                <w:iCs/>
                <w:sz w:val="16"/>
                <w:szCs w:val="16"/>
              </w:rPr>
            </w:pPr>
            <w:r w:rsidRPr="00522EB3">
              <w:rPr>
                <w:bCs/>
                <w:iCs/>
                <w:sz w:val="16"/>
                <w:szCs w:val="16"/>
              </w:rPr>
              <w:t>The teacher understands and uses multiple methods of assessment to engage learners in their own growth, to monitor learner progress, and to guide the teacher’s and learner’s decision making. [InTASC Standard #6]</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assessment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293DFA">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Planning for Instruction</w:t>
            </w:r>
          </w:p>
          <w:p w:rsidR="002E2BFC" w:rsidRDefault="002E2BFC" w:rsidP="00184DC6">
            <w:pPr>
              <w:rPr>
                <w:bCs/>
                <w:iCs/>
                <w:sz w:val="16"/>
                <w:szCs w:val="16"/>
              </w:rPr>
            </w:pPr>
            <w:r w:rsidRPr="00522EB3">
              <w:rPr>
                <w:bCs/>
                <w:iCs/>
                <w:sz w:val="16"/>
                <w:szCs w:val="16"/>
              </w:rPr>
              <w:t>The teacher plans instruction that supports every student in meeting rigorous learning goals by drawing upon knowledge of content areas, curriculum, cross-disciplinary skills and pedagogy, as well as learners and the community context. [InTASC Standard #7]</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planning of instruction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2E2BFC">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897A02">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Instructional Strategies</w:t>
            </w:r>
          </w:p>
          <w:p w:rsidR="002E2BFC" w:rsidRDefault="002E2BFC" w:rsidP="00184DC6">
            <w:pPr>
              <w:rPr>
                <w:bCs/>
                <w:iCs/>
                <w:sz w:val="16"/>
                <w:szCs w:val="16"/>
              </w:rPr>
            </w:pPr>
            <w:r w:rsidRPr="00522EB3">
              <w:rPr>
                <w:bCs/>
                <w:iCs/>
                <w:sz w:val="16"/>
                <w:szCs w:val="16"/>
              </w:rPr>
              <w:t>The teacher understands and uses a variety of instructional strategies to encourage learners to develop deep understanding of content areas and their connections, and to build skills to apply knowledge in meaningful ways. [InTASC Standard #8]</w:t>
            </w:r>
          </w:p>
          <w:p w:rsidR="002E2BFC"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instructional strategies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p w:rsidR="002E2BFC" w:rsidRPr="00522EB3" w:rsidRDefault="002E2BFC" w:rsidP="00184DC6">
            <w:pPr>
              <w:rPr>
                <w:bCs/>
                <w:iCs/>
                <w:sz w:val="16"/>
                <w:szCs w:val="16"/>
              </w:rPr>
            </w:pP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401E9D">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Pr>
                <w:bCs/>
                <w:i/>
                <w:iCs/>
                <w:sz w:val="16"/>
                <w:szCs w:val="16"/>
              </w:rPr>
              <w:t>Professional Learning and Ethical Practice</w:t>
            </w:r>
          </w:p>
          <w:p w:rsidR="002E2BFC" w:rsidRDefault="002E2BFC" w:rsidP="00184DC6">
            <w:pPr>
              <w:rPr>
                <w:bCs/>
                <w:iCs/>
                <w:sz w:val="16"/>
                <w:szCs w:val="16"/>
              </w:rPr>
            </w:pPr>
            <w:r w:rsidRPr="00522EB3">
              <w:rPr>
                <w:bCs/>
                <w:iCs/>
                <w:sz w:val="16"/>
                <w:szCs w:val="16"/>
              </w:rPr>
              <w:t>The teacher engages in ongoing professional learning and uses evidence to continually evaluate his or her practice, particularly the effects of his/her choices and actions on others (learners, families, other professionals, and the community), and adapts practice to meet the needs of each learner. [InTASC Standard #9]</w:t>
            </w:r>
          </w:p>
          <w:p w:rsidR="002E2BFC" w:rsidRPr="00522EB3" w:rsidRDefault="002E2BFC" w:rsidP="00184DC6">
            <w:pPr>
              <w:rPr>
                <w:bCs/>
                <w:iCs/>
                <w:sz w:val="16"/>
                <w:szCs w:val="16"/>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professional learning and ethical practice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2E2BFC">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r w:rsidR="002E2BFC" w:rsidTr="002A2C4D">
        <w:trPr>
          <w:trHeight w:val="102"/>
        </w:trPr>
        <w:tc>
          <w:tcPr>
            <w:tcW w:w="1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E2BFC" w:rsidRDefault="002E2BFC" w:rsidP="00184DC6">
            <w:pPr>
              <w:rPr>
                <w:bCs/>
                <w:i/>
                <w:iCs/>
                <w:sz w:val="16"/>
                <w:szCs w:val="16"/>
              </w:rPr>
            </w:pPr>
            <w:r>
              <w:rPr>
                <w:b/>
                <w:bCs/>
                <w:i/>
                <w:iCs/>
                <w:sz w:val="16"/>
                <w:szCs w:val="16"/>
              </w:rPr>
              <w:t>Preliminary Teaching License-Single Subject /</w:t>
            </w:r>
            <w:r w:rsidRPr="00522EB3">
              <w:rPr>
                <w:rFonts w:ascii="Lato" w:hAnsi="Lato"/>
                <w:color w:val="000000"/>
                <w:sz w:val="20"/>
                <w:szCs w:val="20"/>
              </w:rPr>
              <w:t xml:space="preserve"> </w:t>
            </w:r>
            <w:r>
              <w:rPr>
                <w:bCs/>
                <w:i/>
                <w:iCs/>
                <w:sz w:val="16"/>
                <w:szCs w:val="16"/>
              </w:rPr>
              <w:t>Leadership and Collaboration</w:t>
            </w:r>
          </w:p>
          <w:p w:rsidR="002E2BFC" w:rsidRPr="00522EB3" w:rsidRDefault="002E2BFC" w:rsidP="00184DC6">
            <w:pPr>
              <w:rPr>
                <w:bCs/>
                <w:iCs/>
                <w:sz w:val="16"/>
                <w:szCs w:val="16"/>
              </w:rPr>
            </w:pPr>
            <w:r w:rsidRPr="00522EB3">
              <w:rPr>
                <w:bCs/>
                <w:iCs/>
                <w:sz w:val="16"/>
                <w:szCs w:val="16"/>
              </w:rPr>
              <w:t>The teacher demonstrates leadership by taking responsibility for student learning and by collaborating with learners, families, colleagues, other school professionals, and community members to ensure learner growth and development, learning, and well-being. [InTASC Standard #10]</w:t>
            </w:r>
          </w:p>
          <w:p w:rsidR="002E2BFC" w:rsidRDefault="002E2BFC" w:rsidP="00184DC6">
            <w:pPr>
              <w:rPr>
                <w:b/>
                <w:bCs/>
                <w:i/>
                <w:iCs/>
                <w:sz w:val="18"/>
                <w:szCs w:val="18"/>
              </w:rPr>
            </w:pPr>
            <w:r>
              <w:rPr>
                <w:i/>
                <w:sz w:val="16"/>
                <w:szCs w:val="16"/>
              </w:rPr>
              <w:t>I</w:t>
            </w:r>
            <w:r w:rsidRPr="009557E7">
              <w:rPr>
                <w:i/>
                <w:sz w:val="16"/>
                <w:szCs w:val="16"/>
              </w:rPr>
              <w:t>ndicate any differences</w:t>
            </w:r>
            <w:r>
              <w:rPr>
                <w:i/>
                <w:sz w:val="16"/>
                <w:szCs w:val="16"/>
              </w:rPr>
              <w:t xml:space="preserve"> for</w:t>
            </w:r>
            <w:r w:rsidRPr="009557E7">
              <w:rPr>
                <w:i/>
                <w:sz w:val="16"/>
                <w:szCs w:val="16"/>
              </w:rPr>
              <w:t xml:space="preserve"> the</w:t>
            </w:r>
            <w:r>
              <w:rPr>
                <w:i/>
                <w:sz w:val="16"/>
                <w:szCs w:val="16"/>
              </w:rPr>
              <w:t xml:space="preserve"> Leadership and Collaboration Standard</w:t>
            </w:r>
            <w:r w:rsidRPr="009557E7">
              <w:rPr>
                <w:i/>
                <w:sz w:val="16"/>
                <w:szCs w:val="16"/>
              </w:rPr>
              <w:t>, if any, between the single-subject endorsement area</w:t>
            </w:r>
            <w:r>
              <w:rPr>
                <w:i/>
                <w:sz w:val="16"/>
                <w:szCs w:val="16"/>
              </w:rPr>
              <w:t>s</w:t>
            </w:r>
            <w:r w:rsidRPr="009557E7">
              <w:rPr>
                <w:i/>
                <w:sz w:val="16"/>
                <w:szCs w:val="16"/>
              </w:rPr>
              <w:t xml:space="preserve"> included in this report.</w:t>
            </w:r>
          </w:p>
        </w:tc>
        <w:tc>
          <w:tcPr>
            <w:tcW w:w="2374" w:type="dxa"/>
            <w:tcBorders>
              <w:top w:val="nil"/>
              <w:left w:val="nil"/>
              <w:bottom w:val="single" w:sz="8" w:space="0" w:color="auto"/>
              <w:right w:val="double" w:sz="4" w:space="0" w:color="auto"/>
            </w:tcBorders>
            <w:tcMar>
              <w:top w:w="0" w:type="dxa"/>
              <w:left w:w="108" w:type="dxa"/>
              <w:bottom w:w="0" w:type="dxa"/>
              <w:right w:w="108" w:type="dxa"/>
            </w:tcMar>
            <w:vAlign w:val="center"/>
          </w:tcPr>
          <w:p w:rsidR="002E2BFC" w:rsidRPr="004E0020" w:rsidRDefault="002E2BFC" w:rsidP="00184DC6">
            <w:pPr>
              <w:jc w:val="center"/>
              <w:rPr>
                <w:sz w:val="20"/>
              </w:rPr>
            </w:pPr>
            <w:r w:rsidRPr="004E0020">
              <w:rPr>
                <w:color w:val="D0CECE" w:themeColor="background2" w:themeShade="E6"/>
                <w:sz w:val="20"/>
              </w:rPr>
              <w:t>Courses</w:t>
            </w:r>
          </w:p>
        </w:tc>
        <w:tc>
          <w:tcPr>
            <w:tcW w:w="4313" w:type="dxa"/>
            <w:gridSpan w:val="2"/>
            <w:tcBorders>
              <w:top w:val="nil"/>
              <w:left w:val="double" w:sz="4" w:space="0" w:color="auto"/>
              <w:bottom w:val="single" w:sz="8" w:space="0" w:color="auto"/>
              <w:right w:val="double" w:sz="4" w:space="0" w:color="auto"/>
            </w:tcBorders>
            <w:tcMar>
              <w:top w:w="0" w:type="dxa"/>
              <w:left w:w="108" w:type="dxa"/>
              <w:bottom w:w="0" w:type="dxa"/>
              <w:right w:w="108" w:type="dxa"/>
            </w:tcMar>
            <w:vAlign w:val="center"/>
          </w:tcPr>
          <w:p w:rsidR="002E2BFC" w:rsidRPr="002E2BFC" w:rsidRDefault="002E2BFC" w:rsidP="00184DC6">
            <w:pPr>
              <w:jc w:val="center"/>
              <w:rPr>
                <w:sz w:val="16"/>
                <w:szCs w:val="16"/>
              </w:rPr>
            </w:pPr>
            <w:r w:rsidRPr="004E0020">
              <w:rPr>
                <w:color w:val="D0CECE" w:themeColor="background2" w:themeShade="E6"/>
                <w:sz w:val="20"/>
                <w:szCs w:val="16"/>
              </w:rPr>
              <w:t>Assessments</w:t>
            </w:r>
          </w:p>
        </w:tc>
        <w:tc>
          <w:tcPr>
            <w:tcW w:w="37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rsidR="002E2BFC" w:rsidRPr="00A228E7" w:rsidRDefault="002E2BFC" w:rsidP="00184DC6">
            <w:pPr>
              <w:jc w:val="center"/>
            </w:pPr>
            <w:r w:rsidRPr="00A228E7">
              <w:rPr>
                <w:sz w:val="16"/>
                <w:szCs w:val="16"/>
              </w:rPr>
              <w:t> </w:t>
            </w:r>
          </w:p>
          <w:p w:rsidR="002E2BFC" w:rsidRPr="004E0020" w:rsidRDefault="002E2BFC" w:rsidP="00184DC6">
            <w:pPr>
              <w:jc w:val="center"/>
              <w:rPr>
                <w:color w:val="D0CECE" w:themeColor="background2" w:themeShade="E6"/>
              </w:rPr>
            </w:pPr>
            <w:r w:rsidRPr="004E0020">
              <w:rPr>
                <w:bCs/>
                <w:color w:val="D0CECE" w:themeColor="background2" w:themeShade="E6"/>
                <w:sz w:val="20"/>
                <w:szCs w:val="20"/>
              </w:rPr>
              <w:t>Clinical Practices</w:t>
            </w:r>
            <w:r w:rsidRPr="004E0020">
              <w:rPr>
                <w:color w:val="D0CECE" w:themeColor="background2" w:themeShade="E6"/>
                <w:sz w:val="16"/>
                <w:szCs w:val="16"/>
              </w:rPr>
              <w:t> </w:t>
            </w:r>
          </w:p>
          <w:p w:rsidR="002E2BFC" w:rsidRPr="00A228E7" w:rsidRDefault="002E2BFC" w:rsidP="00184DC6">
            <w:pPr>
              <w:jc w:val="center"/>
            </w:pPr>
            <w:r w:rsidRPr="00A228E7">
              <w:rPr>
                <w:sz w:val="16"/>
                <w:szCs w:val="16"/>
              </w:rPr>
              <w:t> </w:t>
            </w:r>
          </w:p>
        </w:tc>
      </w:tr>
    </w:tbl>
    <w:p w:rsidR="00747461" w:rsidRDefault="0036528F">
      <w:r>
        <w:br w:type="textWrapping" w:clear="all"/>
      </w:r>
    </w:p>
    <w:sectPr w:rsidR="00747461" w:rsidSect="00184DC6">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99" w:rsidRDefault="00681E99" w:rsidP="008F3FEB">
      <w:pPr>
        <w:spacing w:after="0" w:line="240" w:lineRule="auto"/>
      </w:pPr>
      <w:r>
        <w:separator/>
      </w:r>
    </w:p>
  </w:endnote>
  <w:endnote w:type="continuationSeparator" w:id="0">
    <w:p w:rsidR="00681E99" w:rsidRDefault="00681E99" w:rsidP="008F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290415"/>
      <w:docPartObj>
        <w:docPartGallery w:val="Page Numbers (Bottom of Page)"/>
        <w:docPartUnique/>
      </w:docPartObj>
    </w:sdtPr>
    <w:sdtEndPr>
      <w:rPr>
        <w:noProof/>
      </w:rPr>
    </w:sdtEndPr>
    <w:sdtContent>
      <w:p w:rsidR="00451473" w:rsidRDefault="00451473" w:rsidP="003B7E30">
        <w:pPr>
          <w:pStyle w:val="Footer"/>
          <w:tabs>
            <w:tab w:val="clear" w:pos="9360"/>
          </w:tabs>
        </w:pPr>
        <w:r>
          <w:fldChar w:fldCharType="begin"/>
        </w:r>
        <w:r>
          <w:instrText xml:space="preserve"> PAGE   \* MERGEFORMAT </w:instrText>
        </w:r>
        <w:r>
          <w:fldChar w:fldCharType="separate"/>
        </w:r>
        <w:r w:rsidR="00B27A5F">
          <w:rPr>
            <w:noProof/>
          </w:rPr>
          <w:t>8</w:t>
        </w:r>
        <w:r>
          <w:rPr>
            <w:noProof/>
          </w:rPr>
          <w:fldChar w:fldCharType="end"/>
        </w:r>
        <w:r w:rsidR="003B7E30">
          <w:rPr>
            <w:noProof/>
          </w:rPr>
          <w:tab/>
        </w:r>
        <w:r w:rsidR="003B7E30">
          <w:rPr>
            <w:noProof/>
          </w:rPr>
          <w:tab/>
        </w:r>
        <w:r w:rsidR="003B7E30">
          <w:rPr>
            <w:noProof/>
          </w:rPr>
          <w:tab/>
        </w:r>
        <w:r w:rsidR="003B7E30">
          <w:rPr>
            <w:noProof/>
          </w:rPr>
          <w:tab/>
        </w:r>
        <w:r w:rsidR="003B7E30">
          <w:rPr>
            <w:noProof/>
          </w:rPr>
          <w:tab/>
        </w:r>
        <w:r w:rsidR="003B7E30">
          <w:rPr>
            <w:noProof/>
          </w:rPr>
          <w:tab/>
        </w:r>
        <w:r w:rsidR="003B7E30">
          <w:rPr>
            <w:noProof/>
          </w:rPr>
          <w:tab/>
        </w:r>
        <w:r w:rsidR="003B7E30">
          <w:rPr>
            <w:noProof/>
          </w:rPr>
          <w:tab/>
        </w:r>
        <w:r w:rsidR="003B7E30">
          <w:rPr>
            <w:noProof/>
          </w:rPr>
          <w:tab/>
        </w:r>
        <w:r w:rsidR="003B7E30">
          <w:rPr>
            <w:noProof/>
          </w:rPr>
          <w:tab/>
        </w:r>
        <w:r w:rsidR="00DE19FB">
          <w:rPr>
            <w:noProof/>
          </w:rPr>
          <w:t>July</w:t>
        </w:r>
        <w:r w:rsidR="003B7E30">
          <w:rPr>
            <w:noProof/>
          </w:rPr>
          <w:t xml:space="preserve"> </w:t>
        </w:r>
        <w:r w:rsidR="00DE19FB">
          <w:rPr>
            <w:noProof/>
          </w:rPr>
          <w:t>23, 2019</w:t>
        </w:r>
      </w:p>
    </w:sdtContent>
  </w:sdt>
  <w:p w:rsidR="00451473" w:rsidRDefault="0045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99" w:rsidRDefault="00681E99" w:rsidP="008F3FEB">
      <w:pPr>
        <w:spacing w:after="0" w:line="240" w:lineRule="auto"/>
      </w:pPr>
      <w:r>
        <w:separator/>
      </w:r>
    </w:p>
  </w:footnote>
  <w:footnote w:type="continuationSeparator" w:id="0">
    <w:p w:rsidR="00681E99" w:rsidRDefault="00681E99" w:rsidP="008F3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FEB" w:rsidRDefault="008F3FEB" w:rsidP="008F3FEB">
    <w:pPr>
      <w:spacing w:after="0"/>
      <w:jc w:val="center"/>
    </w:pPr>
    <w:r>
      <w:rPr>
        <w:b/>
        <w:bCs/>
        <w:sz w:val="28"/>
        <w:szCs w:val="28"/>
      </w:rPr>
      <w:t>Program Alignment to Standards</w:t>
    </w:r>
  </w:p>
  <w:p w:rsidR="008F3FEB" w:rsidRDefault="008F3FEB" w:rsidP="00184DC6">
    <w:pPr>
      <w:tabs>
        <w:tab w:val="left" w:pos="774"/>
        <w:tab w:val="center" w:pos="4680"/>
      </w:tabs>
      <w:spacing w:after="0"/>
      <w:jc w:val="center"/>
    </w:pPr>
    <w:r>
      <w:rPr>
        <w:b/>
        <w:bCs/>
        <w:sz w:val="28"/>
        <w:szCs w:val="28"/>
      </w:rPr>
      <w:t xml:space="preserve">Sample Table: </w:t>
    </w:r>
    <w:r w:rsidR="00BD138B">
      <w:rPr>
        <w:b/>
        <w:bCs/>
        <w:sz w:val="28"/>
        <w:szCs w:val="28"/>
      </w:rPr>
      <w:t xml:space="preserve">Preliminary Teaching License: </w:t>
    </w:r>
    <w:r w:rsidR="00184DC6">
      <w:rPr>
        <w:b/>
        <w:bCs/>
        <w:sz w:val="28"/>
        <w:szCs w:val="28"/>
      </w:rPr>
      <w:t xml:space="preserve">Secondary </w:t>
    </w:r>
    <w:r w:rsidR="00DD18B9">
      <w:rPr>
        <w:b/>
        <w:bCs/>
        <w:sz w:val="28"/>
        <w:szCs w:val="28"/>
      </w:rPr>
      <w:t>Single</w:t>
    </w:r>
    <w:r w:rsidR="00CC73F3">
      <w:rPr>
        <w:b/>
        <w:bCs/>
        <w:sz w:val="28"/>
        <w:szCs w:val="28"/>
      </w:rPr>
      <w:t>-Subject</w:t>
    </w:r>
    <w:r w:rsidR="00184DC6">
      <w:rPr>
        <w:b/>
        <w:bCs/>
        <w:sz w:val="28"/>
        <w:szCs w:val="28"/>
      </w:rPr>
      <w:t xml:space="preserve"> Areas</w:t>
    </w:r>
  </w:p>
  <w:p w:rsidR="008F3FEB" w:rsidRDefault="008F3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666EC"/>
    <w:multiLevelType w:val="multilevel"/>
    <w:tmpl w:val="18A499E0"/>
    <w:styleLink w:val="Style2"/>
    <w:lvl w:ilvl="0">
      <w:start w:val="1"/>
      <w:numFmt w:val="decimal"/>
      <w:lvlText w:val="(%1)"/>
      <w:lvlJc w:val="left"/>
      <w:pPr>
        <w:ind w:left="100" w:hanging="100"/>
      </w:pPr>
      <w:rPr>
        <w:rFonts w:ascii="Calibri" w:eastAsia="Calibri" w:hAnsi="Calibri" w:hint="default"/>
        <w:spacing w:val="-1"/>
        <w:sz w:val="22"/>
        <w:szCs w:val="22"/>
      </w:rPr>
    </w:lvl>
    <w:lvl w:ilvl="1">
      <w:start w:val="1"/>
      <w:numFmt w:val="lowerLetter"/>
      <w:lvlText w:val="(%2)"/>
      <w:lvlJc w:val="left"/>
      <w:pPr>
        <w:ind w:left="390" w:hanging="291"/>
      </w:pPr>
      <w:rPr>
        <w:rFonts w:ascii="Calibri" w:eastAsia="Calibri" w:hAnsi="Calibri" w:hint="default"/>
        <w:spacing w:val="-1"/>
        <w:sz w:val="22"/>
        <w:szCs w:val="22"/>
      </w:rPr>
    </w:lvl>
    <w:lvl w:ilvl="2">
      <w:start w:val="1"/>
      <w:numFmt w:val="upperLetter"/>
      <w:lvlText w:val="(%3)"/>
      <w:lvlJc w:val="left"/>
      <w:pPr>
        <w:ind w:left="100" w:hanging="312"/>
      </w:pPr>
      <w:rPr>
        <w:rFonts w:ascii="Calibri" w:eastAsia="Calibri" w:hAnsi="Calibri" w:hint="default"/>
        <w:spacing w:val="-1"/>
        <w:sz w:val="22"/>
        <w:szCs w:val="22"/>
      </w:rPr>
    </w:lvl>
    <w:lvl w:ilvl="3">
      <w:start w:val="1"/>
      <w:numFmt w:val="bullet"/>
      <w:lvlText w:val="•"/>
      <w:lvlJc w:val="left"/>
      <w:pPr>
        <w:ind w:left="2428" w:hanging="312"/>
      </w:pPr>
      <w:rPr>
        <w:rFonts w:hint="default"/>
      </w:rPr>
    </w:lvl>
    <w:lvl w:ilvl="4">
      <w:start w:val="1"/>
      <w:numFmt w:val="bullet"/>
      <w:lvlText w:val="•"/>
      <w:lvlJc w:val="left"/>
      <w:pPr>
        <w:ind w:left="3447" w:hanging="312"/>
      </w:pPr>
      <w:rPr>
        <w:rFonts w:hint="default"/>
      </w:rPr>
    </w:lvl>
    <w:lvl w:ilvl="5">
      <w:start w:val="1"/>
      <w:numFmt w:val="bullet"/>
      <w:lvlText w:val="•"/>
      <w:lvlJc w:val="left"/>
      <w:pPr>
        <w:ind w:left="4465" w:hanging="312"/>
      </w:pPr>
      <w:rPr>
        <w:rFonts w:hint="default"/>
      </w:rPr>
    </w:lvl>
    <w:lvl w:ilvl="6">
      <w:start w:val="1"/>
      <w:numFmt w:val="bullet"/>
      <w:lvlText w:val="•"/>
      <w:lvlJc w:val="left"/>
      <w:pPr>
        <w:ind w:left="5484" w:hanging="312"/>
      </w:pPr>
      <w:rPr>
        <w:rFonts w:hint="default"/>
      </w:rPr>
    </w:lvl>
    <w:lvl w:ilvl="7">
      <w:start w:val="1"/>
      <w:numFmt w:val="bullet"/>
      <w:lvlText w:val="•"/>
      <w:lvlJc w:val="left"/>
      <w:pPr>
        <w:ind w:left="6503" w:hanging="312"/>
      </w:pPr>
      <w:rPr>
        <w:rFonts w:hint="default"/>
      </w:rPr>
    </w:lvl>
    <w:lvl w:ilvl="8">
      <w:start w:val="1"/>
      <w:numFmt w:val="bullet"/>
      <w:lvlText w:val="•"/>
      <w:lvlJc w:val="left"/>
      <w:pPr>
        <w:ind w:left="7522" w:hanging="3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DD"/>
    <w:rsid w:val="00023410"/>
    <w:rsid w:val="000524DD"/>
    <w:rsid w:val="000A68F0"/>
    <w:rsid w:val="000F0AD9"/>
    <w:rsid w:val="000F0CB1"/>
    <w:rsid w:val="00150AD1"/>
    <w:rsid w:val="0016351C"/>
    <w:rsid w:val="001834B8"/>
    <w:rsid w:val="00184DC6"/>
    <w:rsid w:val="00192327"/>
    <w:rsid w:val="001A5497"/>
    <w:rsid w:val="001B761C"/>
    <w:rsid w:val="001E1F79"/>
    <w:rsid w:val="00233351"/>
    <w:rsid w:val="00242805"/>
    <w:rsid w:val="002E2BFC"/>
    <w:rsid w:val="003102D4"/>
    <w:rsid w:val="003212C1"/>
    <w:rsid w:val="00331C48"/>
    <w:rsid w:val="00357E27"/>
    <w:rsid w:val="0036528F"/>
    <w:rsid w:val="00365DF6"/>
    <w:rsid w:val="0036646E"/>
    <w:rsid w:val="003724BF"/>
    <w:rsid w:val="00372B94"/>
    <w:rsid w:val="003B7E30"/>
    <w:rsid w:val="003F6C42"/>
    <w:rsid w:val="00416D66"/>
    <w:rsid w:val="00451473"/>
    <w:rsid w:val="00452C7F"/>
    <w:rsid w:val="004F6BDA"/>
    <w:rsid w:val="0050469F"/>
    <w:rsid w:val="00522EB3"/>
    <w:rsid w:val="00526B25"/>
    <w:rsid w:val="005A19AB"/>
    <w:rsid w:val="005B17E0"/>
    <w:rsid w:val="005B1D82"/>
    <w:rsid w:val="005D086B"/>
    <w:rsid w:val="005E4018"/>
    <w:rsid w:val="0063211A"/>
    <w:rsid w:val="00644961"/>
    <w:rsid w:val="00651658"/>
    <w:rsid w:val="00667D49"/>
    <w:rsid w:val="00681E99"/>
    <w:rsid w:val="006E5709"/>
    <w:rsid w:val="007216B5"/>
    <w:rsid w:val="00747461"/>
    <w:rsid w:val="00796433"/>
    <w:rsid w:val="007C75D9"/>
    <w:rsid w:val="007D5F88"/>
    <w:rsid w:val="007F7A87"/>
    <w:rsid w:val="00805783"/>
    <w:rsid w:val="00822D8F"/>
    <w:rsid w:val="00837006"/>
    <w:rsid w:val="00850D82"/>
    <w:rsid w:val="00851FD4"/>
    <w:rsid w:val="00893717"/>
    <w:rsid w:val="008C194A"/>
    <w:rsid w:val="008C570C"/>
    <w:rsid w:val="008F3FEB"/>
    <w:rsid w:val="009557E7"/>
    <w:rsid w:val="00957526"/>
    <w:rsid w:val="009647AE"/>
    <w:rsid w:val="00965539"/>
    <w:rsid w:val="009655C7"/>
    <w:rsid w:val="00970C2C"/>
    <w:rsid w:val="00993815"/>
    <w:rsid w:val="00A56B95"/>
    <w:rsid w:val="00A62AB0"/>
    <w:rsid w:val="00A63CF5"/>
    <w:rsid w:val="00A771A4"/>
    <w:rsid w:val="00A94902"/>
    <w:rsid w:val="00AE073E"/>
    <w:rsid w:val="00AE7E48"/>
    <w:rsid w:val="00B12DAA"/>
    <w:rsid w:val="00B27A5F"/>
    <w:rsid w:val="00B6066A"/>
    <w:rsid w:val="00B6468F"/>
    <w:rsid w:val="00B64EA0"/>
    <w:rsid w:val="00BC08A0"/>
    <w:rsid w:val="00BC549D"/>
    <w:rsid w:val="00BD138B"/>
    <w:rsid w:val="00BE5D43"/>
    <w:rsid w:val="00C11874"/>
    <w:rsid w:val="00C66E86"/>
    <w:rsid w:val="00C8212B"/>
    <w:rsid w:val="00C91956"/>
    <w:rsid w:val="00CB2A60"/>
    <w:rsid w:val="00CC66A1"/>
    <w:rsid w:val="00CC73F3"/>
    <w:rsid w:val="00D16F8F"/>
    <w:rsid w:val="00D4012A"/>
    <w:rsid w:val="00D62391"/>
    <w:rsid w:val="00DC6EFA"/>
    <w:rsid w:val="00DD18B9"/>
    <w:rsid w:val="00DE19FB"/>
    <w:rsid w:val="00DE1AB0"/>
    <w:rsid w:val="00DE58C5"/>
    <w:rsid w:val="00DF7AE1"/>
    <w:rsid w:val="00E00D9C"/>
    <w:rsid w:val="00E1663A"/>
    <w:rsid w:val="00E631B2"/>
    <w:rsid w:val="00E826D9"/>
    <w:rsid w:val="00EC1518"/>
    <w:rsid w:val="00F1662C"/>
    <w:rsid w:val="00F50321"/>
    <w:rsid w:val="00F77B70"/>
    <w:rsid w:val="00F87539"/>
    <w:rsid w:val="00FC5874"/>
    <w:rsid w:val="00FF08A5"/>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B9C35AE-20BA-421F-BEED-13FFE11B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91956"/>
    <w:pPr>
      <w:numPr>
        <w:numId w:val="1"/>
      </w:numPr>
    </w:pPr>
  </w:style>
  <w:style w:type="character" w:customStyle="1" w:styleId="history">
    <w:name w:val="history"/>
    <w:basedOn w:val="DefaultParagraphFont"/>
    <w:rsid w:val="000524DD"/>
  </w:style>
  <w:style w:type="paragraph" w:styleId="Header">
    <w:name w:val="header"/>
    <w:basedOn w:val="Normal"/>
    <w:link w:val="HeaderChar"/>
    <w:uiPriority w:val="99"/>
    <w:unhideWhenUsed/>
    <w:rsid w:val="008F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FEB"/>
  </w:style>
  <w:style w:type="paragraph" w:styleId="Footer">
    <w:name w:val="footer"/>
    <w:basedOn w:val="Normal"/>
    <w:link w:val="FooterChar"/>
    <w:uiPriority w:val="99"/>
    <w:unhideWhenUsed/>
    <w:rsid w:val="008F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FEB"/>
  </w:style>
  <w:style w:type="paragraph" w:styleId="NormalWeb">
    <w:name w:val="Normal (Web)"/>
    <w:basedOn w:val="Normal"/>
    <w:uiPriority w:val="99"/>
    <w:semiHidden/>
    <w:unhideWhenUsed/>
    <w:rsid w:val="00DD18B9"/>
    <w:rPr>
      <w:rFonts w:ascii="Times New Roman" w:hAnsi="Times New Roman" w:cs="Times New Roman"/>
      <w:sz w:val="24"/>
      <w:szCs w:val="24"/>
    </w:rPr>
  </w:style>
  <w:style w:type="paragraph" w:styleId="ListParagraph">
    <w:name w:val="List Paragraph"/>
    <w:basedOn w:val="Normal"/>
    <w:uiPriority w:val="34"/>
    <w:qFormat/>
    <w:rsid w:val="00372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633122">
      <w:bodyDiv w:val="1"/>
      <w:marLeft w:val="0"/>
      <w:marRight w:val="0"/>
      <w:marTop w:val="0"/>
      <w:marBottom w:val="0"/>
      <w:divBdr>
        <w:top w:val="none" w:sz="0" w:space="0" w:color="auto"/>
        <w:left w:val="none" w:sz="0" w:space="0" w:color="auto"/>
        <w:bottom w:val="none" w:sz="0" w:space="0" w:color="auto"/>
        <w:right w:val="none" w:sz="0" w:space="0" w:color="auto"/>
      </w:divBdr>
    </w:div>
    <w:div w:id="730926265">
      <w:bodyDiv w:val="1"/>
      <w:marLeft w:val="0"/>
      <w:marRight w:val="0"/>
      <w:marTop w:val="0"/>
      <w:marBottom w:val="0"/>
      <w:divBdr>
        <w:top w:val="none" w:sz="0" w:space="0" w:color="auto"/>
        <w:left w:val="none" w:sz="0" w:space="0" w:color="auto"/>
        <w:bottom w:val="none" w:sz="0" w:space="0" w:color="auto"/>
        <w:right w:val="none" w:sz="0" w:space="0" w:color="auto"/>
      </w:divBdr>
    </w:div>
    <w:div w:id="1711958002">
      <w:bodyDiv w:val="1"/>
      <w:marLeft w:val="0"/>
      <w:marRight w:val="0"/>
      <w:marTop w:val="0"/>
      <w:marBottom w:val="0"/>
      <w:divBdr>
        <w:top w:val="none" w:sz="0" w:space="0" w:color="auto"/>
        <w:left w:val="none" w:sz="0" w:space="0" w:color="auto"/>
        <w:bottom w:val="none" w:sz="0" w:space="0" w:color="auto"/>
        <w:right w:val="none" w:sz="0" w:space="0" w:color="auto"/>
      </w:divBdr>
      <w:divsChild>
        <w:div w:id="1068844183">
          <w:marLeft w:val="0"/>
          <w:marRight w:val="0"/>
          <w:marTop w:val="0"/>
          <w:marBottom w:val="0"/>
          <w:divBdr>
            <w:top w:val="none" w:sz="0" w:space="0" w:color="auto"/>
            <w:left w:val="none" w:sz="0" w:space="0" w:color="auto"/>
            <w:bottom w:val="none" w:sz="0" w:space="0" w:color="auto"/>
            <w:right w:val="none" w:sz="0" w:space="0" w:color="auto"/>
          </w:divBdr>
          <w:divsChild>
            <w:div w:id="1898544942">
              <w:marLeft w:val="0"/>
              <w:marRight w:val="0"/>
              <w:marTop w:val="0"/>
              <w:marBottom w:val="0"/>
              <w:divBdr>
                <w:top w:val="none" w:sz="0" w:space="0" w:color="auto"/>
                <w:left w:val="none" w:sz="0" w:space="0" w:color="auto"/>
                <w:bottom w:val="none" w:sz="0" w:space="0" w:color="auto"/>
                <w:right w:val="none" w:sz="0" w:space="0" w:color="auto"/>
              </w:divBdr>
              <w:divsChild>
                <w:div w:id="15338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AEC54-58C5-42B7-A733-BAC629438EA3}"/>
</file>

<file path=customXml/itemProps2.xml><?xml version="1.0" encoding="utf-8"?>
<ds:datastoreItem xmlns:ds="http://schemas.openxmlformats.org/officeDocument/2006/customXml" ds:itemID="{1D64F624-263C-4066-8B8D-E6C19B0EE5C7}"/>
</file>

<file path=customXml/itemProps3.xml><?xml version="1.0" encoding="utf-8"?>
<ds:datastoreItem xmlns:ds="http://schemas.openxmlformats.org/officeDocument/2006/customXml" ds:itemID="{0AE7B563-D64A-4598-8DA7-0F944CC10547}"/>
</file>

<file path=customXml/itemProps4.xml><?xml version="1.0" encoding="utf-8"?>
<ds:datastoreItem xmlns:ds="http://schemas.openxmlformats.org/officeDocument/2006/customXml" ds:itemID="{3107A750-081F-45DA-9BB1-4DDBAA2F276D}"/>
</file>

<file path=docProps/app.xml><?xml version="1.0" encoding="utf-8"?>
<Properties xmlns="http://schemas.openxmlformats.org/officeDocument/2006/extended-properties" xmlns:vt="http://schemas.openxmlformats.org/officeDocument/2006/docPropsVTypes">
  <Template>Normal.dotm</Template>
  <TotalTime>71</TotalTime>
  <Pages>8</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Tamara * TSPC</dc:creator>
  <cp:keywords/>
  <dc:description/>
  <cp:lastModifiedBy>ROBBECKE Candace * TSPC</cp:lastModifiedBy>
  <cp:revision>16</cp:revision>
  <dcterms:created xsi:type="dcterms:W3CDTF">2017-08-28T22:28:00Z</dcterms:created>
  <dcterms:modified xsi:type="dcterms:W3CDTF">2019-07-23T20:03:00Z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0x010100DF93E540996D9649B6BD79A172D17BA0</vt:lpwstr>
  </property>
</Properties>
</file>