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Y="1"/>
        <w:tblOverlap w:val="never"/>
        <w:tblW w:w="12563" w:type="dxa"/>
        <w:tblCellMar>
          <w:left w:w="0" w:type="dxa"/>
          <w:right w:w="0" w:type="dxa"/>
        </w:tblCellMar>
        <w:tblLook w:val="04A0" w:firstRow="1" w:lastRow="0" w:firstColumn="1" w:lastColumn="0" w:noHBand="0" w:noVBand="1"/>
      </w:tblPr>
      <w:tblGrid>
        <w:gridCol w:w="1861"/>
        <w:gridCol w:w="2792"/>
        <w:gridCol w:w="4500"/>
        <w:gridCol w:w="3410"/>
      </w:tblGrid>
      <w:tr w:rsidR="005235F8" w:rsidTr="00B943E1">
        <w:trPr>
          <w:trHeight w:val="319"/>
          <w:tblHeader/>
        </w:trPr>
        <w:tc>
          <w:tcPr>
            <w:tcW w:w="12563" w:type="dxa"/>
            <w:gridSpan w:val="4"/>
            <w:tcBorders>
              <w:top w:val="single" w:sz="8" w:space="0" w:color="auto"/>
              <w:left w:val="single" w:sz="8" w:space="0" w:color="auto"/>
              <w:bottom w:val="single" w:sz="8" w:space="0" w:color="auto"/>
              <w:right w:val="single" w:sz="8" w:space="0" w:color="auto"/>
            </w:tcBorders>
            <w:shd w:val="clear" w:color="auto" w:fill="000000"/>
          </w:tcPr>
          <w:p w:rsidR="005235F8" w:rsidRPr="005235F8" w:rsidRDefault="005235F8" w:rsidP="002D5564">
            <w:pPr>
              <w:ind w:hanging="10"/>
              <w:rPr>
                <w:b/>
              </w:rPr>
            </w:pPr>
            <w:r w:rsidRPr="005235F8">
              <w:rPr>
                <w:b/>
                <w:bCs/>
                <w:color w:val="FFFFFF"/>
              </w:rPr>
              <w:t>Name of program:</w:t>
            </w:r>
            <w:r w:rsidRPr="008679AC">
              <w:rPr>
                <w:b/>
                <w:color w:val="FFFFFF" w:themeColor="background1"/>
              </w:rPr>
              <w:t xml:space="preserve"> </w:t>
            </w:r>
            <w:r w:rsidR="008679AC" w:rsidRPr="008679AC">
              <w:rPr>
                <w:b/>
                <w:color w:val="FFFFFF" w:themeColor="background1"/>
              </w:rPr>
              <w:t>ESOL</w:t>
            </w:r>
          </w:p>
        </w:tc>
      </w:tr>
      <w:tr w:rsidR="00F23635" w:rsidTr="005235F8">
        <w:trPr>
          <w:trHeight w:val="330"/>
          <w:tblHeader/>
        </w:trPr>
        <w:tc>
          <w:tcPr>
            <w:tcW w:w="1861" w:type="dxa"/>
            <w:vMerge w:val="restart"/>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rsidR="00F23635" w:rsidRPr="00A228E7" w:rsidRDefault="00F23635" w:rsidP="0036528F">
            <w:r w:rsidRPr="00A228E7">
              <w:rPr>
                <w:bCs/>
              </w:rPr>
              <w:t> </w:t>
            </w:r>
          </w:p>
          <w:p w:rsidR="00F23635" w:rsidRPr="00A228E7" w:rsidRDefault="00F23635" w:rsidP="0036528F">
            <w:r w:rsidRPr="00A228E7">
              <w:rPr>
                <w:bCs/>
              </w:rPr>
              <w:t>Program Standards</w:t>
            </w:r>
          </w:p>
        </w:tc>
        <w:tc>
          <w:tcPr>
            <w:tcW w:w="10702" w:type="dxa"/>
            <w:gridSpan w:val="3"/>
            <w:tcBorders>
              <w:top w:val="nil"/>
              <w:left w:val="nil"/>
              <w:bottom w:val="single" w:sz="8" w:space="0" w:color="auto"/>
              <w:right w:val="single" w:sz="8" w:space="0" w:color="auto"/>
            </w:tcBorders>
            <w:shd w:val="clear" w:color="auto" w:fill="E7E6E6"/>
          </w:tcPr>
          <w:p w:rsidR="00F23635" w:rsidRDefault="004E0020" w:rsidP="00F23635">
            <w:pPr>
              <w:spacing w:after="0"/>
              <w:jc w:val="center"/>
              <w:rPr>
                <w:bCs/>
              </w:rPr>
            </w:pPr>
            <w:r>
              <w:rPr>
                <w:bCs/>
              </w:rPr>
              <w:t>R</w:t>
            </w:r>
            <w:r w:rsidR="00F23635">
              <w:rPr>
                <w:bCs/>
              </w:rPr>
              <w:t>eport any courses, assessments, teacher performance assessment and/or clinical practices</w:t>
            </w:r>
          </w:p>
          <w:p w:rsidR="00F23635" w:rsidRPr="00A228E7" w:rsidRDefault="00F23635" w:rsidP="008679AC">
            <w:pPr>
              <w:spacing w:after="0"/>
              <w:jc w:val="center"/>
            </w:pPr>
            <w:r>
              <w:rPr>
                <w:bCs/>
              </w:rPr>
              <w:t xml:space="preserve"> that align to the required standards for the </w:t>
            </w:r>
            <w:r w:rsidR="00877E45">
              <w:rPr>
                <w:b/>
                <w:color w:val="FF0000"/>
              </w:rPr>
              <w:t xml:space="preserve"> </w:t>
            </w:r>
            <w:r w:rsidR="008679AC" w:rsidRPr="008679AC">
              <w:rPr>
                <w:b/>
              </w:rPr>
              <w:t xml:space="preserve">ESOL </w:t>
            </w:r>
            <w:r w:rsidR="00877E45" w:rsidRPr="008679AC">
              <w:rPr>
                <w:b/>
              </w:rPr>
              <w:t>Program</w:t>
            </w:r>
          </w:p>
        </w:tc>
      </w:tr>
      <w:tr w:rsidR="009D4DAF" w:rsidTr="009B20B7">
        <w:trPr>
          <w:trHeight w:val="102"/>
          <w:tblHeader/>
        </w:trPr>
        <w:tc>
          <w:tcPr>
            <w:tcW w:w="0" w:type="auto"/>
            <w:vMerge/>
            <w:tcBorders>
              <w:top w:val="nil"/>
              <w:left w:val="single" w:sz="8" w:space="0" w:color="auto"/>
              <w:bottom w:val="single" w:sz="8" w:space="0" w:color="auto"/>
              <w:right w:val="single" w:sz="8" w:space="0" w:color="auto"/>
            </w:tcBorders>
            <w:vAlign w:val="center"/>
            <w:hideMark/>
          </w:tcPr>
          <w:p w:rsidR="009D4DAF" w:rsidRPr="00A228E7" w:rsidRDefault="009D4DAF" w:rsidP="0036528F">
            <w:pPr>
              <w:rPr>
                <w:rFonts w:ascii="Calibri" w:hAnsi="Calibri"/>
              </w:rPr>
            </w:pPr>
          </w:p>
        </w:tc>
        <w:tc>
          <w:tcPr>
            <w:tcW w:w="2792"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9D4DAF" w:rsidRPr="00B052C6" w:rsidRDefault="009D4DAF" w:rsidP="0036528F">
            <w:pPr>
              <w:jc w:val="center"/>
              <w:rPr>
                <w:b/>
                <w:bCs/>
                <w:sz w:val="20"/>
                <w:szCs w:val="20"/>
              </w:rPr>
            </w:pPr>
            <w:r w:rsidRPr="00A228E7">
              <w:rPr>
                <w:b/>
                <w:bCs/>
                <w:sz w:val="20"/>
                <w:szCs w:val="20"/>
              </w:rPr>
              <w:t>Courses</w:t>
            </w:r>
          </w:p>
        </w:tc>
        <w:tc>
          <w:tcPr>
            <w:tcW w:w="4500" w:type="dxa"/>
            <w:tcBorders>
              <w:top w:val="nil"/>
              <w:left w:val="double" w:sz="4" w:space="0" w:color="auto"/>
              <w:bottom w:val="single" w:sz="8" w:space="0" w:color="auto"/>
              <w:right w:val="double" w:sz="4" w:space="0" w:color="auto"/>
            </w:tcBorders>
            <w:vAlign w:val="center"/>
          </w:tcPr>
          <w:p w:rsidR="009D4DAF" w:rsidRPr="00A228E7" w:rsidRDefault="009D4DAF" w:rsidP="003F735D">
            <w:pPr>
              <w:spacing w:after="0"/>
              <w:jc w:val="center"/>
              <w:rPr>
                <w:b/>
                <w:bCs/>
                <w:sz w:val="20"/>
                <w:szCs w:val="20"/>
              </w:rPr>
            </w:pPr>
            <w:r>
              <w:rPr>
                <w:b/>
                <w:bCs/>
                <w:sz w:val="20"/>
                <w:szCs w:val="20"/>
              </w:rPr>
              <w:t>Assessments</w:t>
            </w:r>
          </w:p>
          <w:p w:rsidR="009D4DAF" w:rsidRPr="00A228E7" w:rsidRDefault="003F735D" w:rsidP="003F735D">
            <w:pPr>
              <w:spacing w:after="0"/>
              <w:jc w:val="center"/>
              <w:rPr>
                <w:b/>
              </w:rPr>
            </w:pPr>
            <w:r w:rsidRPr="00673DFA">
              <w:rPr>
                <w:bCs/>
                <w:i/>
                <w:sz w:val="18"/>
                <w:szCs w:val="20"/>
              </w:rPr>
              <w:t>For example: licensing tests, edTPA, work samples, evaluations, course exams</w:t>
            </w:r>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9D4DAF" w:rsidRPr="00A228E7" w:rsidRDefault="009D4DAF" w:rsidP="0036528F">
            <w:pPr>
              <w:jc w:val="center"/>
              <w:rPr>
                <w:b/>
              </w:rPr>
            </w:pPr>
            <w:r w:rsidRPr="00A228E7">
              <w:rPr>
                <w:b/>
                <w:bCs/>
                <w:sz w:val="20"/>
                <w:szCs w:val="20"/>
              </w:rPr>
              <w:t>Clinical Practices</w:t>
            </w:r>
          </w:p>
        </w:tc>
      </w:tr>
      <w:tr w:rsidR="009D4DAF" w:rsidTr="00ED666F">
        <w:trPr>
          <w:trHeight w:val="1472"/>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4DAF" w:rsidRPr="00B73BE1" w:rsidRDefault="009D4DAF" w:rsidP="00B73BE1">
            <w:pPr>
              <w:spacing w:after="0"/>
              <w:rPr>
                <w:b/>
                <w:sz w:val="24"/>
              </w:rPr>
            </w:pPr>
            <w:r w:rsidRPr="00B73BE1">
              <w:rPr>
                <w:b/>
                <w:bCs/>
                <w:i/>
                <w:iCs/>
                <w:sz w:val="18"/>
                <w:szCs w:val="16"/>
              </w:rPr>
              <w:t>ESOL: Program Standards/Subject Test</w:t>
            </w:r>
          </w:p>
          <w:p w:rsidR="009D4DAF" w:rsidRPr="00A228E7" w:rsidRDefault="009D4DAF" w:rsidP="008679AC">
            <w:r w:rsidRPr="00A228E7">
              <w:rPr>
                <w:sz w:val="16"/>
                <w:szCs w:val="16"/>
              </w:rPr>
              <w:t xml:space="preserve">The program requires candidates to complete the Commission-approved test for </w:t>
            </w:r>
            <w:r>
              <w:rPr>
                <w:sz w:val="16"/>
                <w:szCs w:val="16"/>
              </w:rPr>
              <w:t>ESOL</w:t>
            </w:r>
            <w:r w:rsidRPr="00A228E7">
              <w:rPr>
                <w:sz w:val="16"/>
                <w:szCs w:val="16"/>
              </w:rPr>
              <w:t>.</w:t>
            </w:r>
          </w:p>
        </w:tc>
        <w:tc>
          <w:tcPr>
            <w:tcW w:w="2792"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9D4DAF" w:rsidRPr="004E0020" w:rsidRDefault="009D4DAF" w:rsidP="004E0020">
            <w:pPr>
              <w:jc w:val="center"/>
              <w:rPr>
                <w:sz w:val="20"/>
              </w:rPr>
            </w:pPr>
            <w:r w:rsidRPr="004E0020">
              <w:rPr>
                <w:color w:val="D0CECE" w:themeColor="background2" w:themeShade="E6"/>
                <w:sz w:val="20"/>
              </w:rPr>
              <w:t>Courses</w:t>
            </w:r>
          </w:p>
        </w:tc>
        <w:tc>
          <w:tcPr>
            <w:tcW w:w="4500" w:type="dxa"/>
            <w:tcBorders>
              <w:top w:val="nil"/>
              <w:left w:val="double" w:sz="4" w:space="0" w:color="auto"/>
              <w:bottom w:val="single" w:sz="8" w:space="0" w:color="auto"/>
              <w:right w:val="double" w:sz="4" w:space="0" w:color="auto"/>
            </w:tcBorders>
            <w:vAlign w:val="center"/>
          </w:tcPr>
          <w:p w:rsidR="009D4DAF" w:rsidRPr="009D4DAF" w:rsidRDefault="009D4DAF" w:rsidP="004E0020">
            <w:pPr>
              <w:jc w:val="center"/>
              <w:rPr>
                <w:sz w:val="16"/>
                <w:szCs w:val="16"/>
              </w:rPr>
            </w:pPr>
            <w:r w:rsidRPr="004E0020">
              <w:rPr>
                <w:color w:val="D0CECE" w:themeColor="background2" w:themeShade="E6"/>
                <w:sz w:val="20"/>
                <w:szCs w:val="16"/>
              </w:rPr>
              <w:t>Assessments</w:t>
            </w:r>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9D4DAF" w:rsidRPr="00A228E7" w:rsidRDefault="009D4DAF" w:rsidP="004E0020">
            <w:pPr>
              <w:jc w:val="center"/>
            </w:pPr>
            <w:r w:rsidRPr="00A228E7">
              <w:rPr>
                <w:sz w:val="16"/>
                <w:szCs w:val="16"/>
              </w:rPr>
              <w:t> </w:t>
            </w:r>
          </w:p>
          <w:p w:rsidR="009D4DAF" w:rsidRPr="004E0020" w:rsidRDefault="009D4DAF" w:rsidP="004E0020">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9D4DAF" w:rsidRPr="00A228E7" w:rsidRDefault="009D4DAF" w:rsidP="004E0020">
            <w:pPr>
              <w:jc w:val="center"/>
            </w:pPr>
            <w:r w:rsidRPr="00A228E7">
              <w:rPr>
                <w:sz w:val="16"/>
                <w:szCs w:val="16"/>
              </w:rPr>
              <w:t> </w:t>
            </w:r>
          </w:p>
        </w:tc>
      </w:tr>
      <w:tr w:rsidR="009D4DAF" w:rsidTr="00F42F98">
        <w:trPr>
          <w:trHeight w:val="102"/>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4DAF" w:rsidRPr="00B73BE1" w:rsidRDefault="009D4DAF" w:rsidP="00B73BE1">
            <w:pPr>
              <w:spacing w:after="0"/>
              <w:rPr>
                <w:b/>
                <w:i/>
                <w:sz w:val="24"/>
              </w:rPr>
            </w:pPr>
            <w:r w:rsidRPr="00B73BE1">
              <w:rPr>
                <w:b/>
                <w:bCs/>
                <w:i/>
                <w:iCs/>
                <w:sz w:val="18"/>
                <w:szCs w:val="16"/>
              </w:rPr>
              <w:t>ESOL: Program Standards/Clinical Practices</w:t>
            </w:r>
          </w:p>
          <w:p w:rsidR="009D4DAF" w:rsidRPr="00A228E7" w:rsidRDefault="009D4DAF" w:rsidP="008679AC">
            <w:r w:rsidRPr="00A228E7">
              <w:rPr>
                <w:sz w:val="16"/>
                <w:szCs w:val="16"/>
              </w:rPr>
              <w:t xml:space="preserve">The program requires candidates to complete field experiences that include supervised teaching or internships in </w:t>
            </w:r>
            <w:r>
              <w:rPr>
                <w:sz w:val="16"/>
                <w:szCs w:val="16"/>
              </w:rPr>
              <w:t>ESOL classroom</w:t>
            </w:r>
            <w:r w:rsidRPr="00A228E7">
              <w:rPr>
                <w:sz w:val="16"/>
                <w:szCs w:val="16"/>
              </w:rPr>
              <w:t>s</w:t>
            </w:r>
            <w:bookmarkStart w:id="0" w:name="_GoBack"/>
            <w:bookmarkEnd w:id="0"/>
            <w:r w:rsidRPr="00A228E7">
              <w:rPr>
                <w:sz w:val="16"/>
                <w:szCs w:val="16"/>
              </w:rPr>
              <w:t>.</w:t>
            </w:r>
          </w:p>
        </w:tc>
        <w:tc>
          <w:tcPr>
            <w:tcW w:w="2792"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9D4DAF" w:rsidRPr="004E0020" w:rsidRDefault="009D4DAF" w:rsidP="004E0020">
            <w:pPr>
              <w:jc w:val="center"/>
              <w:rPr>
                <w:sz w:val="20"/>
              </w:rPr>
            </w:pPr>
            <w:r w:rsidRPr="004E0020">
              <w:rPr>
                <w:color w:val="D0CECE" w:themeColor="background2" w:themeShade="E6"/>
                <w:sz w:val="20"/>
              </w:rPr>
              <w:t>Courses</w:t>
            </w:r>
          </w:p>
        </w:tc>
        <w:tc>
          <w:tcPr>
            <w:tcW w:w="4500" w:type="dxa"/>
            <w:tcBorders>
              <w:top w:val="nil"/>
              <w:left w:val="double" w:sz="4" w:space="0" w:color="auto"/>
              <w:bottom w:val="single" w:sz="8" w:space="0" w:color="auto"/>
              <w:right w:val="double" w:sz="4" w:space="0" w:color="auto"/>
            </w:tcBorders>
            <w:vAlign w:val="center"/>
          </w:tcPr>
          <w:p w:rsidR="009D4DAF" w:rsidRPr="009D4DAF" w:rsidRDefault="009D4DAF" w:rsidP="004E0020">
            <w:pPr>
              <w:jc w:val="center"/>
              <w:rPr>
                <w:sz w:val="16"/>
                <w:szCs w:val="16"/>
              </w:rPr>
            </w:pPr>
            <w:r w:rsidRPr="004E0020">
              <w:rPr>
                <w:color w:val="D0CECE" w:themeColor="background2" w:themeShade="E6"/>
                <w:sz w:val="20"/>
                <w:szCs w:val="16"/>
              </w:rPr>
              <w:t>Assessments</w:t>
            </w:r>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9D4DAF" w:rsidRDefault="009D4DAF" w:rsidP="004E0020">
            <w:pPr>
              <w:jc w:val="center"/>
            </w:pPr>
            <w:r w:rsidRPr="005507FC">
              <w:rPr>
                <w:bCs/>
                <w:color w:val="D0CECE" w:themeColor="background2" w:themeShade="E6"/>
                <w:sz w:val="20"/>
                <w:szCs w:val="20"/>
              </w:rPr>
              <w:t>Clinical Practices</w:t>
            </w:r>
          </w:p>
        </w:tc>
      </w:tr>
      <w:tr w:rsidR="004E0020" w:rsidTr="00465127">
        <w:trPr>
          <w:trHeight w:val="553"/>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0020" w:rsidRPr="00B73BE1" w:rsidRDefault="002D5564" w:rsidP="00B73BE1">
            <w:pPr>
              <w:spacing w:after="0"/>
              <w:rPr>
                <w:b/>
                <w:sz w:val="24"/>
              </w:rPr>
            </w:pPr>
            <w:r w:rsidRPr="00B73BE1">
              <w:rPr>
                <w:b/>
                <w:bCs/>
                <w:i/>
                <w:iCs/>
                <w:sz w:val="18"/>
                <w:szCs w:val="16"/>
              </w:rPr>
              <w:t>ESOL</w:t>
            </w:r>
            <w:r w:rsidR="004E0020" w:rsidRPr="00B73BE1">
              <w:rPr>
                <w:b/>
                <w:bCs/>
                <w:i/>
                <w:iCs/>
                <w:sz w:val="18"/>
                <w:szCs w:val="16"/>
              </w:rPr>
              <w:t>: Program Standards/Cultural Competency and Equitable Practice</w:t>
            </w:r>
          </w:p>
          <w:p w:rsidR="004E0020" w:rsidRPr="00A228E7" w:rsidRDefault="004E0020" w:rsidP="002D5564">
            <w:r w:rsidRPr="00A228E7">
              <w:rPr>
                <w:sz w:val="16"/>
                <w:szCs w:val="16"/>
              </w:rPr>
              <w:t xml:space="preserve">The program integrates principles of cultural competency and equitable practice in each competency standard through the entire </w:t>
            </w:r>
            <w:r w:rsidR="002D5564">
              <w:rPr>
                <w:sz w:val="16"/>
                <w:szCs w:val="16"/>
              </w:rPr>
              <w:t xml:space="preserve">ESOL </w:t>
            </w:r>
            <w:r w:rsidRPr="00A228E7">
              <w:rPr>
                <w:sz w:val="16"/>
                <w:szCs w:val="16"/>
              </w:rPr>
              <w:t>endorsement program.</w:t>
            </w:r>
          </w:p>
        </w:tc>
        <w:tc>
          <w:tcPr>
            <w:tcW w:w="10702" w:type="dxa"/>
            <w:gridSpan w:val="3"/>
            <w:tcBorders>
              <w:top w:val="nil"/>
              <w:left w:val="nil"/>
              <w:bottom w:val="single" w:sz="8" w:space="0" w:color="auto"/>
              <w:right w:val="single" w:sz="8" w:space="0" w:color="auto"/>
            </w:tcBorders>
          </w:tcPr>
          <w:p w:rsidR="004E0020" w:rsidRPr="00A228E7" w:rsidRDefault="004E0020" w:rsidP="0036528F">
            <w:r w:rsidRPr="00A228E7">
              <w:rPr>
                <w:color w:val="FF0000"/>
                <w:sz w:val="16"/>
                <w:szCs w:val="16"/>
              </w:rPr>
              <w:t>Please provide a narrative section for this item.</w:t>
            </w:r>
          </w:p>
          <w:p w:rsidR="004E0020" w:rsidRPr="00A228E7" w:rsidRDefault="004E0020" w:rsidP="0036528F">
            <w:r w:rsidRPr="00A228E7">
              <w:rPr>
                <w:sz w:val="16"/>
                <w:szCs w:val="16"/>
              </w:rPr>
              <w:t> </w:t>
            </w:r>
          </w:p>
        </w:tc>
      </w:tr>
      <w:tr w:rsidR="004E0020" w:rsidTr="002D3677">
        <w:trPr>
          <w:trHeight w:val="553"/>
        </w:trPr>
        <w:tc>
          <w:tcPr>
            <w:tcW w:w="1256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4E0020" w:rsidRPr="00A228E7" w:rsidRDefault="004E0020" w:rsidP="0036528F">
            <w:pPr>
              <w:rPr>
                <w:color w:val="FF0000"/>
                <w:sz w:val="16"/>
                <w:szCs w:val="16"/>
              </w:rPr>
            </w:pPr>
          </w:p>
        </w:tc>
      </w:tr>
      <w:tr w:rsidR="009D4DAF" w:rsidTr="004B7843">
        <w:trPr>
          <w:trHeight w:val="102"/>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4DAF" w:rsidRPr="00A228E7" w:rsidRDefault="009D4DAF" w:rsidP="004E0020">
            <w:pPr>
              <w:rPr>
                <w:sz w:val="18"/>
                <w:szCs w:val="18"/>
              </w:rPr>
            </w:pPr>
            <w:r w:rsidRPr="002D5564">
              <w:rPr>
                <w:b/>
                <w:sz w:val="16"/>
                <w:szCs w:val="18"/>
              </w:rPr>
              <w:t>ESOL Standard 1: Language:</w:t>
            </w:r>
            <w:r w:rsidRPr="008679AC">
              <w:rPr>
                <w:sz w:val="16"/>
                <w:szCs w:val="18"/>
              </w:rPr>
              <w:t xml:space="preserve"> Candidates demonstrate the ability to know, understand, and use the major concepts, theories, and research related to the nature and acquisition of language to construct learning environments that support English Speakers of Other Languages (ESOL) and bilingual students' language and literacy development and content area achievement.</w:t>
            </w:r>
          </w:p>
        </w:tc>
        <w:tc>
          <w:tcPr>
            <w:tcW w:w="2792"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9D4DAF" w:rsidRPr="004E0020" w:rsidRDefault="009D4DAF" w:rsidP="004E0020">
            <w:pPr>
              <w:jc w:val="center"/>
              <w:rPr>
                <w:sz w:val="20"/>
              </w:rPr>
            </w:pPr>
            <w:r w:rsidRPr="004E0020">
              <w:rPr>
                <w:color w:val="D0CECE" w:themeColor="background2" w:themeShade="E6"/>
                <w:sz w:val="20"/>
              </w:rPr>
              <w:t>Courses</w:t>
            </w:r>
          </w:p>
        </w:tc>
        <w:tc>
          <w:tcPr>
            <w:tcW w:w="4500" w:type="dxa"/>
            <w:tcBorders>
              <w:top w:val="nil"/>
              <w:left w:val="double" w:sz="4" w:space="0" w:color="auto"/>
              <w:bottom w:val="single" w:sz="8" w:space="0" w:color="auto"/>
              <w:right w:val="double" w:sz="4" w:space="0" w:color="auto"/>
            </w:tcBorders>
            <w:vAlign w:val="center"/>
          </w:tcPr>
          <w:p w:rsidR="009D4DAF" w:rsidRPr="009D4DAF" w:rsidRDefault="009D4DAF" w:rsidP="004E0020">
            <w:pPr>
              <w:jc w:val="center"/>
              <w:rPr>
                <w:sz w:val="16"/>
                <w:szCs w:val="16"/>
              </w:rPr>
            </w:pPr>
            <w:r w:rsidRPr="004E0020">
              <w:rPr>
                <w:color w:val="D0CECE" w:themeColor="background2" w:themeShade="E6"/>
                <w:sz w:val="20"/>
                <w:szCs w:val="16"/>
              </w:rPr>
              <w:t>Assessments</w:t>
            </w:r>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9D4DAF" w:rsidRPr="00A228E7" w:rsidRDefault="009D4DAF" w:rsidP="004E0020">
            <w:pPr>
              <w:jc w:val="center"/>
            </w:pPr>
            <w:r w:rsidRPr="00A228E7">
              <w:rPr>
                <w:sz w:val="16"/>
                <w:szCs w:val="16"/>
              </w:rPr>
              <w:t> </w:t>
            </w:r>
          </w:p>
          <w:p w:rsidR="009D4DAF" w:rsidRPr="004E0020" w:rsidRDefault="009D4DAF" w:rsidP="004E0020">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9D4DAF" w:rsidRPr="00A228E7" w:rsidRDefault="009D4DAF" w:rsidP="004E0020">
            <w:pPr>
              <w:jc w:val="center"/>
            </w:pPr>
            <w:r w:rsidRPr="00A228E7">
              <w:rPr>
                <w:sz w:val="16"/>
                <w:szCs w:val="16"/>
              </w:rPr>
              <w:t> </w:t>
            </w:r>
          </w:p>
        </w:tc>
      </w:tr>
      <w:tr w:rsidR="009D4DAF" w:rsidTr="000131FE">
        <w:trPr>
          <w:trHeight w:val="102"/>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4DAF" w:rsidRPr="00A228E7" w:rsidRDefault="009D4DAF" w:rsidP="004E0020">
            <w:pPr>
              <w:rPr>
                <w:sz w:val="18"/>
                <w:szCs w:val="18"/>
              </w:rPr>
            </w:pPr>
            <w:r w:rsidRPr="002D5564">
              <w:rPr>
                <w:b/>
                <w:sz w:val="16"/>
                <w:szCs w:val="18"/>
              </w:rPr>
              <w:t>ESOL Standard 2: Culture</w:t>
            </w:r>
            <w:r w:rsidRPr="008679AC">
              <w:rPr>
                <w:sz w:val="16"/>
                <w:szCs w:val="18"/>
              </w:rPr>
              <w:t>: Candidates demonstrate the ability to know, understand, and use the major concepts, principles, theories, and research related to the nature and role of culture and cultural groups to construct learning environments that support ESOL and bilingual students' cultural identities, language and literacy development, and content area achievement.</w:t>
            </w:r>
          </w:p>
        </w:tc>
        <w:tc>
          <w:tcPr>
            <w:tcW w:w="2792"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9D4DAF" w:rsidRPr="004E0020" w:rsidRDefault="009D4DAF" w:rsidP="004E0020">
            <w:pPr>
              <w:jc w:val="center"/>
              <w:rPr>
                <w:sz w:val="20"/>
              </w:rPr>
            </w:pPr>
            <w:r w:rsidRPr="004E0020">
              <w:rPr>
                <w:color w:val="D0CECE" w:themeColor="background2" w:themeShade="E6"/>
                <w:sz w:val="20"/>
              </w:rPr>
              <w:t>Courses</w:t>
            </w:r>
          </w:p>
        </w:tc>
        <w:tc>
          <w:tcPr>
            <w:tcW w:w="4500" w:type="dxa"/>
            <w:tcBorders>
              <w:top w:val="nil"/>
              <w:left w:val="double" w:sz="4" w:space="0" w:color="auto"/>
              <w:bottom w:val="single" w:sz="8" w:space="0" w:color="auto"/>
              <w:right w:val="double" w:sz="4" w:space="0" w:color="auto"/>
            </w:tcBorders>
            <w:vAlign w:val="center"/>
          </w:tcPr>
          <w:p w:rsidR="009D4DAF" w:rsidRPr="009D4DAF" w:rsidRDefault="009D4DAF" w:rsidP="004E0020">
            <w:pPr>
              <w:jc w:val="center"/>
              <w:rPr>
                <w:sz w:val="16"/>
                <w:szCs w:val="16"/>
              </w:rPr>
            </w:pPr>
            <w:r w:rsidRPr="004E0020">
              <w:rPr>
                <w:color w:val="D0CECE" w:themeColor="background2" w:themeShade="E6"/>
                <w:sz w:val="20"/>
                <w:szCs w:val="16"/>
              </w:rPr>
              <w:t>Assessments</w:t>
            </w:r>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9D4DAF" w:rsidRDefault="009D4DAF" w:rsidP="004E0020">
            <w:pPr>
              <w:jc w:val="center"/>
            </w:pPr>
            <w:r w:rsidRPr="005507FC">
              <w:rPr>
                <w:bCs/>
                <w:color w:val="D0CECE" w:themeColor="background2" w:themeShade="E6"/>
                <w:sz w:val="20"/>
                <w:szCs w:val="20"/>
              </w:rPr>
              <w:t>Clinical Practices</w:t>
            </w:r>
          </w:p>
        </w:tc>
      </w:tr>
      <w:tr w:rsidR="009D4DAF" w:rsidTr="0026158F">
        <w:trPr>
          <w:trHeight w:val="102"/>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4DAF" w:rsidRPr="00A228E7" w:rsidRDefault="009D4DAF" w:rsidP="004E0020">
            <w:pPr>
              <w:rPr>
                <w:sz w:val="18"/>
                <w:szCs w:val="18"/>
              </w:rPr>
            </w:pPr>
            <w:r w:rsidRPr="002D5564">
              <w:rPr>
                <w:b/>
                <w:sz w:val="16"/>
                <w:szCs w:val="18"/>
              </w:rPr>
              <w:t>ESOL Standard 3: Planning, Implementing, and Managing Instruction:</w:t>
            </w:r>
            <w:r w:rsidRPr="00061A23">
              <w:rPr>
                <w:sz w:val="16"/>
                <w:szCs w:val="18"/>
              </w:rPr>
              <w:t xml:space="preserve"> Candidates demonstrate the ability to know, understand, and use standards-based practices and strategies related to planning, implementing, and managing ESOL and content instruction, including classroom organization, teaching strategies for developing and integrating language skills, and choosing and adapting classroom resources.</w:t>
            </w:r>
          </w:p>
        </w:tc>
        <w:tc>
          <w:tcPr>
            <w:tcW w:w="2792"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9D4DAF" w:rsidRPr="004E0020" w:rsidRDefault="009D4DAF" w:rsidP="004E0020">
            <w:pPr>
              <w:jc w:val="center"/>
              <w:rPr>
                <w:sz w:val="20"/>
              </w:rPr>
            </w:pPr>
            <w:r w:rsidRPr="004E0020">
              <w:rPr>
                <w:color w:val="D0CECE" w:themeColor="background2" w:themeShade="E6"/>
                <w:sz w:val="20"/>
              </w:rPr>
              <w:t>Courses</w:t>
            </w:r>
          </w:p>
        </w:tc>
        <w:tc>
          <w:tcPr>
            <w:tcW w:w="4500" w:type="dxa"/>
            <w:tcBorders>
              <w:top w:val="nil"/>
              <w:left w:val="double" w:sz="4" w:space="0" w:color="auto"/>
              <w:bottom w:val="single" w:sz="8" w:space="0" w:color="auto"/>
              <w:right w:val="double" w:sz="4" w:space="0" w:color="auto"/>
            </w:tcBorders>
            <w:vAlign w:val="center"/>
          </w:tcPr>
          <w:p w:rsidR="009D4DAF" w:rsidRPr="009D4DAF" w:rsidRDefault="009D4DAF" w:rsidP="004E0020">
            <w:pPr>
              <w:jc w:val="center"/>
              <w:rPr>
                <w:sz w:val="16"/>
                <w:szCs w:val="16"/>
              </w:rPr>
            </w:pPr>
            <w:r w:rsidRPr="004E0020">
              <w:rPr>
                <w:color w:val="D0CECE" w:themeColor="background2" w:themeShade="E6"/>
                <w:sz w:val="20"/>
                <w:szCs w:val="16"/>
              </w:rPr>
              <w:t>Assessments</w:t>
            </w:r>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9D4DAF" w:rsidRDefault="009D4DAF" w:rsidP="004E0020">
            <w:pPr>
              <w:jc w:val="center"/>
            </w:pPr>
            <w:r w:rsidRPr="005507FC">
              <w:rPr>
                <w:bCs/>
                <w:color w:val="D0CECE" w:themeColor="background2" w:themeShade="E6"/>
                <w:sz w:val="20"/>
                <w:szCs w:val="20"/>
              </w:rPr>
              <w:t>Clinical Practices</w:t>
            </w:r>
          </w:p>
        </w:tc>
      </w:tr>
      <w:tr w:rsidR="009D4DAF" w:rsidTr="00E829B7">
        <w:trPr>
          <w:trHeight w:val="102"/>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4DAF" w:rsidRPr="00A228E7" w:rsidRDefault="009D4DAF" w:rsidP="00877E45">
            <w:pPr>
              <w:rPr>
                <w:sz w:val="18"/>
                <w:szCs w:val="18"/>
              </w:rPr>
            </w:pPr>
            <w:r w:rsidRPr="002D5564">
              <w:rPr>
                <w:b/>
                <w:sz w:val="16"/>
                <w:szCs w:val="18"/>
              </w:rPr>
              <w:t>ESOL Standard 4: Assessment:</w:t>
            </w:r>
            <w:r w:rsidRPr="00061A23">
              <w:rPr>
                <w:sz w:val="16"/>
                <w:szCs w:val="18"/>
              </w:rPr>
              <w:t xml:space="preserve"> Candidates understand issues of assessment and use standards-based assessment measures with ESOL and bilingual students.</w:t>
            </w:r>
          </w:p>
        </w:tc>
        <w:tc>
          <w:tcPr>
            <w:tcW w:w="2792"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9D4DAF" w:rsidRPr="004E0020" w:rsidRDefault="009D4DAF" w:rsidP="004E0020">
            <w:pPr>
              <w:jc w:val="center"/>
              <w:rPr>
                <w:sz w:val="20"/>
              </w:rPr>
            </w:pPr>
            <w:r w:rsidRPr="004E0020">
              <w:rPr>
                <w:color w:val="D0CECE" w:themeColor="background2" w:themeShade="E6"/>
                <w:sz w:val="20"/>
              </w:rPr>
              <w:t>Courses</w:t>
            </w:r>
          </w:p>
        </w:tc>
        <w:tc>
          <w:tcPr>
            <w:tcW w:w="4500" w:type="dxa"/>
            <w:tcBorders>
              <w:top w:val="nil"/>
              <w:left w:val="double" w:sz="4" w:space="0" w:color="auto"/>
              <w:bottom w:val="single" w:sz="8" w:space="0" w:color="auto"/>
              <w:right w:val="double" w:sz="4" w:space="0" w:color="auto"/>
            </w:tcBorders>
            <w:vAlign w:val="center"/>
          </w:tcPr>
          <w:p w:rsidR="009D4DAF" w:rsidRPr="009D4DAF" w:rsidRDefault="009D4DAF" w:rsidP="004E0020">
            <w:pPr>
              <w:jc w:val="center"/>
              <w:rPr>
                <w:sz w:val="16"/>
                <w:szCs w:val="16"/>
              </w:rPr>
            </w:pPr>
            <w:r w:rsidRPr="004E0020">
              <w:rPr>
                <w:color w:val="D0CECE" w:themeColor="background2" w:themeShade="E6"/>
                <w:sz w:val="20"/>
                <w:szCs w:val="16"/>
              </w:rPr>
              <w:t>Assessments</w:t>
            </w:r>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9D4DAF" w:rsidRPr="00A228E7" w:rsidRDefault="009D4DAF" w:rsidP="004E0020">
            <w:pPr>
              <w:jc w:val="center"/>
            </w:pPr>
            <w:r w:rsidRPr="00A228E7">
              <w:rPr>
                <w:sz w:val="16"/>
                <w:szCs w:val="16"/>
              </w:rPr>
              <w:t> </w:t>
            </w:r>
          </w:p>
          <w:p w:rsidR="009D4DAF" w:rsidRPr="004E0020" w:rsidRDefault="009D4DAF" w:rsidP="004E0020">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9D4DAF" w:rsidRPr="00A228E7" w:rsidRDefault="009D4DAF" w:rsidP="004E0020">
            <w:pPr>
              <w:jc w:val="center"/>
            </w:pPr>
            <w:r w:rsidRPr="00A228E7">
              <w:rPr>
                <w:sz w:val="16"/>
                <w:szCs w:val="16"/>
              </w:rPr>
              <w:t> </w:t>
            </w:r>
          </w:p>
        </w:tc>
      </w:tr>
      <w:tr w:rsidR="009D4DAF" w:rsidTr="0074095D">
        <w:trPr>
          <w:trHeight w:val="1181"/>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4DAF" w:rsidRPr="00A228E7" w:rsidRDefault="009D4DAF" w:rsidP="004E0020">
            <w:pPr>
              <w:rPr>
                <w:sz w:val="18"/>
                <w:szCs w:val="18"/>
              </w:rPr>
            </w:pPr>
            <w:r w:rsidRPr="002D5564">
              <w:rPr>
                <w:b/>
                <w:sz w:val="16"/>
                <w:szCs w:val="18"/>
              </w:rPr>
              <w:t xml:space="preserve">ESOL Standard 5: </w:t>
            </w:r>
            <w:r w:rsidRPr="00061A23">
              <w:rPr>
                <w:sz w:val="16"/>
                <w:szCs w:val="18"/>
              </w:rPr>
              <w:t>Candidates demonstrate knowledge of the history of ESL teaching. Candidates demonstrate the ability to keep current with new instructional techniques, research results, advances in the ESL field, and public policy issues. Candidates demonstrate the ability to use such information to reflect upon and improve their instructional practices. Candidates demonstrate the ability to provide support and advocate for ESOL and bilingual students and their families and work collaboratively to improve the learning environment.</w:t>
            </w:r>
          </w:p>
        </w:tc>
        <w:tc>
          <w:tcPr>
            <w:tcW w:w="2792"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9D4DAF" w:rsidRPr="004E0020" w:rsidRDefault="009D4DAF" w:rsidP="004E0020">
            <w:pPr>
              <w:jc w:val="center"/>
              <w:rPr>
                <w:sz w:val="20"/>
              </w:rPr>
            </w:pPr>
            <w:r w:rsidRPr="004E0020">
              <w:rPr>
                <w:color w:val="D0CECE" w:themeColor="background2" w:themeShade="E6"/>
                <w:sz w:val="20"/>
              </w:rPr>
              <w:t>Courses</w:t>
            </w:r>
          </w:p>
        </w:tc>
        <w:tc>
          <w:tcPr>
            <w:tcW w:w="4500" w:type="dxa"/>
            <w:tcBorders>
              <w:top w:val="nil"/>
              <w:left w:val="double" w:sz="4" w:space="0" w:color="auto"/>
              <w:bottom w:val="single" w:sz="8" w:space="0" w:color="auto"/>
              <w:right w:val="double" w:sz="4" w:space="0" w:color="auto"/>
            </w:tcBorders>
            <w:vAlign w:val="center"/>
          </w:tcPr>
          <w:p w:rsidR="009D4DAF" w:rsidRPr="009D4DAF" w:rsidRDefault="009D4DAF" w:rsidP="004E0020">
            <w:pPr>
              <w:jc w:val="center"/>
              <w:rPr>
                <w:sz w:val="16"/>
                <w:szCs w:val="16"/>
              </w:rPr>
            </w:pPr>
            <w:r w:rsidRPr="004E0020">
              <w:rPr>
                <w:color w:val="D0CECE" w:themeColor="background2" w:themeShade="E6"/>
                <w:sz w:val="20"/>
                <w:szCs w:val="16"/>
              </w:rPr>
              <w:t>Assessments</w:t>
            </w:r>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9D4DAF" w:rsidRPr="00A228E7" w:rsidRDefault="009D4DAF" w:rsidP="004E0020">
            <w:pPr>
              <w:jc w:val="center"/>
            </w:pPr>
            <w:r w:rsidRPr="00A228E7">
              <w:rPr>
                <w:sz w:val="16"/>
                <w:szCs w:val="16"/>
              </w:rPr>
              <w:t> </w:t>
            </w:r>
          </w:p>
          <w:p w:rsidR="009D4DAF" w:rsidRPr="004E0020" w:rsidRDefault="009D4DAF" w:rsidP="004E0020">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9D4DAF" w:rsidRPr="00A228E7" w:rsidRDefault="009D4DAF" w:rsidP="004E0020">
            <w:pPr>
              <w:jc w:val="center"/>
            </w:pPr>
            <w:r w:rsidRPr="00A228E7">
              <w:rPr>
                <w:sz w:val="16"/>
                <w:szCs w:val="16"/>
              </w:rPr>
              <w:t> </w:t>
            </w:r>
          </w:p>
        </w:tc>
      </w:tr>
      <w:tr w:rsidR="009D4DAF" w:rsidTr="00770734">
        <w:trPr>
          <w:trHeight w:val="1277"/>
        </w:trPr>
        <w:tc>
          <w:tcPr>
            <w:tcW w:w="186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D4DAF" w:rsidRPr="00A228E7" w:rsidRDefault="009D4DAF" w:rsidP="00877E45">
            <w:pPr>
              <w:rPr>
                <w:sz w:val="18"/>
                <w:szCs w:val="18"/>
              </w:rPr>
            </w:pPr>
            <w:r w:rsidRPr="002D5564">
              <w:rPr>
                <w:b/>
                <w:sz w:val="16"/>
                <w:szCs w:val="18"/>
              </w:rPr>
              <w:t xml:space="preserve">ESOL Standard 6: </w:t>
            </w:r>
            <w:r w:rsidRPr="00061A23">
              <w:rPr>
                <w:sz w:val="16"/>
                <w:szCs w:val="18"/>
              </w:rPr>
              <w:t>Candidates demonstrate the ability to use information technology to enhance learning and to enhance personal and professional productivity.</w:t>
            </w:r>
          </w:p>
        </w:tc>
        <w:tc>
          <w:tcPr>
            <w:tcW w:w="2792"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9D4DAF" w:rsidRPr="004E0020" w:rsidRDefault="009D4DAF" w:rsidP="004E0020">
            <w:pPr>
              <w:jc w:val="center"/>
              <w:rPr>
                <w:sz w:val="20"/>
              </w:rPr>
            </w:pPr>
            <w:r w:rsidRPr="004E0020">
              <w:rPr>
                <w:color w:val="D0CECE" w:themeColor="background2" w:themeShade="E6"/>
                <w:sz w:val="20"/>
              </w:rPr>
              <w:t>Courses</w:t>
            </w:r>
          </w:p>
        </w:tc>
        <w:tc>
          <w:tcPr>
            <w:tcW w:w="4500" w:type="dxa"/>
            <w:tcBorders>
              <w:top w:val="nil"/>
              <w:left w:val="double" w:sz="4" w:space="0" w:color="auto"/>
              <w:bottom w:val="single" w:sz="8" w:space="0" w:color="auto"/>
              <w:right w:val="double" w:sz="4" w:space="0" w:color="auto"/>
            </w:tcBorders>
            <w:vAlign w:val="center"/>
          </w:tcPr>
          <w:p w:rsidR="009D4DAF" w:rsidRPr="009D4DAF" w:rsidRDefault="009D4DAF" w:rsidP="004E0020">
            <w:pPr>
              <w:jc w:val="center"/>
              <w:rPr>
                <w:sz w:val="16"/>
                <w:szCs w:val="16"/>
              </w:rPr>
            </w:pPr>
            <w:r w:rsidRPr="004E0020">
              <w:rPr>
                <w:color w:val="D0CECE" w:themeColor="background2" w:themeShade="E6"/>
                <w:sz w:val="20"/>
                <w:szCs w:val="16"/>
              </w:rPr>
              <w:t>Assessments</w:t>
            </w:r>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9D4DAF" w:rsidRDefault="009D4DAF" w:rsidP="004E0020">
            <w:pPr>
              <w:jc w:val="center"/>
            </w:pPr>
            <w:r w:rsidRPr="005507FC">
              <w:rPr>
                <w:bCs/>
                <w:color w:val="D0CECE" w:themeColor="background2" w:themeShade="E6"/>
                <w:sz w:val="20"/>
                <w:szCs w:val="20"/>
              </w:rPr>
              <w:t>Clinical Practices</w:t>
            </w:r>
          </w:p>
        </w:tc>
      </w:tr>
    </w:tbl>
    <w:p w:rsidR="00FF2D7F" w:rsidRDefault="00FF2D7F"/>
    <w:sectPr w:rsidR="00FF2D7F" w:rsidSect="00A228E7">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4A4" w:rsidRDefault="00BC14A4" w:rsidP="008F3FEB">
      <w:pPr>
        <w:spacing w:after="0" w:line="240" w:lineRule="auto"/>
      </w:pPr>
      <w:r>
        <w:separator/>
      </w:r>
    </w:p>
  </w:endnote>
  <w:endnote w:type="continuationSeparator" w:id="0">
    <w:p w:rsidR="00BC14A4" w:rsidRDefault="00BC14A4" w:rsidP="008F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020" w:rsidRPr="004E0020" w:rsidRDefault="004E0020">
    <w:pPr>
      <w:pStyle w:val="Footer"/>
      <w:rPr>
        <w:sz w:val="18"/>
      </w:rPr>
    </w:pPr>
    <w:r w:rsidRPr="004E0020">
      <w:rPr>
        <w:sz w:val="18"/>
      </w:rPr>
      <w:t>DO: Dykeman</w:t>
    </w:r>
  </w:p>
  <w:p w:rsidR="004E0020" w:rsidRPr="004E0020" w:rsidRDefault="004E0020">
    <w:pPr>
      <w:pStyle w:val="Footer"/>
      <w:rPr>
        <w:sz w:val="18"/>
      </w:rPr>
    </w:pPr>
    <w:r w:rsidRPr="004E0020">
      <w:rPr>
        <w:sz w:val="18"/>
      </w:rPr>
      <w:t>Classification – 1: Published</w:t>
    </w:r>
  </w:p>
  <w:p w:rsidR="00451473" w:rsidRPr="004E0020" w:rsidRDefault="004E0020">
    <w:pPr>
      <w:pStyle w:val="Footer"/>
      <w:rPr>
        <w:sz w:val="18"/>
      </w:rPr>
    </w:pPr>
    <w:r w:rsidRPr="004E0020">
      <w:rPr>
        <w:sz w:val="18"/>
      </w:rPr>
      <w:t>9/27/17</w:t>
    </w:r>
  </w:p>
  <w:p w:rsidR="004E0020" w:rsidRPr="004E0020" w:rsidRDefault="004E0020">
    <w:pPr>
      <w:pStyle w:val="Footer"/>
      <w:rPr>
        <w:sz w:val="18"/>
      </w:rPr>
    </w:pPr>
    <w:r w:rsidRPr="004E0020">
      <w:rPr>
        <w:sz w:val="18"/>
      </w:rPr>
      <w:t xml:space="preserve">Page </w:t>
    </w:r>
    <w:r w:rsidRPr="004E0020">
      <w:rPr>
        <w:sz w:val="18"/>
      </w:rPr>
      <w:fldChar w:fldCharType="begin"/>
    </w:r>
    <w:r w:rsidRPr="004E0020">
      <w:rPr>
        <w:sz w:val="18"/>
      </w:rPr>
      <w:instrText xml:space="preserve"> PAGE   \* MERGEFORMAT </w:instrText>
    </w:r>
    <w:r w:rsidRPr="004E0020">
      <w:rPr>
        <w:sz w:val="18"/>
      </w:rPr>
      <w:fldChar w:fldCharType="separate"/>
    </w:r>
    <w:r w:rsidR="00BC14A4">
      <w:rPr>
        <w:noProof/>
        <w:sz w:val="18"/>
      </w:rPr>
      <w:t>1</w:t>
    </w:r>
    <w:r w:rsidRPr="004E0020">
      <w:rPr>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4A4" w:rsidRDefault="00BC14A4" w:rsidP="008F3FEB">
      <w:pPr>
        <w:spacing w:after="0" w:line="240" w:lineRule="auto"/>
      </w:pPr>
      <w:r>
        <w:separator/>
      </w:r>
    </w:p>
  </w:footnote>
  <w:footnote w:type="continuationSeparator" w:id="0">
    <w:p w:rsidR="00BC14A4" w:rsidRDefault="00BC14A4" w:rsidP="008F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FEB" w:rsidRDefault="008F3FEB" w:rsidP="008F3FEB">
    <w:pPr>
      <w:spacing w:after="0"/>
      <w:jc w:val="center"/>
    </w:pPr>
    <w:r>
      <w:rPr>
        <w:b/>
        <w:bCs/>
        <w:sz w:val="28"/>
        <w:szCs w:val="28"/>
      </w:rPr>
      <w:t>Program Alignment to Standards</w:t>
    </w:r>
  </w:p>
  <w:p w:rsidR="008F3FEB" w:rsidRDefault="008F3FEB" w:rsidP="008F3FEB">
    <w:pPr>
      <w:spacing w:after="0"/>
      <w:jc w:val="center"/>
    </w:pPr>
    <w:r>
      <w:rPr>
        <w:b/>
        <w:bCs/>
        <w:sz w:val="28"/>
        <w:szCs w:val="28"/>
      </w:rPr>
      <w:t xml:space="preserve">Sample Table: </w:t>
    </w:r>
    <w:r w:rsidR="009D4DAF">
      <w:rPr>
        <w:b/>
        <w:bCs/>
        <w:sz w:val="28"/>
        <w:szCs w:val="28"/>
      </w:rPr>
      <w:t>English for</w:t>
    </w:r>
    <w:r w:rsidR="0079115E" w:rsidRPr="0079115E">
      <w:rPr>
        <w:b/>
        <w:bCs/>
        <w:sz w:val="28"/>
        <w:szCs w:val="28"/>
      </w:rPr>
      <w:t xml:space="preserve"> Speakers of Other Languages (ESOL)</w:t>
    </w:r>
  </w:p>
  <w:p w:rsidR="008F3FEB" w:rsidRDefault="008F3F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F666EC"/>
    <w:multiLevelType w:val="multilevel"/>
    <w:tmpl w:val="18A499E0"/>
    <w:styleLink w:val="Style2"/>
    <w:lvl w:ilvl="0">
      <w:start w:val="1"/>
      <w:numFmt w:val="decimal"/>
      <w:lvlText w:val="(%1)"/>
      <w:lvlJc w:val="left"/>
      <w:pPr>
        <w:ind w:left="100" w:hanging="100"/>
      </w:pPr>
      <w:rPr>
        <w:rFonts w:ascii="Calibri" w:eastAsia="Calibri" w:hAnsi="Calibri" w:hint="default"/>
        <w:spacing w:val="-1"/>
        <w:sz w:val="22"/>
        <w:szCs w:val="22"/>
      </w:rPr>
    </w:lvl>
    <w:lvl w:ilvl="1">
      <w:start w:val="1"/>
      <w:numFmt w:val="lowerLetter"/>
      <w:lvlText w:val="(%2)"/>
      <w:lvlJc w:val="left"/>
      <w:pPr>
        <w:ind w:left="390" w:hanging="291"/>
      </w:pPr>
      <w:rPr>
        <w:rFonts w:ascii="Calibri" w:eastAsia="Calibri" w:hAnsi="Calibri" w:hint="default"/>
        <w:spacing w:val="-1"/>
        <w:sz w:val="22"/>
        <w:szCs w:val="22"/>
      </w:rPr>
    </w:lvl>
    <w:lvl w:ilvl="2">
      <w:start w:val="1"/>
      <w:numFmt w:val="upperLetter"/>
      <w:lvlText w:val="(%3)"/>
      <w:lvlJc w:val="left"/>
      <w:pPr>
        <w:ind w:left="100" w:hanging="312"/>
      </w:pPr>
      <w:rPr>
        <w:rFonts w:ascii="Calibri" w:eastAsia="Calibri" w:hAnsi="Calibri" w:hint="default"/>
        <w:spacing w:val="-1"/>
        <w:sz w:val="22"/>
        <w:szCs w:val="22"/>
      </w:rPr>
    </w:lvl>
    <w:lvl w:ilvl="3">
      <w:start w:val="1"/>
      <w:numFmt w:val="bullet"/>
      <w:lvlText w:val="•"/>
      <w:lvlJc w:val="left"/>
      <w:pPr>
        <w:ind w:left="2428" w:hanging="312"/>
      </w:pPr>
      <w:rPr>
        <w:rFonts w:hint="default"/>
      </w:rPr>
    </w:lvl>
    <w:lvl w:ilvl="4">
      <w:start w:val="1"/>
      <w:numFmt w:val="bullet"/>
      <w:lvlText w:val="•"/>
      <w:lvlJc w:val="left"/>
      <w:pPr>
        <w:ind w:left="3447" w:hanging="312"/>
      </w:pPr>
      <w:rPr>
        <w:rFonts w:hint="default"/>
      </w:rPr>
    </w:lvl>
    <w:lvl w:ilvl="5">
      <w:start w:val="1"/>
      <w:numFmt w:val="bullet"/>
      <w:lvlText w:val="•"/>
      <w:lvlJc w:val="left"/>
      <w:pPr>
        <w:ind w:left="4465" w:hanging="312"/>
      </w:pPr>
      <w:rPr>
        <w:rFonts w:hint="default"/>
      </w:rPr>
    </w:lvl>
    <w:lvl w:ilvl="6">
      <w:start w:val="1"/>
      <w:numFmt w:val="bullet"/>
      <w:lvlText w:val="•"/>
      <w:lvlJc w:val="left"/>
      <w:pPr>
        <w:ind w:left="5484" w:hanging="312"/>
      </w:pPr>
      <w:rPr>
        <w:rFonts w:hint="default"/>
      </w:rPr>
    </w:lvl>
    <w:lvl w:ilvl="7">
      <w:start w:val="1"/>
      <w:numFmt w:val="bullet"/>
      <w:lvlText w:val="•"/>
      <w:lvlJc w:val="left"/>
      <w:pPr>
        <w:ind w:left="6503" w:hanging="312"/>
      </w:pPr>
      <w:rPr>
        <w:rFonts w:hint="default"/>
      </w:rPr>
    </w:lvl>
    <w:lvl w:ilvl="8">
      <w:start w:val="1"/>
      <w:numFmt w:val="bullet"/>
      <w:lvlText w:val="•"/>
      <w:lvlJc w:val="left"/>
      <w:pPr>
        <w:ind w:left="7522" w:hanging="31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4DD"/>
    <w:rsid w:val="00023410"/>
    <w:rsid w:val="000524DD"/>
    <w:rsid w:val="00061A23"/>
    <w:rsid w:val="000A68F0"/>
    <w:rsid w:val="000F0AD9"/>
    <w:rsid w:val="00150AD1"/>
    <w:rsid w:val="0016351C"/>
    <w:rsid w:val="001834B8"/>
    <w:rsid w:val="00192327"/>
    <w:rsid w:val="001A014C"/>
    <w:rsid w:val="001A5497"/>
    <w:rsid w:val="001B761C"/>
    <w:rsid w:val="001D109C"/>
    <w:rsid w:val="001E1F79"/>
    <w:rsid w:val="00242805"/>
    <w:rsid w:val="002D5564"/>
    <w:rsid w:val="003102D4"/>
    <w:rsid w:val="003212C1"/>
    <w:rsid w:val="00331C48"/>
    <w:rsid w:val="00357E27"/>
    <w:rsid w:val="0036528F"/>
    <w:rsid w:val="00365DF6"/>
    <w:rsid w:val="0036646E"/>
    <w:rsid w:val="003F6C42"/>
    <w:rsid w:val="003F735D"/>
    <w:rsid w:val="00451473"/>
    <w:rsid w:val="00452C7F"/>
    <w:rsid w:val="004E0020"/>
    <w:rsid w:val="004F6BDA"/>
    <w:rsid w:val="0050469F"/>
    <w:rsid w:val="005235F8"/>
    <w:rsid w:val="00526B25"/>
    <w:rsid w:val="005B17E0"/>
    <w:rsid w:val="005B1D82"/>
    <w:rsid w:val="005D086B"/>
    <w:rsid w:val="005E4018"/>
    <w:rsid w:val="0063211A"/>
    <w:rsid w:val="00644961"/>
    <w:rsid w:val="00651658"/>
    <w:rsid w:val="00667D49"/>
    <w:rsid w:val="007216B5"/>
    <w:rsid w:val="00766FCB"/>
    <w:rsid w:val="0079115E"/>
    <w:rsid w:val="00796433"/>
    <w:rsid w:val="007C75D9"/>
    <w:rsid w:val="007D5F88"/>
    <w:rsid w:val="007F7A87"/>
    <w:rsid w:val="00805783"/>
    <w:rsid w:val="00822D8F"/>
    <w:rsid w:val="00837006"/>
    <w:rsid w:val="00850D82"/>
    <w:rsid w:val="00851FD4"/>
    <w:rsid w:val="008679AC"/>
    <w:rsid w:val="00877E45"/>
    <w:rsid w:val="00893717"/>
    <w:rsid w:val="008C194A"/>
    <w:rsid w:val="008C570C"/>
    <w:rsid w:val="008F3FEB"/>
    <w:rsid w:val="00957526"/>
    <w:rsid w:val="009636FC"/>
    <w:rsid w:val="009647AE"/>
    <w:rsid w:val="00965539"/>
    <w:rsid w:val="009655C7"/>
    <w:rsid w:val="00970C2C"/>
    <w:rsid w:val="00976F76"/>
    <w:rsid w:val="00993815"/>
    <w:rsid w:val="009D4DAF"/>
    <w:rsid w:val="00A228E7"/>
    <w:rsid w:val="00A40A1B"/>
    <w:rsid w:val="00A56B95"/>
    <w:rsid w:val="00A62AB0"/>
    <w:rsid w:val="00A63CF5"/>
    <w:rsid w:val="00A771A4"/>
    <w:rsid w:val="00A94902"/>
    <w:rsid w:val="00AB00E1"/>
    <w:rsid w:val="00AE073E"/>
    <w:rsid w:val="00B052C6"/>
    <w:rsid w:val="00B12DAA"/>
    <w:rsid w:val="00B64EA0"/>
    <w:rsid w:val="00B73BE1"/>
    <w:rsid w:val="00B8253D"/>
    <w:rsid w:val="00BC08A0"/>
    <w:rsid w:val="00BC14A4"/>
    <w:rsid w:val="00BE5D43"/>
    <w:rsid w:val="00C8212B"/>
    <w:rsid w:val="00C91956"/>
    <w:rsid w:val="00CB2A60"/>
    <w:rsid w:val="00CC66A1"/>
    <w:rsid w:val="00D16F8F"/>
    <w:rsid w:val="00D351C0"/>
    <w:rsid w:val="00D4012A"/>
    <w:rsid w:val="00D62391"/>
    <w:rsid w:val="00DC6EFA"/>
    <w:rsid w:val="00DE58C5"/>
    <w:rsid w:val="00DF7AE1"/>
    <w:rsid w:val="00E00D9C"/>
    <w:rsid w:val="00E1663A"/>
    <w:rsid w:val="00E631B2"/>
    <w:rsid w:val="00E826D9"/>
    <w:rsid w:val="00F1662C"/>
    <w:rsid w:val="00F23635"/>
    <w:rsid w:val="00F50321"/>
    <w:rsid w:val="00F77B70"/>
    <w:rsid w:val="00FC5874"/>
    <w:rsid w:val="00FF08A5"/>
    <w:rsid w:val="00FF2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9C35AE-20BA-421F-BEED-13FFE11BE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C91956"/>
    <w:pPr>
      <w:numPr>
        <w:numId w:val="1"/>
      </w:numPr>
    </w:pPr>
  </w:style>
  <w:style w:type="character" w:customStyle="1" w:styleId="history">
    <w:name w:val="history"/>
    <w:basedOn w:val="DefaultParagraphFont"/>
    <w:rsid w:val="000524DD"/>
  </w:style>
  <w:style w:type="paragraph" w:styleId="Header">
    <w:name w:val="header"/>
    <w:basedOn w:val="Normal"/>
    <w:link w:val="HeaderChar"/>
    <w:uiPriority w:val="99"/>
    <w:unhideWhenUsed/>
    <w:rsid w:val="008F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FEB"/>
  </w:style>
  <w:style w:type="paragraph" w:styleId="Footer">
    <w:name w:val="footer"/>
    <w:basedOn w:val="Normal"/>
    <w:link w:val="FooterChar"/>
    <w:uiPriority w:val="99"/>
    <w:unhideWhenUsed/>
    <w:rsid w:val="008F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633122">
      <w:bodyDiv w:val="1"/>
      <w:marLeft w:val="0"/>
      <w:marRight w:val="0"/>
      <w:marTop w:val="0"/>
      <w:marBottom w:val="0"/>
      <w:divBdr>
        <w:top w:val="none" w:sz="0" w:space="0" w:color="auto"/>
        <w:left w:val="none" w:sz="0" w:space="0" w:color="auto"/>
        <w:bottom w:val="none" w:sz="0" w:space="0" w:color="auto"/>
        <w:right w:val="none" w:sz="0" w:space="0" w:color="auto"/>
      </w:divBdr>
    </w:div>
    <w:div w:id="73092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93E540996D9649B6BD79A172D17BA0" ma:contentTypeVersion="2" ma:contentTypeDescription="Create a new document." ma:contentTypeScope="" ma:versionID="aabd199d7e63c6065abb8cd72434d844">
  <xsd:schema xmlns:xsd="http://www.w3.org/2001/XMLSchema" xmlns:xs="http://www.w3.org/2001/XMLSchema" xmlns:p="http://schemas.microsoft.com/office/2006/metadata/properties" xmlns:ns1="http://schemas.microsoft.com/sharepoint/v3" xmlns:ns2="17003709-5199-4ba9-ba5d-0b3e6dea3d95" targetNamespace="http://schemas.microsoft.com/office/2006/metadata/properties" ma:root="true" ma:fieldsID="7f96d61613fbf1c35e18a9585a3fbf4b" ns1:_="" ns2:_="">
    <xsd:import namespace="http://schemas.microsoft.com/sharepoint/v3"/>
    <xsd:import namespace="17003709-5199-4ba9-ba5d-0b3e6dea3d9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03709-5199-4ba9-ba5d-0b3e6dea3d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4CC8C2F-C29A-490F-940C-9E38479488F2}"/>
</file>

<file path=customXml/itemProps2.xml><?xml version="1.0" encoding="utf-8"?>
<ds:datastoreItem xmlns:ds="http://schemas.openxmlformats.org/officeDocument/2006/customXml" ds:itemID="{53662530-9230-4818-B0B0-64D5EAAD9147}"/>
</file>

<file path=customXml/itemProps3.xml><?xml version="1.0" encoding="utf-8"?>
<ds:datastoreItem xmlns:ds="http://schemas.openxmlformats.org/officeDocument/2006/customXml" ds:itemID="{E8ACED8E-B55C-404A-A596-40339C397387}"/>
</file>

<file path=customXml/itemProps4.xml><?xml version="1.0" encoding="utf-8"?>
<ds:datastoreItem xmlns:ds="http://schemas.openxmlformats.org/officeDocument/2006/customXml" ds:itemID="{4F7E92A0-0B4A-4F71-94BC-D3C2CFF49336}"/>
</file>

<file path=docProps/app.xml><?xml version="1.0" encoding="utf-8"?>
<Properties xmlns="http://schemas.openxmlformats.org/officeDocument/2006/extended-properties" xmlns:vt="http://schemas.openxmlformats.org/officeDocument/2006/docPropsVTypes">
  <Template>Normal.dotm</Template>
  <TotalTime>25</TotalTime>
  <Pages>4</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DYKEMAN Tamara * TSPC</dc:creator>
  <cp:keywords/>
  <dc:description/>
  <cp:lastModifiedBy>DYKEMAN Tamara * TSPC</cp:lastModifiedBy>
  <cp:revision>10</cp:revision>
  <dcterms:created xsi:type="dcterms:W3CDTF">2017-09-27T21:39:00Z</dcterms:created>
  <dcterms:modified xsi:type="dcterms:W3CDTF">2018-02-02T18:26:00Z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0x010100DF93E540996D9649B6BD79A172D17BA0</vt:lpwstr>
  </property>
</Properties>
</file>