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12563" w:type="dxa"/>
        <w:tblCellMar>
          <w:left w:w="0" w:type="dxa"/>
          <w:right w:w="0" w:type="dxa"/>
        </w:tblCellMar>
        <w:tblLook w:val="04A0" w:firstRow="1" w:lastRow="0" w:firstColumn="1" w:lastColumn="0" w:noHBand="0" w:noVBand="1"/>
      </w:tblPr>
      <w:tblGrid>
        <w:gridCol w:w="2284"/>
        <w:gridCol w:w="3376"/>
        <w:gridCol w:w="3613"/>
        <w:gridCol w:w="3290"/>
      </w:tblGrid>
      <w:tr w:rsidR="005235F8" w:rsidTr="00B943E1">
        <w:trPr>
          <w:trHeight w:val="319"/>
          <w:tblHeader/>
        </w:trPr>
        <w:tc>
          <w:tcPr>
            <w:tcW w:w="12563" w:type="dxa"/>
            <w:gridSpan w:val="4"/>
            <w:tcBorders>
              <w:top w:val="single" w:sz="8" w:space="0" w:color="auto"/>
              <w:left w:val="single" w:sz="8" w:space="0" w:color="auto"/>
              <w:bottom w:val="single" w:sz="8" w:space="0" w:color="auto"/>
              <w:right w:val="single" w:sz="8" w:space="0" w:color="auto"/>
            </w:tcBorders>
            <w:shd w:val="clear" w:color="auto" w:fill="000000"/>
          </w:tcPr>
          <w:p w:rsidR="005235F8" w:rsidRPr="005235F8" w:rsidRDefault="005235F8" w:rsidP="00271A8F">
            <w:pPr>
              <w:ind w:hanging="35"/>
              <w:rPr>
                <w:b/>
              </w:rPr>
            </w:pPr>
            <w:r w:rsidRPr="005235F8">
              <w:rPr>
                <w:b/>
                <w:bCs/>
                <w:color w:val="FFFFFF"/>
              </w:rPr>
              <w:t>Name of program:</w:t>
            </w:r>
            <w:r w:rsidRPr="005235F8">
              <w:rPr>
                <w:b/>
                <w:color w:val="FFFFFF"/>
              </w:rPr>
              <w:t xml:space="preserve"> </w:t>
            </w:r>
            <w:r w:rsidR="00271A8F">
              <w:rPr>
                <w:b/>
                <w:color w:val="FFFFFF"/>
              </w:rPr>
              <w:t xml:space="preserve">Music </w:t>
            </w:r>
            <w:r>
              <w:rPr>
                <w:b/>
                <w:color w:val="FFFFFF"/>
              </w:rPr>
              <w:t>Endorsement Program</w:t>
            </w:r>
          </w:p>
        </w:tc>
      </w:tr>
      <w:tr w:rsidR="00F23635" w:rsidTr="00AE4C2A">
        <w:trPr>
          <w:trHeight w:val="330"/>
          <w:tblHeader/>
        </w:trPr>
        <w:tc>
          <w:tcPr>
            <w:tcW w:w="2284" w:type="dxa"/>
            <w:vMerge w:val="restar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rsidR="00F23635" w:rsidRPr="00A228E7" w:rsidRDefault="00F23635" w:rsidP="0036528F">
            <w:r w:rsidRPr="00A228E7">
              <w:rPr>
                <w:bCs/>
              </w:rPr>
              <w:t> </w:t>
            </w:r>
          </w:p>
          <w:p w:rsidR="00F23635" w:rsidRPr="00A228E7" w:rsidRDefault="00F23635" w:rsidP="0036528F">
            <w:r w:rsidRPr="00A228E7">
              <w:rPr>
                <w:bCs/>
              </w:rPr>
              <w:t>Program Standards</w:t>
            </w:r>
          </w:p>
        </w:tc>
        <w:tc>
          <w:tcPr>
            <w:tcW w:w="10279" w:type="dxa"/>
            <w:gridSpan w:val="3"/>
            <w:tcBorders>
              <w:top w:val="nil"/>
              <w:left w:val="nil"/>
              <w:bottom w:val="single" w:sz="8" w:space="0" w:color="auto"/>
              <w:right w:val="single" w:sz="8" w:space="0" w:color="auto"/>
            </w:tcBorders>
            <w:shd w:val="clear" w:color="auto" w:fill="E7E6E6"/>
          </w:tcPr>
          <w:p w:rsidR="00F23635" w:rsidRDefault="004E0020" w:rsidP="00F23635">
            <w:pPr>
              <w:spacing w:after="0"/>
              <w:jc w:val="center"/>
              <w:rPr>
                <w:bCs/>
              </w:rPr>
            </w:pPr>
            <w:r>
              <w:rPr>
                <w:bCs/>
              </w:rPr>
              <w:t>R</w:t>
            </w:r>
            <w:r w:rsidR="00F23635">
              <w:rPr>
                <w:bCs/>
              </w:rPr>
              <w:t>eport any courses, assessments, teacher performance assessment and/or clinical practices</w:t>
            </w:r>
          </w:p>
          <w:p w:rsidR="00F23635" w:rsidRPr="00A228E7" w:rsidRDefault="00F23635" w:rsidP="00FB0FCB">
            <w:pPr>
              <w:spacing w:after="0"/>
              <w:jc w:val="center"/>
            </w:pPr>
            <w:r>
              <w:rPr>
                <w:bCs/>
              </w:rPr>
              <w:t xml:space="preserve"> that align to the required standards for the </w:t>
            </w:r>
            <w:r w:rsidR="00A577E6">
              <w:rPr>
                <w:bCs/>
              </w:rPr>
              <w:t>Music</w:t>
            </w:r>
            <w:r w:rsidR="00FB0FCB">
              <w:rPr>
                <w:bCs/>
              </w:rPr>
              <w:t xml:space="preserve"> </w:t>
            </w:r>
            <w:r>
              <w:rPr>
                <w:bCs/>
              </w:rPr>
              <w:t>endorsement</w:t>
            </w:r>
          </w:p>
        </w:tc>
      </w:tr>
      <w:tr w:rsidR="00AE4C2A" w:rsidTr="00AE4C2A">
        <w:trPr>
          <w:trHeight w:val="102"/>
          <w:tblHeader/>
        </w:trPr>
        <w:tc>
          <w:tcPr>
            <w:tcW w:w="2284" w:type="dxa"/>
            <w:vMerge/>
            <w:tcBorders>
              <w:top w:val="nil"/>
              <w:left w:val="single" w:sz="8" w:space="0" w:color="auto"/>
              <w:bottom w:val="single" w:sz="8" w:space="0" w:color="auto"/>
              <w:right w:val="single" w:sz="8" w:space="0" w:color="auto"/>
            </w:tcBorders>
            <w:vAlign w:val="center"/>
            <w:hideMark/>
          </w:tcPr>
          <w:p w:rsidR="00AE4C2A" w:rsidRPr="00A228E7" w:rsidRDefault="00AE4C2A" w:rsidP="0036528F">
            <w:pPr>
              <w:rPr>
                <w:rFonts w:ascii="Calibri" w:hAnsi="Calibri"/>
              </w:rPr>
            </w:pPr>
          </w:p>
        </w:tc>
        <w:tc>
          <w:tcPr>
            <w:tcW w:w="337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4C2A" w:rsidRPr="00B052C6" w:rsidRDefault="00AE4C2A" w:rsidP="0036528F">
            <w:pPr>
              <w:jc w:val="center"/>
              <w:rPr>
                <w:b/>
                <w:bCs/>
                <w:sz w:val="20"/>
                <w:szCs w:val="20"/>
              </w:rPr>
            </w:pPr>
            <w:r w:rsidRPr="00A228E7">
              <w:rPr>
                <w:b/>
                <w:bCs/>
                <w:sz w:val="20"/>
                <w:szCs w:val="20"/>
              </w:rPr>
              <w:t>Courses</w:t>
            </w:r>
          </w:p>
        </w:tc>
        <w:tc>
          <w:tcPr>
            <w:tcW w:w="3613" w:type="dxa"/>
            <w:tcBorders>
              <w:top w:val="nil"/>
              <w:left w:val="double" w:sz="4" w:space="0" w:color="auto"/>
              <w:bottom w:val="single" w:sz="8" w:space="0" w:color="auto"/>
              <w:right w:val="double" w:sz="4" w:space="0" w:color="auto"/>
            </w:tcBorders>
            <w:vAlign w:val="center"/>
          </w:tcPr>
          <w:p w:rsidR="00AE4C2A" w:rsidRPr="00A228E7" w:rsidRDefault="00AE4C2A" w:rsidP="003F6BF9">
            <w:pPr>
              <w:spacing w:after="0"/>
              <w:jc w:val="center"/>
              <w:rPr>
                <w:b/>
                <w:bCs/>
                <w:sz w:val="20"/>
                <w:szCs w:val="20"/>
              </w:rPr>
            </w:pPr>
            <w:bookmarkStart w:id="0" w:name="_GoBack"/>
            <w:r>
              <w:rPr>
                <w:b/>
                <w:bCs/>
                <w:sz w:val="20"/>
                <w:szCs w:val="20"/>
              </w:rPr>
              <w:t>Assessments</w:t>
            </w:r>
          </w:p>
          <w:p w:rsidR="00AE4C2A" w:rsidRPr="00A228E7" w:rsidRDefault="003F6BF9" w:rsidP="003F6BF9">
            <w:pPr>
              <w:spacing w:after="0"/>
              <w:jc w:val="center"/>
              <w:rPr>
                <w:b/>
              </w:rPr>
            </w:pPr>
            <w:r w:rsidRPr="00673DFA">
              <w:rPr>
                <w:bCs/>
                <w:i/>
                <w:sz w:val="18"/>
                <w:szCs w:val="20"/>
              </w:rPr>
              <w:t>For example: licensing tests, edTPA, work samples, evaluations, course exams</w:t>
            </w:r>
            <w:bookmarkEnd w:id="0"/>
          </w:p>
        </w:tc>
        <w:tc>
          <w:tcPr>
            <w:tcW w:w="329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4C2A" w:rsidRPr="00A228E7" w:rsidRDefault="00AE4C2A" w:rsidP="0036528F">
            <w:pPr>
              <w:jc w:val="center"/>
              <w:rPr>
                <w:b/>
              </w:rPr>
            </w:pPr>
            <w:r w:rsidRPr="00A228E7">
              <w:rPr>
                <w:b/>
                <w:bCs/>
                <w:sz w:val="20"/>
                <w:szCs w:val="20"/>
              </w:rPr>
              <w:t>Clinical Practices</w:t>
            </w:r>
          </w:p>
        </w:tc>
      </w:tr>
      <w:tr w:rsidR="00AE4C2A" w:rsidTr="00AE4C2A">
        <w:trPr>
          <w:trHeight w:val="102"/>
        </w:trPr>
        <w:tc>
          <w:tcPr>
            <w:tcW w:w="2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4C2A" w:rsidRPr="00C9051B" w:rsidRDefault="00AE4C2A" w:rsidP="004E0020">
            <w:pPr>
              <w:rPr>
                <w:b/>
                <w:sz w:val="18"/>
                <w:szCs w:val="18"/>
              </w:rPr>
            </w:pPr>
            <w:r w:rsidRPr="00C9051B">
              <w:rPr>
                <w:b/>
                <w:bCs/>
                <w:iCs/>
                <w:sz w:val="18"/>
                <w:szCs w:val="18"/>
              </w:rPr>
              <w:t>Music: Program Standards/Subject Test</w:t>
            </w:r>
          </w:p>
          <w:p w:rsidR="00AE4C2A" w:rsidRPr="002731D9" w:rsidRDefault="00AE4C2A" w:rsidP="00E117E2">
            <w:pPr>
              <w:rPr>
                <w:sz w:val="18"/>
                <w:szCs w:val="18"/>
              </w:rPr>
            </w:pPr>
            <w:r w:rsidRPr="002731D9">
              <w:rPr>
                <w:sz w:val="18"/>
                <w:szCs w:val="18"/>
              </w:rPr>
              <w:t>The program requires candidates to complete the Commission-approved test for Music.</w:t>
            </w:r>
          </w:p>
        </w:tc>
        <w:tc>
          <w:tcPr>
            <w:tcW w:w="337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4C2A" w:rsidRPr="004E0020" w:rsidRDefault="00AE4C2A" w:rsidP="004E0020">
            <w:pPr>
              <w:jc w:val="center"/>
              <w:rPr>
                <w:sz w:val="20"/>
              </w:rPr>
            </w:pPr>
            <w:r w:rsidRPr="004E0020">
              <w:rPr>
                <w:color w:val="D0CECE" w:themeColor="background2" w:themeShade="E6"/>
                <w:sz w:val="20"/>
              </w:rPr>
              <w:t>Courses</w:t>
            </w:r>
          </w:p>
        </w:tc>
        <w:tc>
          <w:tcPr>
            <w:tcW w:w="3613" w:type="dxa"/>
            <w:tcBorders>
              <w:top w:val="nil"/>
              <w:left w:val="double" w:sz="4" w:space="0" w:color="auto"/>
              <w:bottom w:val="single" w:sz="8" w:space="0" w:color="auto"/>
              <w:right w:val="double" w:sz="4" w:space="0" w:color="auto"/>
            </w:tcBorders>
            <w:vAlign w:val="center"/>
          </w:tcPr>
          <w:p w:rsidR="00AE4C2A" w:rsidRPr="00AE4C2A" w:rsidRDefault="00AE4C2A" w:rsidP="004E0020">
            <w:pPr>
              <w:jc w:val="center"/>
              <w:rPr>
                <w:sz w:val="16"/>
                <w:szCs w:val="16"/>
              </w:rPr>
            </w:pPr>
            <w:r w:rsidRPr="004E0020">
              <w:rPr>
                <w:color w:val="D0CECE" w:themeColor="background2" w:themeShade="E6"/>
                <w:sz w:val="20"/>
                <w:szCs w:val="16"/>
              </w:rPr>
              <w:t>Assessments</w:t>
            </w:r>
          </w:p>
        </w:tc>
        <w:tc>
          <w:tcPr>
            <w:tcW w:w="329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4C2A" w:rsidRPr="00A228E7" w:rsidRDefault="00AE4C2A" w:rsidP="004E0020">
            <w:pPr>
              <w:jc w:val="center"/>
            </w:pPr>
            <w:r w:rsidRPr="00A228E7">
              <w:rPr>
                <w:sz w:val="16"/>
                <w:szCs w:val="16"/>
              </w:rPr>
              <w:t> </w:t>
            </w:r>
          </w:p>
          <w:p w:rsidR="00AE4C2A" w:rsidRPr="004E0020" w:rsidRDefault="00AE4C2A"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4C2A" w:rsidRPr="00A228E7" w:rsidRDefault="00AE4C2A" w:rsidP="004E0020">
            <w:pPr>
              <w:jc w:val="center"/>
            </w:pPr>
            <w:r w:rsidRPr="00A228E7">
              <w:rPr>
                <w:sz w:val="16"/>
                <w:szCs w:val="16"/>
              </w:rPr>
              <w:t> </w:t>
            </w:r>
          </w:p>
        </w:tc>
      </w:tr>
      <w:tr w:rsidR="00AE4C2A" w:rsidTr="00AE4C2A">
        <w:trPr>
          <w:trHeight w:val="102"/>
        </w:trPr>
        <w:tc>
          <w:tcPr>
            <w:tcW w:w="2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4C2A" w:rsidRPr="00C9051B" w:rsidRDefault="00AE4C2A" w:rsidP="004E0020">
            <w:pPr>
              <w:rPr>
                <w:b/>
                <w:sz w:val="18"/>
                <w:szCs w:val="18"/>
              </w:rPr>
            </w:pPr>
            <w:r w:rsidRPr="00C9051B">
              <w:rPr>
                <w:b/>
                <w:bCs/>
                <w:iCs/>
                <w:sz w:val="18"/>
                <w:szCs w:val="18"/>
              </w:rPr>
              <w:t>Music: Program Standards/Clinical Practices</w:t>
            </w:r>
          </w:p>
          <w:p w:rsidR="00AE4C2A" w:rsidRPr="002731D9" w:rsidRDefault="00AE4C2A" w:rsidP="00E117E2">
            <w:pPr>
              <w:rPr>
                <w:sz w:val="18"/>
                <w:szCs w:val="18"/>
              </w:rPr>
            </w:pPr>
            <w:r w:rsidRPr="002731D9">
              <w:rPr>
                <w:sz w:val="18"/>
                <w:szCs w:val="18"/>
              </w:rPr>
              <w:t>The program requires candidates to complete field experiences that include supervised teaching or internships in Music classrooms.</w:t>
            </w:r>
          </w:p>
        </w:tc>
        <w:tc>
          <w:tcPr>
            <w:tcW w:w="337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4C2A" w:rsidRPr="004E0020" w:rsidRDefault="00AE4C2A" w:rsidP="004E0020">
            <w:pPr>
              <w:jc w:val="center"/>
              <w:rPr>
                <w:sz w:val="20"/>
              </w:rPr>
            </w:pPr>
            <w:r w:rsidRPr="004E0020">
              <w:rPr>
                <w:color w:val="D0CECE" w:themeColor="background2" w:themeShade="E6"/>
                <w:sz w:val="20"/>
              </w:rPr>
              <w:t>Courses</w:t>
            </w:r>
          </w:p>
        </w:tc>
        <w:tc>
          <w:tcPr>
            <w:tcW w:w="3613" w:type="dxa"/>
            <w:tcBorders>
              <w:top w:val="nil"/>
              <w:left w:val="double" w:sz="4" w:space="0" w:color="auto"/>
              <w:bottom w:val="single" w:sz="8" w:space="0" w:color="auto"/>
              <w:right w:val="double" w:sz="4" w:space="0" w:color="auto"/>
            </w:tcBorders>
            <w:vAlign w:val="center"/>
          </w:tcPr>
          <w:p w:rsidR="00AE4C2A" w:rsidRPr="00AE4C2A" w:rsidRDefault="00AE4C2A" w:rsidP="004E0020">
            <w:pPr>
              <w:jc w:val="center"/>
              <w:rPr>
                <w:sz w:val="16"/>
                <w:szCs w:val="16"/>
              </w:rPr>
            </w:pPr>
            <w:r w:rsidRPr="004E0020">
              <w:rPr>
                <w:color w:val="D0CECE" w:themeColor="background2" w:themeShade="E6"/>
                <w:sz w:val="20"/>
                <w:szCs w:val="16"/>
              </w:rPr>
              <w:t>Assessments</w:t>
            </w:r>
          </w:p>
        </w:tc>
        <w:tc>
          <w:tcPr>
            <w:tcW w:w="329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4C2A" w:rsidRDefault="00AE4C2A" w:rsidP="004E0020">
            <w:pPr>
              <w:jc w:val="center"/>
            </w:pPr>
            <w:r w:rsidRPr="005507FC">
              <w:rPr>
                <w:bCs/>
                <w:color w:val="D0CECE" w:themeColor="background2" w:themeShade="E6"/>
                <w:sz w:val="20"/>
                <w:szCs w:val="20"/>
              </w:rPr>
              <w:t>Clinical Practices</w:t>
            </w:r>
          </w:p>
        </w:tc>
      </w:tr>
      <w:tr w:rsidR="004E0020" w:rsidTr="00AE4C2A">
        <w:trPr>
          <w:trHeight w:val="553"/>
        </w:trPr>
        <w:tc>
          <w:tcPr>
            <w:tcW w:w="2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020" w:rsidRPr="00C9051B" w:rsidRDefault="00A577E6" w:rsidP="0036528F">
            <w:pPr>
              <w:rPr>
                <w:b/>
                <w:sz w:val="18"/>
                <w:szCs w:val="18"/>
              </w:rPr>
            </w:pPr>
            <w:r w:rsidRPr="00C9051B">
              <w:rPr>
                <w:b/>
                <w:bCs/>
                <w:iCs/>
                <w:sz w:val="18"/>
                <w:szCs w:val="18"/>
              </w:rPr>
              <w:t>Music</w:t>
            </w:r>
            <w:r w:rsidR="004E0020" w:rsidRPr="00C9051B">
              <w:rPr>
                <w:b/>
                <w:bCs/>
                <w:iCs/>
                <w:sz w:val="18"/>
                <w:szCs w:val="18"/>
              </w:rPr>
              <w:t>: Program Standards/Cultural Competency and Equitable Practice</w:t>
            </w:r>
          </w:p>
          <w:p w:rsidR="004E0020" w:rsidRPr="002731D9" w:rsidRDefault="004E0020" w:rsidP="00BF3E69">
            <w:pPr>
              <w:rPr>
                <w:sz w:val="18"/>
                <w:szCs w:val="18"/>
              </w:rPr>
            </w:pPr>
            <w:r w:rsidRPr="002731D9">
              <w:rPr>
                <w:sz w:val="18"/>
                <w:szCs w:val="18"/>
              </w:rPr>
              <w:t xml:space="preserve">The program integrates principles of cultural competency and equitable practice in each competency standard </w:t>
            </w:r>
            <w:r w:rsidRPr="002731D9">
              <w:rPr>
                <w:sz w:val="18"/>
                <w:szCs w:val="18"/>
              </w:rPr>
              <w:lastRenderedPageBreak/>
              <w:t xml:space="preserve">through the entire </w:t>
            </w:r>
            <w:r w:rsidR="00A577E6" w:rsidRPr="002731D9">
              <w:rPr>
                <w:sz w:val="18"/>
                <w:szCs w:val="18"/>
              </w:rPr>
              <w:t>Music</w:t>
            </w:r>
            <w:r w:rsidR="00BF3E69" w:rsidRPr="002731D9">
              <w:rPr>
                <w:sz w:val="18"/>
                <w:szCs w:val="18"/>
              </w:rPr>
              <w:t xml:space="preserve"> </w:t>
            </w:r>
            <w:r w:rsidRPr="002731D9">
              <w:rPr>
                <w:sz w:val="18"/>
                <w:szCs w:val="18"/>
              </w:rPr>
              <w:t>endorsement program.</w:t>
            </w:r>
          </w:p>
        </w:tc>
        <w:tc>
          <w:tcPr>
            <w:tcW w:w="10279" w:type="dxa"/>
            <w:gridSpan w:val="3"/>
            <w:tcBorders>
              <w:top w:val="nil"/>
              <w:left w:val="nil"/>
              <w:bottom w:val="single" w:sz="8" w:space="0" w:color="auto"/>
              <w:right w:val="single" w:sz="8" w:space="0" w:color="auto"/>
            </w:tcBorders>
          </w:tcPr>
          <w:p w:rsidR="004E0020" w:rsidRPr="00A228E7" w:rsidRDefault="004E0020" w:rsidP="0036528F">
            <w:r w:rsidRPr="00A228E7">
              <w:rPr>
                <w:color w:val="FF0000"/>
                <w:sz w:val="16"/>
                <w:szCs w:val="16"/>
              </w:rPr>
              <w:lastRenderedPageBreak/>
              <w:t>Please provide a narrative section for this item.</w:t>
            </w:r>
          </w:p>
          <w:p w:rsidR="004E0020" w:rsidRPr="00A228E7" w:rsidRDefault="004E0020" w:rsidP="0036528F">
            <w:r w:rsidRPr="00A228E7">
              <w:rPr>
                <w:sz w:val="16"/>
                <w:szCs w:val="16"/>
              </w:rPr>
              <w:t> </w:t>
            </w:r>
          </w:p>
        </w:tc>
      </w:tr>
      <w:tr w:rsidR="00AE4C2A" w:rsidTr="00AE4C2A">
        <w:trPr>
          <w:trHeight w:val="102"/>
        </w:trPr>
        <w:tc>
          <w:tcPr>
            <w:tcW w:w="2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4C2A" w:rsidRPr="002731D9" w:rsidRDefault="00AE4C2A" w:rsidP="002731D9">
            <w:pPr>
              <w:rPr>
                <w:i/>
                <w:color w:val="000000"/>
                <w:sz w:val="18"/>
                <w:szCs w:val="18"/>
              </w:rPr>
            </w:pPr>
            <w:r w:rsidRPr="00C9051B">
              <w:rPr>
                <w:b/>
                <w:bCs/>
                <w:iCs/>
                <w:sz w:val="18"/>
                <w:szCs w:val="18"/>
              </w:rPr>
              <w:lastRenderedPageBreak/>
              <w:t xml:space="preserve">Music: Standard 1: </w:t>
            </w:r>
            <w:r>
              <w:rPr>
                <w:b/>
                <w:color w:val="000000"/>
                <w:sz w:val="18"/>
                <w:szCs w:val="18"/>
              </w:rPr>
              <w:t>Technical Skills</w:t>
            </w:r>
            <w:r w:rsidRPr="00C9051B">
              <w:rPr>
                <w:b/>
                <w:color w:val="000000"/>
                <w:sz w:val="18"/>
                <w:szCs w:val="18"/>
              </w:rPr>
              <w:t xml:space="preserve"> </w:t>
            </w:r>
            <w:r w:rsidRPr="002731D9">
              <w:rPr>
                <w:color w:val="000000"/>
                <w:sz w:val="18"/>
                <w:szCs w:val="18"/>
              </w:rPr>
              <w:t xml:space="preserve">Candidates must demonstrate proficiency in: </w:t>
            </w:r>
          </w:p>
          <w:p w:rsidR="00AE4C2A" w:rsidRPr="002731D9" w:rsidRDefault="00AE4C2A" w:rsidP="002731D9">
            <w:pPr>
              <w:rPr>
                <w:color w:val="000000"/>
                <w:sz w:val="18"/>
                <w:szCs w:val="18"/>
              </w:rPr>
            </w:pPr>
            <w:r w:rsidRPr="002731D9">
              <w:rPr>
                <w:color w:val="000000"/>
                <w:sz w:val="18"/>
                <w:szCs w:val="18"/>
              </w:rPr>
              <w:t xml:space="preserve">At least one major performance area at a level appropriate for the particular music concentration; </w:t>
            </w:r>
          </w:p>
          <w:p w:rsidR="00AE4C2A" w:rsidRPr="002731D9" w:rsidRDefault="00AE4C2A" w:rsidP="002731D9">
            <w:pPr>
              <w:rPr>
                <w:color w:val="000000"/>
                <w:sz w:val="18"/>
                <w:szCs w:val="18"/>
              </w:rPr>
            </w:pPr>
            <w:r w:rsidRPr="002731D9">
              <w:rPr>
                <w:color w:val="000000"/>
                <w:sz w:val="18"/>
                <w:szCs w:val="18"/>
              </w:rPr>
              <w:t xml:space="preserve">Understanding the repertory in their major performance area and the ability to perform from a cross-section of that repertory; </w:t>
            </w:r>
          </w:p>
          <w:p w:rsidR="00AE4C2A" w:rsidRPr="002731D9" w:rsidRDefault="00AE4C2A" w:rsidP="002731D9">
            <w:pPr>
              <w:rPr>
                <w:color w:val="000000"/>
                <w:sz w:val="18"/>
                <w:szCs w:val="18"/>
              </w:rPr>
            </w:pPr>
            <w:r w:rsidRPr="002731D9">
              <w:rPr>
                <w:color w:val="000000"/>
                <w:sz w:val="18"/>
                <w:szCs w:val="18"/>
              </w:rPr>
              <w:t xml:space="preserve">The ability to read at sight with fluency demonstrating both general musicianship and, in the major performance area, a level of skill relevant to professional standards appropriate for the particular music concentration; </w:t>
            </w:r>
          </w:p>
          <w:p w:rsidR="00AE4C2A" w:rsidRPr="002731D9" w:rsidRDefault="00AE4C2A" w:rsidP="002731D9">
            <w:pPr>
              <w:rPr>
                <w:color w:val="000000"/>
                <w:sz w:val="18"/>
                <w:szCs w:val="18"/>
              </w:rPr>
            </w:pPr>
            <w:r w:rsidRPr="002731D9">
              <w:rPr>
                <w:color w:val="000000"/>
                <w:sz w:val="18"/>
                <w:szCs w:val="18"/>
              </w:rPr>
              <w:t xml:space="preserve">Knowledge and skills sufficient to work as a leader and in collaboration on matters of musical interpretation. Rehearsal and conducting skills are required as appropriate to the particular music concentration; </w:t>
            </w:r>
          </w:p>
          <w:p w:rsidR="00AE4C2A" w:rsidRPr="002731D9" w:rsidRDefault="00AE4C2A" w:rsidP="002731D9">
            <w:pPr>
              <w:rPr>
                <w:color w:val="000000"/>
                <w:sz w:val="18"/>
                <w:szCs w:val="18"/>
              </w:rPr>
            </w:pPr>
            <w:r w:rsidRPr="002731D9">
              <w:rPr>
                <w:color w:val="000000"/>
                <w:sz w:val="18"/>
                <w:szCs w:val="18"/>
              </w:rPr>
              <w:t xml:space="preserve">Keyboard competency; and </w:t>
            </w:r>
          </w:p>
          <w:p w:rsidR="00AE4C2A" w:rsidRPr="002731D9" w:rsidRDefault="00AE4C2A" w:rsidP="004E0020">
            <w:pPr>
              <w:rPr>
                <w:color w:val="000000"/>
                <w:sz w:val="18"/>
                <w:szCs w:val="18"/>
              </w:rPr>
            </w:pPr>
            <w:r w:rsidRPr="002731D9">
              <w:rPr>
                <w:color w:val="000000"/>
                <w:sz w:val="18"/>
                <w:szCs w:val="18"/>
              </w:rPr>
              <w:t xml:space="preserve">Participating in ensemble experiences. Ensembles should be varied both in size and nature. </w:t>
            </w:r>
          </w:p>
        </w:tc>
        <w:tc>
          <w:tcPr>
            <w:tcW w:w="337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4C2A" w:rsidRPr="004E0020" w:rsidRDefault="00AE4C2A" w:rsidP="004E0020">
            <w:pPr>
              <w:jc w:val="center"/>
              <w:rPr>
                <w:sz w:val="20"/>
              </w:rPr>
            </w:pPr>
            <w:r w:rsidRPr="004E0020">
              <w:rPr>
                <w:color w:val="D0CECE" w:themeColor="background2" w:themeShade="E6"/>
                <w:sz w:val="20"/>
              </w:rPr>
              <w:t>Courses</w:t>
            </w:r>
          </w:p>
        </w:tc>
        <w:tc>
          <w:tcPr>
            <w:tcW w:w="3613" w:type="dxa"/>
            <w:tcBorders>
              <w:top w:val="nil"/>
              <w:left w:val="double" w:sz="4" w:space="0" w:color="auto"/>
              <w:bottom w:val="single" w:sz="8" w:space="0" w:color="auto"/>
              <w:right w:val="double" w:sz="4" w:space="0" w:color="auto"/>
            </w:tcBorders>
            <w:vAlign w:val="center"/>
          </w:tcPr>
          <w:p w:rsidR="00AE4C2A" w:rsidRPr="00AE4C2A" w:rsidRDefault="00AE4C2A" w:rsidP="004E0020">
            <w:pPr>
              <w:jc w:val="center"/>
              <w:rPr>
                <w:sz w:val="16"/>
                <w:szCs w:val="16"/>
              </w:rPr>
            </w:pPr>
            <w:r w:rsidRPr="004E0020">
              <w:rPr>
                <w:color w:val="D0CECE" w:themeColor="background2" w:themeShade="E6"/>
                <w:sz w:val="20"/>
                <w:szCs w:val="16"/>
              </w:rPr>
              <w:t>Assessments</w:t>
            </w:r>
          </w:p>
        </w:tc>
        <w:tc>
          <w:tcPr>
            <w:tcW w:w="329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4C2A" w:rsidRPr="00A228E7" w:rsidRDefault="00AE4C2A" w:rsidP="004E0020">
            <w:pPr>
              <w:jc w:val="center"/>
            </w:pPr>
            <w:r w:rsidRPr="00A228E7">
              <w:rPr>
                <w:sz w:val="16"/>
                <w:szCs w:val="16"/>
              </w:rPr>
              <w:t> </w:t>
            </w:r>
          </w:p>
          <w:p w:rsidR="00AE4C2A" w:rsidRPr="004E0020" w:rsidRDefault="00AE4C2A" w:rsidP="004E0020">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4C2A" w:rsidRPr="00A228E7" w:rsidRDefault="00AE4C2A" w:rsidP="004E0020">
            <w:pPr>
              <w:jc w:val="center"/>
            </w:pPr>
            <w:r w:rsidRPr="00A228E7">
              <w:rPr>
                <w:sz w:val="16"/>
                <w:szCs w:val="16"/>
              </w:rPr>
              <w:t> </w:t>
            </w:r>
          </w:p>
        </w:tc>
      </w:tr>
      <w:tr w:rsidR="00AE4C2A" w:rsidTr="00AE4C2A">
        <w:trPr>
          <w:trHeight w:val="102"/>
        </w:trPr>
        <w:tc>
          <w:tcPr>
            <w:tcW w:w="2284" w:type="dxa"/>
            <w:tcBorders>
              <w:top w:val="nil"/>
              <w:left w:val="single" w:sz="8" w:space="0" w:color="auto"/>
              <w:bottom w:val="nil"/>
              <w:right w:val="single" w:sz="8" w:space="0" w:color="auto"/>
            </w:tcBorders>
            <w:tcMar>
              <w:top w:w="0" w:type="dxa"/>
              <w:left w:w="108" w:type="dxa"/>
              <w:bottom w:w="0" w:type="dxa"/>
              <w:right w:w="108" w:type="dxa"/>
            </w:tcMar>
            <w:hideMark/>
          </w:tcPr>
          <w:p w:rsidR="00AE4C2A" w:rsidRPr="002731D9" w:rsidRDefault="00AE4C2A" w:rsidP="002731D9">
            <w:pPr>
              <w:rPr>
                <w:rStyle w:val="history"/>
                <w:color w:val="000000"/>
                <w:sz w:val="18"/>
                <w:szCs w:val="18"/>
              </w:rPr>
            </w:pPr>
            <w:r w:rsidRPr="00C9051B">
              <w:rPr>
                <w:b/>
                <w:bCs/>
                <w:iCs/>
                <w:sz w:val="18"/>
                <w:szCs w:val="18"/>
              </w:rPr>
              <w:t>Music: Standard 2: M</w:t>
            </w:r>
            <w:r>
              <w:rPr>
                <w:b/>
                <w:bCs/>
                <w:iCs/>
                <w:sz w:val="18"/>
                <w:szCs w:val="18"/>
              </w:rPr>
              <w:t>usicianship Skills and Analysis</w:t>
            </w:r>
            <w:r w:rsidRPr="00C9051B">
              <w:rPr>
                <w:b/>
                <w:bCs/>
                <w:iCs/>
                <w:sz w:val="18"/>
                <w:szCs w:val="18"/>
              </w:rPr>
              <w:t xml:space="preserve"> </w:t>
            </w:r>
            <w:r w:rsidRPr="002731D9">
              <w:rPr>
                <w:bCs/>
                <w:iCs/>
                <w:sz w:val="18"/>
                <w:szCs w:val="18"/>
              </w:rPr>
              <w:t>Candidate</w:t>
            </w:r>
            <w:r>
              <w:rPr>
                <w:bCs/>
                <w:iCs/>
                <w:sz w:val="18"/>
                <w:szCs w:val="18"/>
              </w:rPr>
              <w:t>s</w:t>
            </w:r>
            <w:r w:rsidRPr="002731D9">
              <w:rPr>
                <w:bCs/>
                <w:iCs/>
                <w:sz w:val="18"/>
                <w:szCs w:val="18"/>
              </w:rPr>
              <w:t xml:space="preserve"> must demonstrate proficiency in:</w:t>
            </w:r>
          </w:p>
          <w:p w:rsidR="00AE4C2A" w:rsidRPr="002731D9" w:rsidRDefault="00AE4C2A" w:rsidP="002731D9">
            <w:pPr>
              <w:rPr>
                <w:sz w:val="18"/>
                <w:szCs w:val="18"/>
              </w:rPr>
            </w:pPr>
            <w:r w:rsidRPr="002731D9">
              <w:rPr>
                <w:sz w:val="18"/>
                <w:szCs w:val="18"/>
              </w:rPr>
              <w:t>Understanding the common elements and organizational patterns of music and their interaction, the ability to employ this understanding in aural, verbal, and visual analyses, and the ability to take aural dictation.</w:t>
            </w:r>
          </w:p>
          <w:p w:rsidR="00AE4C2A" w:rsidRPr="002731D9" w:rsidRDefault="00AE4C2A" w:rsidP="00BF3E69">
            <w:pPr>
              <w:rPr>
                <w:color w:val="000000"/>
                <w:sz w:val="18"/>
                <w:szCs w:val="18"/>
              </w:rPr>
            </w:pPr>
            <w:r w:rsidRPr="002731D9">
              <w:rPr>
                <w:sz w:val="18"/>
                <w:szCs w:val="18"/>
              </w:rPr>
              <w:t>Musical forms, processes, and structures to use this knowledge and skill in compositional, performance, analytical, scholarly, and pedagogical applications according to the requisites of their specializations.</w:t>
            </w:r>
          </w:p>
        </w:tc>
        <w:tc>
          <w:tcPr>
            <w:tcW w:w="3376" w:type="dxa"/>
            <w:tcBorders>
              <w:top w:val="nil"/>
              <w:left w:val="nil"/>
              <w:bottom w:val="nil"/>
              <w:right w:val="double" w:sz="4" w:space="0" w:color="auto"/>
            </w:tcBorders>
            <w:tcMar>
              <w:top w:w="0" w:type="dxa"/>
              <w:left w:w="108" w:type="dxa"/>
              <w:bottom w:w="0" w:type="dxa"/>
              <w:right w:w="108" w:type="dxa"/>
            </w:tcMar>
            <w:vAlign w:val="center"/>
            <w:hideMark/>
          </w:tcPr>
          <w:p w:rsidR="00AE4C2A" w:rsidRPr="004E0020" w:rsidRDefault="00AE4C2A" w:rsidP="004E0020">
            <w:pPr>
              <w:jc w:val="center"/>
              <w:rPr>
                <w:sz w:val="20"/>
              </w:rPr>
            </w:pPr>
            <w:r w:rsidRPr="004E0020">
              <w:rPr>
                <w:color w:val="D0CECE" w:themeColor="background2" w:themeShade="E6"/>
                <w:sz w:val="20"/>
              </w:rPr>
              <w:t>Courses</w:t>
            </w:r>
          </w:p>
        </w:tc>
        <w:tc>
          <w:tcPr>
            <w:tcW w:w="3613" w:type="dxa"/>
            <w:tcBorders>
              <w:top w:val="nil"/>
              <w:left w:val="double" w:sz="4" w:space="0" w:color="auto"/>
              <w:bottom w:val="nil"/>
              <w:right w:val="double" w:sz="4" w:space="0" w:color="auto"/>
            </w:tcBorders>
            <w:vAlign w:val="center"/>
          </w:tcPr>
          <w:p w:rsidR="00AE4C2A" w:rsidRPr="00AE4C2A" w:rsidRDefault="00AE4C2A" w:rsidP="004E0020">
            <w:pPr>
              <w:jc w:val="center"/>
              <w:rPr>
                <w:sz w:val="16"/>
                <w:szCs w:val="16"/>
              </w:rPr>
            </w:pPr>
            <w:r w:rsidRPr="004E0020">
              <w:rPr>
                <w:color w:val="D0CECE" w:themeColor="background2" w:themeShade="E6"/>
                <w:sz w:val="20"/>
                <w:szCs w:val="16"/>
              </w:rPr>
              <w:t>Assessments</w:t>
            </w:r>
          </w:p>
        </w:tc>
        <w:tc>
          <w:tcPr>
            <w:tcW w:w="3290" w:type="dxa"/>
            <w:tcBorders>
              <w:top w:val="nil"/>
              <w:left w:val="double" w:sz="4" w:space="0" w:color="auto"/>
              <w:bottom w:val="nil"/>
              <w:right w:val="single" w:sz="8" w:space="0" w:color="auto"/>
            </w:tcBorders>
            <w:tcMar>
              <w:top w:w="0" w:type="dxa"/>
              <w:left w:w="108" w:type="dxa"/>
              <w:bottom w:w="0" w:type="dxa"/>
              <w:right w:w="108" w:type="dxa"/>
            </w:tcMar>
            <w:vAlign w:val="center"/>
            <w:hideMark/>
          </w:tcPr>
          <w:p w:rsidR="00AE4C2A" w:rsidRDefault="00AE4C2A" w:rsidP="004E0020">
            <w:pPr>
              <w:jc w:val="center"/>
            </w:pPr>
            <w:r w:rsidRPr="005507FC">
              <w:rPr>
                <w:bCs/>
                <w:color w:val="D0CECE" w:themeColor="background2" w:themeShade="E6"/>
                <w:sz w:val="20"/>
                <w:szCs w:val="20"/>
              </w:rPr>
              <w:t>Clinical Practices</w:t>
            </w:r>
          </w:p>
        </w:tc>
      </w:tr>
      <w:tr w:rsidR="00AE4C2A" w:rsidTr="00AE4C2A">
        <w:trPr>
          <w:trHeight w:val="102"/>
        </w:trPr>
        <w:tc>
          <w:tcPr>
            <w:tcW w:w="2284" w:type="dxa"/>
            <w:tcBorders>
              <w:top w:val="nil"/>
              <w:left w:val="single" w:sz="8" w:space="0" w:color="auto"/>
              <w:bottom w:val="nil"/>
              <w:right w:val="single" w:sz="8" w:space="0" w:color="auto"/>
            </w:tcBorders>
            <w:tcMar>
              <w:top w:w="0" w:type="dxa"/>
              <w:left w:w="108" w:type="dxa"/>
              <w:bottom w:w="0" w:type="dxa"/>
              <w:right w:w="108" w:type="dxa"/>
            </w:tcMar>
          </w:tcPr>
          <w:p w:rsidR="00AE4C2A" w:rsidRPr="002731D9" w:rsidRDefault="00AE4C2A" w:rsidP="00AE4C2A">
            <w:pPr>
              <w:rPr>
                <w:bCs/>
                <w:i/>
                <w:iCs/>
                <w:sz w:val="18"/>
                <w:szCs w:val="18"/>
              </w:rPr>
            </w:pPr>
            <w:r>
              <w:rPr>
                <w:b/>
                <w:bCs/>
                <w:iCs/>
                <w:sz w:val="18"/>
                <w:szCs w:val="18"/>
              </w:rPr>
              <w:t>Music: Standard 3</w:t>
            </w:r>
            <w:r w:rsidRPr="00C9051B">
              <w:rPr>
                <w:b/>
                <w:bCs/>
                <w:iCs/>
                <w:sz w:val="18"/>
                <w:szCs w:val="18"/>
              </w:rPr>
              <w:t xml:space="preserve">: </w:t>
            </w:r>
            <w:r w:rsidRPr="00C9051B">
              <w:rPr>
                <w:b/>
                <w:color w:val="000000"/>
                <w:sz w:val="18"/>
                <w:szCs w:val="18"/>
              </w:rPr>
              <w:t xml:space="preserve"> </w:t>
            </w:r>
            <w:r w:rsidRPr="00C9051B">
              <w:rPr>
                <w:rStyle w:val="history"/>
                <w:b/>
                <w:color w:val="000000"/>
                <w:sz w:val="18"/>
                <w:szCs w:val="18"/>
              </w:rPr>
              <w:t>Composition/Improvisation</w:t>
            </w:r>
            <w:r>
              <w:rPr>
                <w:rStyle w:val="history"/>
                <w:b/>
                <w:color w:val="000000"/>
                <w:sz w:val="18"/>
                <w:szCs w:val="18"/>
              </w:rPr>
              <w:t xml:space="preserve"> </w:t>
            </w:r>
            <w:r w:rsidRPr="002731D9">
              <w:rPr>
                <w:rStyle w:val="history"/>
                <w:color w:val="000000"/>
                <w:sz w:val="18"/>
                <w:szCs w:val="18"/>
              </w:rPr>
              <w:t xml:space="preserve">Candidates must demonstrate proficiency in the ability to create original or derivative music. </w:t>
            </w:r>
          </w:p>
        </w:tc>
        <w:tc>
          <w:tcPr>
            <w:tcW w:w="3376" w:type="dxa"/>
            <w:tcBorders>
              <w:top w:val="nil"/>
              <w:left w:val="nil"/>
              <w:bottom w:val="nil"/>
              <w:right w:val="double" w:sz="4" w:space="0" w:color="auto"/>
            </w:tcBorders>
            <w:tcMar>
              <w:top w:w="0" w:type="dxa"/>
              <w:left w:w="108" w:type="dxa"/>
              <w:bottom w:w="0" w:type="dxa"/>
              <w:right w:w="108" w:type="dxa"/>
            </w:tcMar>
            <w:vAlign w:val="center"/>
          </w:tcPr>
          <w:p w:rsidR="00AE4C2A" w:rsidRPr="004E0020" w:rsidRDefault="00AE4C2A" w:rsidP="00AE4C2A">
            <w:pPr>
              <w:jc w:val="center"/>
              <w:rPr>
                <w:sz w:val="20"/>
              </w:rPr>
            </w:pPr>
            <w:r w:rsidRPr="004E0020">
              <w:rPr>
                <w:color w:val="D0CECE" w:themeColor="background2" w:themeShade="E6"/>
                <w:sz w:val="20"/>
              </w:rPr>
              <w:t>Courses</w:t>
            </w:r>
          </w:p>
        </w:tc>
        <w:tc>
          <w:tcPr>
            <w:tcW w:w="3613" w:type="dxa"/>
            <w:tcBorders>
              <w:top w:val="nil"/>
              <w:left w:val="double" w:sz="4" w:space="0" w:color="auto"/>
              <w:bottom w:val="nil"/>
              <w:right w:val="double" w:sz="4" w:space="0" w:color="auto"/>
            </w:tcBorders>
            <w:vAlign w:val="center"/>
          </w:tcPr>
          <w:p w:rsidR="00AE4C2A" w:rsidRPr="00AE4C2A" w:rsidRDefault="00AE4C2A" w:rsidP="00AE4C2A">
            <w:pPr>
              <w:jc w:val="center"/>
              <w:rPr>
                <w:sz w:val="16"/>
                <w:szCs w:val="16"/>
              </w:rPr>
            </w:pPr>
            <w:r w:rsidRPr="004E0020">
              <w:rPr>
                <w:color w:val="D0CECE" w:themeColor="background2" w:themeShade="E6"/>
                <w:sz w:val="20"/>
                <w:szCs w:val="16"/>
              </w:rPr>
              <w:t>Assessments</w:t>
            </w:r>
          </w:p>
        </w:tc>
        <w:tc>
          <w:tcPr>
            <w:tcW w:w="3290" w:type="dxa"/>
            <w:tcBorders>
              <w:top w:val="nil"/>
              <w:left w:val="double" w:sz="4" w:space="0" w:color="auto"/>
              <w:bottom w:val="nil"/>
              <w:right w:val="single" w:sz="8" w:space="0" w:color="auto"/>
            </w:tcBorders>
            <w:tcMar>
              <w:top w:w="0" w:type="dxa"/>
              <w:left w:w="108" w:type="dxa"/>
              <w:bottom w:w="0" w:type="dxa"/>
              <w:right w:w="108" w:type="dxa"/>
            </w:tcMar>
            <w:vAlign w:val="center"/>
          </w:tcPr>
          <w:p w:rsidR="00AE4C2A" w:rsidRDefault="00AE4C2A" w:rsidP="00AE4C2A">
            <w:pPr>
              <w:jc w:val="center"/>
            </w:pPr>
            <w:r w:rsidRPr="005507FC">
              <w:rPr>
                <w:bCs/>
                <w:color w:val="D0CECE" w:themeColor="background2" w:themeShade="E6"/>
                <w:sz w:val="20"/>
                <w:szCs w:val="20"/>
              </w:rPr>
              <w:t>Clinical Practices</w:t>
            </w:r>
          </w:p>
        </w:tc>
      </w:tr>
      <w:tr w:rsidR="00AE4C2A" w:rsidTr="00AE4C2A">
        <w:trPr>
          <w:trHeight w:val="102"/>
        </w:trPr>
        <w:tc>
          <w:tcPr>
            <w:tcW w:w="2284" w:type="dxa"/>
            <w:tcBorders>
              <w:top w:val="nil"/>
              <w:left w:val="single" w:sz="8" w:space="0" w:color="auto"/>
              <w:bottom w:val="nil"/>
              <w:right w:val="single" w:sz="8" w:space="0" w:color="auto"/>
            </w:tcBorders>
            <w:tcMar>
              <w:top w:w="0" w:type="dxa"/>
              <w:left w:w="108" w:type="dxa"/>
              <w:bottom w:w="0" w:type="dxa"/>
              <w:right w:w="108" w:type="dxa"/>
            </w:tcMar>
          </w:tcPr>
          <w:p w:rsidR="00AE4C2A" w:rsidRDefault="00AE4C2A" w:rsidP="00AE4C2A">
            <w:pPr>
              <w:spacing w:after="0"/>
              <w:rPr>
                <w:b/>
                <w:color w:val="000000"/>
                <w:sz w:val="18"/>
                <w:szCs w:val="18"/>
              </w:rPr>
            </w:pPr>
            <w:r>
              <w:rPr>
                <w:b/>
                <w:bCs/>
                <w:iCs/>
                <w:sz w:val="18"/>
                <w:szCs w:val="18"/>
              </w:rPr>
              <w:t>Music: Standard 4</w:t>
            </w:r>
            <w:r w:rsidRPr="00C9051B">
              <w:rPr>
                <w:b/>
                <w:bCs/>
                <w:iCs/>
                <w:sz w:val="18"/>
                <w:szCs w:val="18"/>
              </w:rPr>
              <w:t xml:space="preserve">: </w:t>
            </w:r>
            <w:r>
              <w:rPr>
                <w:b/>
                <w:color w:val="000000"/>
                <w:sz w:val="18"/>
                <w:szCs w:val="18"/>
              </w:rPr>
              <w:t>History and Repertory</w:t>
            </w:r>
          </w:p>
          <w:p w:rsidR="00AE4C2A" w:rsidRPr="002731D9" w:rsidRDefault="00AE4C2A" w:rsidP="00AE4C2A">
            <w:pPr>
              <w:spacing w:after="0"/>
              <w:rPr>
                <w:bCs/>
                <w:i/>
                <w:iCs/>
                <w:sz w:val="18"/>
                <w:szCs w:val="18"/>
              </w:rPr>
            </w:pPr>
            <w:r w:rsidRPr="002731D9">
              <w:rPr>
                <w:color w:val="000000"/>
                <w:sz w:val="18"/>
                <w:szCs w:val="18"/>
              </w:rPr>
              <w:t>Candidates must acquire basic knowledge of music history and repertories through the present time, including study and experience of musical language and achievement in addition to that of the primary culture encompassing the area of specialization.</w:t>
            </w:r>
          </w:p>
        </w:tc>
        <w:tc>
          <w:tcPr>
            <w:tcW w:w="3376" w:type="dxa"/>
            <w:tcBorders>
              <w:top w:val="nil"/>
              <w:left w:val="nil"/>
              <w:bottom w:val="nil"/>
              <w:right w:val="double" w:sz="4" w:space="0" w:color="auto"/>
            </w:tcBorders>
            <w:tcMar>
              <w:top w:w="0" w:type="dxa"/>
              <w:left w:w="108" w:type="dxa"/>
              <w:bottom w:w="0" w:type="dxa"/>
              <w:right w:w="108" w:type="dxa"/>
            </w:tcMar>
            <w:vAlign w:val="center"/>
          </w:tcPr>
          <w:p w:rsidR="00AE4C2A" w:rsidRPr="004E0020" w:rsidRDefault="00AE4C2A" w:rsidP="00AE4C2A">
            <w:pPr>
              <w:jc w:val="center"/>
              <w:rPr>
                <w:sz w:val="20"/>
              </w:rPr>
            </w:pPr>
            <w:r w:rsidRPr="004E0020">
              <w:rPr>
                <w:color w:val="D0CECE" w:themeColor="background2" w:themeShade="E6"/>
                <w:sz w:val="20"/>
              </w:rPr>
              <w:t>Courses</w:t>
            </w:r>
          </w:p>
        </w:tc>
        <w:tc>
          <w:tcPr>
            <w:tcW w:w="3613" w:type="dxa"/>
            <w:tcBorders>
              <w:top w:val="nil"/>
              <w:left w:val="double" w:sz="4" w:space="0" w:color="auto"/>
              <w:bottom w:val="nil"/>
              <w:right w:val="double" w:sz="4" w:space="0" w:color="auto"/>
            </w:tcBorders>
            <w:vAlign w:val="center"/>
          </w:tcPr>
          <w:p w:rsidR="00AE4C2A" w:rsidRPr="00AE4C2A" w:rsidRDefault="00AE4C2A" w:rsidP="00AE4C2A">
            <w:pPr>
              <w:jc w:val="center"/>
              <w:rPr>
                <w:sz w:val="16"/>
                <w:szCs w:val="16"/>
              </w:rPr>
            </w:pPr>
            <w:r w:rsidRPr="004E0020">
              <w:rPr>
                <w:color w:val="D0CECE" w:themeColor="background2" w:themeShade="E6"/>
                <w:sz w:val="20"/>
                <w:szCs w:val="16"/>
              </w:rPr>
              <w:t>Assessments</w:t>
            </w:r>
          </w:p>
        </w:tc>
        <w:tc>
          <w:tcPr>
            <w:tcW w:w="3290" w:type="dxa"/>
            <w:tcBorders>
              <w:top w:val="nil"/>
              <w:left w:val="double" w:sz="4" w:space="0" w:color="auto"/>
              <w:bottom w:val="nil"/>
              <w:right w:val="single" w:sz="8" w:space="0" w:color="auto"/>
            </w:tcBorders>
            <w:tcMar>
              <w:top w:w="0" w:type="dxa"/>
              <w:left w:w="108" w:type="dxa"/>
              <w:bottom w:w="0" w:type="dxa"/>
              <w:right w:w="108" w:type="dxa"/>
            </w:tcMar>
            <w:vAlign w:val="center"/>
          </w:tcPr>
          <w:p w:rsidR="00AE4C2A" w:rsidRDefault="00AE4C2A" w:rsidP="00AE4C2A">
            <w:pPr>
              <w:jc w:val="center"/>
            </w:pPr>
            <w:r w:rsidRPr="005507FC">
              <w:rPr>
                <w:bCs/>
                <w:color w:val="D0CECE" w:themeColor="background2" w:themeShade="E6"/>
                <w:sz w:val="20"/>
                <w:szCs w:val="20"/>
              </w:rPr>
              <w:t>Clinical Practices</w:t>
            </w:r>
          </w:p>
        </w:tc>
      </w:tr>
      <w:tr w:rsidR="00AE4C2A" w:rsidTr="000932BC">
        <w:trPr>
          <w:trHeight w:val="102"/>
        </w:trPr>
        <w:tc>
          <w:tcPr>
            <w:tcW w:w="22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4C2A" w:rsidRDefault="00AE4C2A" w:rsidP="00AE4C2A">
            <w:pPr>
              <w:spacing w:after="0"/>
              <w:rPr>
                <w:bCs/>
                <w:i/>
                <w:iCs/>
                <w:sz w:val="18"/>
                <w:szCs w:val="18"/>
              </w:rPr>
            </w:pPr>
            <w:r>
              <w:rPr>
                <w:b/>
                <w:bCs/>
                <w:iCs/>
                <w:sz w:val="18"/>
                <w:szCs w:val="18"/>
              </w:rPr>
              <w:t>Music: Standard 5</w:t>
            </w:r>
            <w:r w:rsidRPr="00C9051B">
              <w:rPr>
                <w:b/>
                <w:bCs/>
                <w:iCs/>
                <w:sz w:val="18"/>
                <w:szCs w:val="18"/>
              </w:rPr>
              <w:t>:</w:t>
            </w:r>
            <w:r w:rsidRPr="00C9051B">
              <w:rPr>
                <w:rFonts w:ascii="Lato" w:hAnsi="Lato"/>
                <w:b/>
                <w:color w:val="000000"/>
                <w:sz w:val="18"/>
                <w:szCs w:val="18"/>
              </w:rPr>
              <w:t xml:space="preserve"> </w:t>
            </w:r>
            <w:r>
              <w:rPr>
                <w:b/>
                <w:bCs/>
                <w:iCs/>
                <w:sz w:val="18"/>
                <w:szCs w:val="18"/>
              </w:rPr>
              <w:t>Synthesis</w:t>
            </w:r>
            <w:r w:rsidRPr="002731D9">
              <w:rPr>
                <w:bCs/>
                <w:i/>
                <w:iCs/>
                <w:sz w:val="18"/>
                <w:szCs w:val="18"/>
              </w:rPr>
              <w:t xml:space="preserve"> </w:t>
            </w:r>
          </w:p>
          <w:p w:rsidR="00AE4C2A" w:rsidRPr="002731D9" w:rsidRDefault="00AE4C2A" w:rsidP="00AE4C2A">
            <w:pPr>
              <w:spacing w:after="0"/>
              <w:rPr>
                <w:bCs/>
                <w:i/>
                <w:iCs/>
                <w:sz w:val="18"/>
                <w:szCs w:val="18"/>
              </w:rPr>
            </w:pPr>
            <w:r>
              <w:rPr>
                <w:bCs/>
                <w:iCs/>
                <w:sz w:val="18"/>
                <w:szCs w:val="18"/>
              </w:rPr>
              <w:t>Candidates</w:t>
            </w:r>
            <w:r w:rsidRPr="002731D9">
              <w:rPr>
                <w:bCs/>
                <w:iCs/>
                <w:sz w:val="18"/>
                <w:szCs w:val="18"/>
              </w:rPr>
              <w:t xml:space="preserve"> must be able to work on musical problems by combining, as appropriate to the issue, their capabilities in performance; aural, verbal, and visual analysis; composition/improvisation; and history and repertory.</w:t>
            </w:r>
          </w:p>
        </w:tc>
        <w:tc>
          <w:tcPr>
            <w:tcW w:w="3376" w:type="dxa"/>
            <w:tcBorders>
              <w:top w:val="nil"/>
              <w:left w:val="nil"/>
              <w:bottom w:val="nil"/>
              <w:right w:val="double" w:sz="4" w:space="0" w:color="auto"/>
            </w:tcBorders>
            <w:tcMar>
              <w:top w:w="0" w:type="dxa"/>
              <w:left w:w="108" w:type="dxa"/>
              <w:bottom w:w="0" w:type="dxa"/>
              <w:right w:w="108" w:type="dxa"/>
            </w:tcMar>
            <w:vAlign w:val="center"/>
          </w:tcPr>
          <w:p w:rsidR="00AE4C2A" w:rsidRPr="004E0020" w:rsidRDefault="00AE4C2A" w:rsidP="00AE4C2A">
            <w:pPr>
              <w:jc w:val="center"/>
              <w:rPr>
                <w:sz w:val="20"/>
              </w:rPr>
            </w:pPr>
            <w:r w:rsidRPr="004E0020">
              <w:rPr>
                <w:color w:val="D0CECE" w:themeColor="background2" w:themeShade="E6"/>
                <w:sz w:val="20"/>
              </w:rPr>
              <w:t>Courses</w:t>
            </w:r>
          </w:p>
        </w:tc>
        <w:tc>
          <w:tcPr>
            <w:tcW w:w="3613" w:type="dxa"/>
            <w:tcBorders>
              <w:top w:val="nil"/>
              <w:left w:val="double" w:sz="4" w:space="0" w:color="auto"/>
              <w:bottom w:val="nil"/>
              <w:right w:val="double" w:sz="4" w:space="0" w:color="auto"/>
            </w:tcBorders>
            <w:vAlign w:val="center"/>
          </w:tcPr>
          <w:p w:rsidR="00AE4C2A" w:rsidRPr="00AE4C2A" w:rsidRDefault="00AE4C2A" w:rsidP="00AE4C2A">
            <w:pPr>
              <w:jc w:val="center"/>
              <w:rPr>
                <w:sz w:val="16"/>
                <w:szCs w:val="16"/>
              </w:rPr>
            </w:pPr>
            <w:r w:rsidRPr="004E0020">
              <w:rPr>
                <w:color w:val="D0CECE" w:themeColor="background2" w:themeShade="E6"/>
                <w:sz w:val="20"/>
                <w:szCs w:val="16"/>
              </w:rPr>
              <w:t>Assessments</w:t>
            </w:r>
          </w:p>
        </w:tc>
        <w:tc>
          <w:tcPr>
            <w:tcW w:w="3290" w:type="dxa"/>
            <w:tcBorders>
              <w:top w:val="nil"/>
              <w:left w:val="double" w:sz="4" w:space="0" w:color="auto"/>
              <w:bottom w:val="nil"/>
              <w:right w:val="single" w:sz="8" w:space="0" w:color="auto"/>
            </w:tcBorders>
            <w:tcMar>
              <w:top w:w="0" w:type="dxa"/>
              <w:left w:w="108" w:type="dxa"/>
              <w:bottom w:w="0" w:type="dxa"/>
              <w:right w:w="108" w:type="dxa"/>
            </w:tcMar>
            <w:vAlign w:val="center"/>
          </w:tcPr>
          <w:p w:rsidR="00AE4C2A" w:rsidRDefault="00AE4C2A" w:rsidP="00AE4C2A">
            <w:pPr>
              <w:jc w:val="center"/>
            </w:pPr>
            <w:r w:rsidRPr="005507FC">
              <w:rPr>
                <w:bCs/>
                <w:color w:val="D0CECE" w:themeColor="background2" w:themeShade="E6"/>
                <w:sz w:val="20"/>
                <w:szCs w:val="20"/>
              </w:rPr>
              <w:t>Clinical Practices</w:t>
            </w:r>
          </w:p>
        </w:tc>
      </w:tr>
    </w:tbl>
    <w:p w:rsidR="00FF2D7F" w:rsidRDefault="00FF2D7F"/>
    <w:sectPr w:rsidR="00FF2D7F" w:rsidSect="00A228E7">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672" w:rsidRDefault="00C67672" w:rsidP="008F3FEB">
      <w:pPr>
        <w:spacing w:after="0" w:line="240" w:lineRule="auto"/>
      </w:pPr>
      <w:r>
        <w:separator/>
      </w:r>
    </w:p>
  </w:endnote>
  <w:endnote w:type="continuationSeparator" w:id="0">
    <w:p w:rsidR="00C67672" w:rsidRDefault="00C67672" w:rsidP="008F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020" w:rsidRPr="004E0020" w:rsidRDefault="004E0020">
    <w:pPr>
      <w:pStyle w:val="Footer"/>
      <w:rPr>
        <w:sz w:val="18"/>
      </w:rPr>
    </w:pPr>
    <w:r w:rsidRPr="004E0020">
      <w:rPr>
        <w:sz w:val="18"/>
      </w:rPr>
      <w:t>DO: Dykeman</w:t>
    </w:r>
  </w:p>
  <w:p w:rsidR="004E0020" w:rsidRPr="004E0020" w:rsidRDefault="004E0020">
    <w:pPr>
      <w:pStyle w:val="Footer"/>
      <w:rPr>
        <w:sz w:val="18"/>
      </w:rPr>
    </w:pPr>
    <w:r w:rsidRPr="004E0020">
      <w:rPr>
        <w:sz w:val="18"/>
      </w:rPr>
      <w:t>Classification – 1: Published</w:t>
    </w:r>
  </w:p>
  <w:p w:rsidR="00451473" w:rsidRPr="004E0020" w:rsidRDefault="00BF3E69">
    <w:pPr>
      <w:pStyle w:val="Footer"/>
      <w:rPr>
        <w:sz w:val="18"/>
      </w:rPr>
    </w:pPr>
    <w:r>
      <w:rPr>
        <w:sz w:val="18"/>
      </w:rPr>
      <w:t>10/2</w:t>
    </w:r>
    <w:r w:rsidR="004E0020" w:rsidRPr="004E0020">
      <w:rPr>
        <w:sz w:val="18"/>
      </w:rPr>
      <w:t>/17</w:t>
    </w:r>
  </w:p>
  <w:p w:rsidR="004E0020" w:rsidRPr="004E0020" w:rsidRDefault="004E0020">
    <w:pPr>
      <w:pStyle w:val="Footer"/>
      <w:rPr>
        <w:sz w:val="18"/>
      </w:rPr>
    </w:pPr>
    <w:r w:rsidRPr="004E0020">
      <w:rPr>
        <w:sz w:val="18"/>
      </w:rPr>
      <w:t xml:space="preserve">Page </w:t>
    </w:r>
    <w:r w:rsidRPr="004E0020">
      <w:rPr>
        <w:sz w:val="18"/>
      </w:rPr>
      <w:fldChar w:fldCharType="begin"/>
    </w:r>
    <w:r w:rsidRPr="004E0020">
      <w:rPr>
        <w:sz w:val="18"/>
      </w:rPr>
      <w:instrText xml:space="preserve"> PAGE   \* MERGEFORMAT </w:instrText>
    </w:r>
    <w:r w:rsidRPr="004E0020">
      <w:rPr>
        <w:sz w:val="18"/>
      </w:rPr>
      <w:fldChar w:fldCharType="separate"/>
    </w:r>
    <w:r w:rsidR="00C67672">
      <w:rPr>
        <w:noProof/>
        <w:sz w:val="18"/>
      </w:rPr>
      <w:t>1</w:t>
    </w:r>
    <w:r w:rsidRPr="004E0020">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672" w:rsidRDefault="00C67672" w:rsidP="008F3FEB">
      <w:pPr>
        <w:spacing w:after="0" w:line="240" w:lineRule="auto"/>
      </w:pPr>
      <w:r>
        <w:separator/>
      </w:r>
    </w:p>
  </w:footnote>
  <w:footnote w:type="continuationSeparator" w:id="0">
    <w:p w:rsidR="00C67672" w:rsidRDefault="00C67672" w:rsidP="008F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EB" w:rsidRDefault="008F3FEB" w:rsidP="008F3FEB">
    <w:pPr>
      <w:spacing w:after="0"/>
      <w:jc w:val="center"/>
    </w:pPr>
    <w:r>
      <w:rPr>
        <w:b/>
        <w:bCs/>
        <w:sz w:val="28"/>
        <w:szCs w:val="28"/>
      </w:rPr>
      <w:t>Program Alignment to Standards</w:t>
    </w:r>
  </w:p>
  <w:p w:rsidR="008F3FEB" w:rsidRDefault="008F3FEB" w:rsidP="008F3FEB">
    <w:pPr>
      <w:spacing w:after="0"/>
      <w:jc w:val="center"/>
    </w:pPr>
    <w:r>
      <w:rPr>
        <w:b/>
        <w:bCs/>
        <w:sz w:val="28"/>
        <w:szCs w:val="28"/>
      </w:rPr>
      <w:t xml:space="preserve">Sample Table: </w:t>
    </w:r>
    <w:r w:rsidR="00A577E6">
      <w:rPr>
        <w:b/>
        <w:bCs/>
        <w:sz w:val="28"/>
        <w:szCs w:val="28"/>
      </w:rPr>
      <w:t>Music</w:t>
    </w:r>
    <w:r w:rsidR="00E117E2">
      <w:rPr>
        <w:b/>
        <w:bCs/>
        <w:sz w:val="28"/>
        <w:szCs w:val="28"/>
      </w:rPr>
      <w:t xml:space="preserve"> Endorsement</w:t>
    </w:r>
  </w:p>
  <w:p w:rsidR="008F3FEB" w:rsidRDefault="008F3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F666EC"/>
    <w:multiLevelType w:val="multilevel"/>
    <w:tmpl w:val="18A499E0"/>
    <w:styleLink w:val="Style2"/>
    <w:lvl w:ilvl="0">
      <w:start w:val="1"/>
      <w:numFmt w:val="decimal"/>
      <w:lvlText w:val="(%1)"/>
      <w:lvlJc w:val="left"/>
      <w:pPr>
        <w:ind w:left="100" w:hanging="100"/>
      </w:pPr>
      <w:rPr>
        <w:rFonts w:ascii="Calibri" w:eastAsia="Calibri" w:hAnsi="Calibri" w:hint="default"/>
        <w:spacing w:val="-1"/>
        <w:sz w:val="22"/>
        <w:szCs w:val="22"/>
      </w:rPr>
    </w:lvl>
    <w:lvl w:ilvl="1">
      <w:start w:val="1"/>
      <w:numFmt w:val="lowerLetter"/>
      <w:lvlText w:val="(%2)"/>
      <w:lvlJc w:val="left"/>
      <w:pPr>
        <w:ind w:left="390" w:hanging="291"/>
      </w:pPr>
      <w:rPr>
        <w:rFonts w:ascii="Calibri" w:eastAsia="Calibri" w:hAnsi="Calibri" w:hint="default"/>
        <w:spacing w:val="-1"/>
        <w:sz w:val="22"/>
        <w:szCs w:val="22"/>
      </w:rPr>
    </w:lvl>
    <w:lvl w:ilvl="2">
      <w:start w:val="1"/>
      <w:numFmt w:val="upperLetter"/>
      <w:lvlText w:val="(%3)"/>
      <w:lvlJc w:val="left"/>
      <w:pPr>
        <w:ind w:left="100" w:hanging="312"/>
      </w:pPr>
      <w:rPr>
        <w:rFonts w:ascii="Calibri" w:eastAsia="Calibri" w:hAnsi="Calibri" w:hint="default"/>
        <w:spacing w:val="-1"/>
        <w:sz w:val="22"/>
        <w:szCs w:val="22"/>
      </w:rPr>
    </w:lvl>
    <w:lvl w:ilvl="3">
      <w:start w:val="1"/>
      <w:numFmt w:val="bullet"/>
      <w:lvlText w:val="•"/>
      <w:lvlJc w:val="left"/>
      <w:pPr>
        <w:ind w:left="2428" w:hanging="312"/>
      </w:pPr>
      <w:rPr>
        <w:rFonts w:hint="default"/>
      </w:rPr>
    </w:lvl>
    <w:lvl w:ilvl="4">
      <w:start w:val="1"/>
      <w:numFmt w:val="bullet"/>
      <w:lvlText w:val="•"/>
      <w:lvlJc w:val="left"/>
      <w:pPr>
        <w:ind w:left="3447" w:hanging="312"/>
      </w:pPr>
      <w:rPr>
        <w:rFonts w:hint="default"/>
      </w:rPr>
    </w:lvl>
    <w:lvl w:ilvl="5">
      <w:start w:val="1"/>
      <w:numFmt w:val="bullet"/>
      <w:lvlText w:val="•"/>
      <w:lvlJc w:val="left"/>
      <w:pPr>
        <w:ind w:left="4465" w:hanging="312"/>
      </w:pPr>
      <w:rPr>
        <w:rFonts w:hint="default"/>
      </w:rPr>
    </w:lvl>
    <w:lvl w:ilvl="6">
      <w:start w:val="1"/>
      <w:numFmt w:val="bullet"/>
      <w:lvlText w:val="•"/>
      <w:lvlJc w:val="left"/>
      <w:pPr>
        <w:ind w:left="5484" w:hanging="312"/>
      </w:pPr>
      <w:rPr>
        <w:rFonts w:hint="default"/>
      </w:rPr>
    </w:lvl>
    <w:lvl w:ilvl="7">
      <w:start w:val="1"/>
      <w:numFmt w:val="bullet"/>
      <w:lvlText w:val="•"/>
      <w:lvlJc w:val="left"/>
      <w:pPr>
        <w:ind w:left="6503" w:hanging="312"/>
      </w:pPr>
      <w:rPr>
        <w:rFonts w:hint="default"/>
      </w:rPr>
    </w:lvl>
    <w:lvl w:ilvl="8">
      <w:start w:val="1"/>
      <w:numFmt w:val="bullet"/>
      <w:lvlText w:val="•"/>
      <w:lvlJc w:val="left"/>
      <w:pPr>
        <w:ind w:left="7522" w:hanging="3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DD"/>
    <w:rsid w:val="00023410"/>
    <w:rsid w:val="000524DD"/>
    <w:rsid w:val="000A68F0"/>
    <w:rsid w:val="000C606A"/>
    <w:rsid w:val="000F0AD9"/>
    <w:rsid w:val="00150AD1"/>
    <w:rsid w:val="0016351C"/>
    <w:rsid w:val="001834B8"/>
    <w:rsid w:val="00192327"/>
    <w:rsid w:val="001A5497"/>
    <w:rsid w:val="001B6441"/>
    <w:rsid w:val="001B761C"/>
    <w:rsid w:val="001D109C"/>
    <w:rsid w:val="001E1F79"/>
    <w:rsid w:val="00242805"/>
    <w:rsid w:val="00271A8F"/>
    <w:rsid w:val="002731D9"/>
    <w:rsid w:val="00276884"/>
    <w:rsid w:val="003102D4"/>
    <w:rsid w:val="003212C1"/>
    <w:rsid w:val="00331C48"/>
    <w:rsid w:val="00357E27"/>
    <w:rsid w:val="0036528F"/>
    <w:rsid w:val="00365DF6"/>
    <w:rsid w:val="0036646E"/>
    <w:rsid w:val="003F6BF9"/>
    <w:rsid w:val="003F6C42"/>
    <w:rsid w:val="00451473"/>
    <w:rsid w:val="00452C7F"/>
    <w:rsid w:val="004E0020"/>
    <w:rsid w:val="004F6BDA"/>
    <w:rsid w:val="0050469F"/>
    <w:rsid w:val="005235F8"/>
    <w:rsid w:val="00526B25"/>
    <w:rsid w:val="00527451"/>
    <w:rsid w:val="005B17E0"/>
    <w:rsid w:val="005B1D82"/>
    <w:rsid w:val="005C5B6B"/>
    <w:rsid w:val="005D086B"/>
    <w:rsid w:val="005E4018"/>
    <w:rsid w:val="00615AB2"/>
    <w:rsid w:val="0063211A"/>
    <w:rsid w:val="00644961"/>
    <w:rsid w:val="00651658"/>
    <w:rsid w:val="00656300"/>
    <w:rsid w:val="00667D49"/>
    <w:rsid w:val="007216B5"/>
    <w:rsid w:val="00766FCB"/>
    <w:rsid w:val="00796433"/>
    <w:rsid w:val="007C75D9"/>
    <w:rsid w:val="007D5F88"/>
    <w:rsid w:val="007F7A87"/>
    <w:rsid w:val="00805783"/>
    <w:rsid w:val="00822D8F"/>
    <w:rsid w:val="00837006"/>
    <w:rsid w:val="00850D82"/>
    <w:rsid w:val="00851FD4"/>
    <w:rsid w:val="00893717"/>
    <w:rsid w:val="008C194A"/>
    <w:rsid w:val="008C570C"/>
    <w:rsid w:val="008F3FEB"/>
    <w:rsid w:val="00957526"/>
    <w:rsid w:val="009647AE"/>
    <w:rsid w:val="00965539"/>
    <w:rsid w:val="009655C7"/>
    <w:rsid w:val="00970C2C"/>
    <w:rsid w:val="00993815"/>
    <w:rsid w:val="00A228E7"/>
    <w:rsid w:val="00A56B95"/>
    <w:rsid w:val="00A577E6"/>
    <w:rsid w:val="00A62AB0"/>
    <w:rsid w:val="00A63CF5"/>
    <w:rsid w:val="00A771A4"/>
    <w:rsid w:val="00A90638"/>
    <w:rsid w:val="00A94902"/>
    <w:rsid w:val="00AE073E"/>
    <w:rsid w:val="00AE4C2A"/>
    <w:rsid w:val="00B052C6"/>
    <w:rsid w:val="00B12DAA"/>
    <w:rsid w:val="00B64EA0"/>
    <w:rsid w:val="00BC08A0"/>
    <w:rsid w:val="00BE5D43"/>
    <w:rsid w:val="00BF3E69"/>
    <w:rsid w:val="00C67672"/>
    <w:rsid w:val="00C8212B"/>
    <w:rsid w:val="00C9051B"/>
    <w:rsid w:val="00C91956"/>
    <w:rsid w:val="00CB2A60"/>
    <w:rsid w:val="00CC66A1"/>
    <w:rsid w:val="00D16F8F"/>
    <w:rsid w:val="00D351C0"/>
    <w:rsid w:val="00D4012A"/>
    <w:rsid w:val="00D61794"/>
    <w:rsid w:val="00D62391"/>
    <w:rsid w:val="00DC6EFA"/>
    <w:rsid w:val="00DE58C5"/>
    <w:rsid w:val="00DF7AE1"/>
    <w:rsid w:val="00E00D9C"/>
    <w:rsid w:val="00E117E2"/>
    <w:rsid w:val="00E1663A"/>
    <w:rsid w:val="00E631B2"/>
    <w:rsid w:val="00E826D9"/>
    <w:rsid w:val="00EB0D03"/>
    <w:rsid w:val="00F1662C"/>
    <w:rsid w:val="00F23635"/>
    <w:rsid w:val="00F50321"/>
    <w:rsid w:val="00F77B70"/>
    <w:rsid w:val="00FB0FCB"/>
    <w:rsid w:val="00FC5874"/>
    <w:rsid w:val="00FF08A5"/>
    <w:rsid w:val="00FF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9C35AE-20BA-421F-BEED-13FFE11B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C91956"/>
    <w:pPr>
      <w:numPr>
        <w:numId w:val="1"/>
      </w:numPr>
    </w:pPr>
  </w:style>
  <w:style w:type="character" w:customStyle="1" w:styleId="history">
    <w:name w:val="history"/>
    <w:basedOn w:val="DefaultParagraphFont"/>
    <w:rsid w:val="000524DD"/>
  </w:style>
  <w:style w:type="paragraph" w:styleId="Header">
    <w:name w:val="header"/>
    <w:basedOn w:val="Normal"/>
    <w:link w:val="HeaderChar"/>
    <w:uiPriority w:val="99"/>
    <w:unhideWhenUsed/>
    <w:rsid w:val="008F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FEB"/>
  </w:style>
  <w:style w:type="paragraph" w:styleId="Footer">
    <w:name w:val="footer"/>
    <w:basedOn w:val="Normal"/>
    <w:link w:val="FooterChar"/>
    <w:uiPriority w:val="99"/>
    <w:unhideWhenUsed/>
    <w:rsid w:val="008F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FEB"/>
  </w:style>
  <w:style w:type="paragraph" w:styleId="NormalWeb">
    <w:name w:val="Normal (Web)"/>
    <w:basedOn w:val="Normal"/>
    <w:uiPriority w:val="99"/>
    <w:semiHidden/>
    <w:unhideWhenUsed/>
    <w:rsid w:val="00BF3E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633122">
      <w:bodyDiv w:val="1"/>
      <w:marLeft w:val="0"/>
      <w:marRight w:val="0"/>
      <w:marTop w:val="0"/>
      <w:marBottom w:val="0"/>
      <w:divBdr>
        <w:top w:val="none" w:sz="0" w:space="0" w:color="auto"/>
        <w:left w:val="none" w:sz="0" w:space="0" w:color="auto"/>
        <w:bottom w:val="none" w:sz="0" w:space="0" w:color="auto"/>
        <w:right w:val="none" w:sz="0" w:space="0" w:color="auto"/>
      </w:divBdr>
    </w:div>
    <w:div w:id="730926265">
      <w:bodyDiv w:val="1"/>
      <w:marLeft w:val="0"/>
      <w:marRight w:val="0"/>
      <w:marTop w:val="0"/>
      <w:marBottom w:val="0"/>
      <w:divBdr>
        <w:top w:val="none" w:sz="0" w:space="0" w:color="auto"/>
        <w:left w:val="none" w:sz="0" w:space="0" w:color="auto"/>
        <w:bottom w:val="none" w:sz="0" w:space="0" w:color="auto"/>
        <w:right w:val="none" w:sz="0" w:space="0" w:color="auto"/>
      </w:divBdr>
    </w:div>
    <w:div w:id="794760754">
      <w:bodyDiv w:val="1"/>
      <w:marLeft w:val="0"/>
      <w:marRight w:val="0"/>
      <w:marTop w:val="0"/>
      <w:marBottom w:val="0"/>
      <w:divBdr>
        <w:top w:val="none" w:sz="0" w:space="0" w:color="auto"/>
        <w:left w:val="none" w:sz="0" w:space="0" w:color="auto"/>
        <w:bottom w:val="none" w:sz="0" w:space="0" w:color="auto"/>
        <w:right w:val="none" w:sz="0" w:space="0" w:color="auto"/>
      </w:divBdr>
      <w:divsChild>
        <w:div w:id="1161195008">
          <w:marLeft w:val="0"/>
          <w:marRight w:val="0"/>
          <w:marTop w:val="0"/>
          <w:marBottom w:val="0"/>
          <w:divBdr>
            <w:top w:val="none" w:sz="0" w:space="0" w:color="auto"/>
            <w:left w:val="none" w:sz="0" w:space="0" w:color="auto"/>
            <w:bottom w:val="none" w:sz="0" w:space="0" w:color="auto"/>
            <w:right w:val="none" w:sz="0" w:space="0" w:color="auto"/>
          </w:divBdr>
          <w:divsChild>
            <w:div w:id="1174151072">
              <w:marLeft w:val="0"/>
              <w:marRight w:val="0"/>
              <w:marTop w:val="0"/>
              <w:marBottom w:val="0"/>
              <w:divBdr>
                <w:top w:val="none" w:sz="0" w:space="0" w:color="auto"/>
                <w:left w:val="none" w:sz="0" w:space="0" w:color="auto"/>
                <w:bottom w:val="none" w:sz="0" w:space="0" w:color="auto"/>
                <w:right w:val="none" w:sz="0" w:space="0" w:color="auto"/>
              </w:divBdr>
              <w:divsChild>
                <w:div w:id="3233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9466">
      <w:bodyDiv w:val="1"/>
      <w:marLeft w:val="0"/>
      <w:marRight w:val="0"/>
      <w:marTop w:val="0"/>
      <w:marBottom w:val="0"/>
      <w:divBdr>
        <w:top w:val="none" w:sz="0" w:space="0" w:color="auto"/>
        <w:left w:val="none" w:sz="0" w:space="0" w:color="auto"/>
        <w:bottom w:val="none" w:sz="0" w:space="0" w:color="auto"/>
        <w:right w:val="none" w:sz="0" w:space="0" w:color="auto"/>
      </w:divBdr>
      <w:divsChild>
        <w:div w:id="1955558303">
          <w:marLeft w:val="0"/>
          <w:marRight w:val="0"/>
          <w:marTop w:val="0"/>
          <w:marBottom w:val="0"/>
          <w:divBdr>
            <w:top w:val="none" w:sz="0" w:space="0" w:color="auto"/>
            <w:left w:val="none" w:sz="0" w:space="0" w:color="auto"/>
            <w:bottom w:val="none" w:sz="0" w:space="0" w:color="auto"/>
            <w:right w:val="none" w:sz="0" w:space="0" w:color="auto"/>
          </w:divBdr>
          <w:divsChild>
            <w:div w:id="1523737056">
              <w:marLeft w:val="0"/>
              <w:marRight w:val="0"/>
              <w:marTop w:val="0"/>
              <w:marBottom w:val="0"/>
              <w:divBdr>
                <w:top w:val="none" w:sz="0" w:space="0" w:color="auto"/>
                <w:left w:val="none" w:sz="0" w:space="0" w:color="auto"/>
                <w:bottom w:val="none" w:sz="0" w:space="0" w:color="auto"/>
                <w:right w:val="none" w:sz="0" w:space="0" w:color="auto"/>
              </w:divBdr>
              <w:divsChild>
                <w:div w:id="7703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6705">
      <w:bodyDiv w:val="1"/>
      <w:marLeft w:val="0"/>
      <w:marRight w:val="0"/>
      <w:marTop w:val="0"/>
      <w:marBottom w:val="0"/>
      <w:divBdr>
        <w:top w:val="none" w:sz="0" w:space="0" w:color="auto"/>
        <w:left w:val="none" w:sz="0" w:space="0" w:color="auto"/>
        <w:bottom w:val="none" w:sz="0" w:space="0" w:color="auto"/>
        <w:right w:val="none" w:sz="0" w:space="0" w:color="auto"/>
      </w:divBdr>
      <w:divsChild>
        <w:div w:id="396405">
          <w:marLeft w:val="0"/>
          <w:marRight w:val="0"/>
          <w:marTop w:val="0"/>
          <w:marBottom w:val="0"/>
          <w:divBdr>
            <w:top w:val="none" w:sz="0" w:space="0" w:color="auto"/>
            <w:left w:val="none" w:sz="0" w:space="0" w:color="auto"/>
            <w:bottom w:val="none" w:sz="0" w:space="0" w:color="auto"/>
            <w:right w:val="none" w:sz="0" w:space="0" w:color="auto"/>
          </w:divBdr>
          <w:divsChild>
            <w:div w:id="1489634387">
              <w:marLeft w:val="0"/>
              <w:marRight w:val="0"/>
              <w:marTop w:val="0"/>
              <w:marBottom w:val="0"/>
              <w:divBdr>
                <w:top w:val="none" w:sz="0" w:space="0" w:color="auto"/>
                <w:left w:val="none" w:sz="0" w:space="0" w:color="auto"/>
                <w:bottom w:val="none" w:sz="0" w:space="0" w:color="auto"/>
                <w:right w:val="none" w:sz="0" w:space="0" w:color="auto"/>
              </w:divBdr>
              <w:divsChild>
                <w:div w:id="6680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0AB890-187C-4FBC-B05C-39A6EFCF9F3D}"/>
</file>

<file path=customXml/itemProps2.xml><?xml version="1.0" encoding="utf-8"?>
<ds:datastoreItem xmlns:ds="http://schemas.openxmlformats.org/officeDocument/2006/customXml" ds:itemID="{C778AD21-608D-4B90-A158-C1787F26CB02}"/>
</file>

<file path=customXml/itemProps3.xml><?xml version="1.0" encoding="utf-8"?>
<ds:datastoreItem xmlns:ds="http://schemas.openxmlformats.org/officeDocument/2006/customXml" ds:itemID="{1FAF0924-0058-4083-9389-B4D6F8E96243}"/>
</file>

<file path=customXml/itemProps4.xml><?xml version="1.0" encoding="utf-8"?>
<ds:datastoreItem xmlns:ds="http://schemas.openxmlformats.org/officeDocument/2006/customXml" ds:itemID="{C28CF41B-9B42-4598-8499-0EBDE11B630D}"/>
</file>

<file path=docProps/app.xml><?xml version="1.0" encoding="utf-8"?>
<Properties xmlns="http://schemas.openxmlformats.org/officeDocument/2006/extended-properties" xmlns:vt="http://schemas.openxmlformats.org/officeDocument/2006/docPropsVTypes">
  <Template>Normal.dotm</Template>
  <TotalTime>36</TotalTime>
  <Pages>4</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DYKEMAN Tamara * TSPC</cp:lastModifiedBy>
  <cp:revision>7</cp:revision>
  <dcterms:created xsi:type="dcterms:W3CDTF">2017-10-02T16:08:00Z</dcterms:created>
  <dcterms:modified xsi:type="dcterms:W3CDTF">2018-02-02T18:21:00Z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