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B550" w14:textId="77777777" w:rsidR="00FF1788" w:rsidRPr="00FF1788" w:rsidRDefault="00411289" w:rsidP="00B40847">
      <w:pPr>
        <w:spacing w:after="0" w:line="240" w:lineRule="auto"/>
        <w:rPr>
          <w:b/>
          <w:sz w:val="24"/>
          <w:szCs w:val="24"/>
        </w:rPr>
      </w:pPr>
      <w:r w:rsidRPr="00FF1788">
        <w:rPr>
          <w:b/>
          <w:noProof/>
          <w:sz w:val="24"/>
          <w:szCs w:val="24"/>
          <w:highlight w:val="yellow"/>
        </w:rPr>
        <w:drawing>
          <wp:anchor distT="0" distB="0" distL="114300" distR="114300" simplePos="0" relativeHeight="251658240" behindDoc="0" locked="0" layoutInCell="1" allowOverlap="1" wp14:anchorId="3C06144F" wp14:editId="0C1987EB">
            <wp:simplePos x="0" y="0"/>
            <wp:positionH relativeFrom="margin">
              <wp:posOffset>-7178</wp:posOffset>
            </wp:positionH>
            <wp:positionV relativeFrom="margin">
              <wp:posOffset>5715</wp:posOffset>
            </wp:positionV>
            <wp:extent cx="1005205" cy="72834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5205" cy="728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D7CA51" w14:textId="521C8E9B" w:rsidR="003A3877" w:rsidRPr="00411289" w:rsidRDefault="004F731B" w:rsidP="00B40847">
      <w:pPr>
        <w:spacing w:after="0" w:line="240" w:lineRule="auto"/>
        <w:rPr>
          <w:b/>
          <w:sz w:val="40"/>
          <w:szCs w:val="40"/>
        </w:rPr>
      </w:pPr>
      <w:r w:rsidRPr="00411289">
        <w:rPr>
          <w:b/>
          <w:sz w:val="40"/>
          <w:szCs w:val="40"/>
        </w:rPr>
        <w:t>State-Specific Unit-Level</w:t>
      </w:r>
      <w:r w:rsidR="00FB20FD" w:rsidRPr="00411289">
        <w:rPr>
          <w:b/>
          <w:sz w:val="40"/>
          <w:szCs w:val="40"/>
        </w:rPr>
        <w:t xml:space="preserve"> </w:t>
      </w:r>
      <w:r w:rsidRPr="00411289">
        <w:rPr>
          <w:b/>
          <w:sz w:val="40"/>
          <w:szCs w:val="40"/>
        </w:rPr>
        <w:t>Standards</w:t>
      </w:r>
      <w:r w:rsidR="002931E3">
        <w:rPr>
          <w:b/>
          <w:sz w:val="40"/>
          <w:szCs w:val="40"/>
        </w:rPr>
        <w:t xml:space="preserve"> Report</w:t>
      </w:r>
    </w:p>
    <w:p w14:paraId="76795F30" w14:textId="77777777" w:rsidR="00122398" w:rsidRPr="00FB20FD" w:rsidRDefault="00122398" w:rsidP="00B40847">
      <w:pPr>
        <w:spacing w:after="0" w:line="240" w:lineRule="auto"/>
        <w:rPr>
          <w:b/>
          <w:sz w:val="10"/>
        </w:rPr>
      </w:pPr>
    </w:p>
    <w:p w14:paraId="2945A582" w14:textId="77777777" w:rsidR="00122398" w:rsidRDefault="00122398" w:rsidP="00122398">
      <w:pPr>
        <w:spacing w:after="0" w:line="240" w:lineRule="auto"/>
      </w:pPr>
    </w:p>
    <w:tbl>
      <w:tblPr>
        <w:tblStyle w:val="TableGrid"/>
        <w:tblW w:w="9270" w:type="dxa"/>
        <w:tblInd w:w="85" w:type="dxa"/>
        <w:tblLook w:val="04A0" w:firstRow="1" w:lastRow="0" w:firstColumn="1" w:lastColumn="0" w:noHBand="0" w:noVBand="1"/>
      </w:tblPr>
      <w:tblGrid>
        <w:gridCol w:w="9270"/>
      </w:tblGrid>
      <w:tr w:rsidR="001F241F" w14:paraId="6FFD0C78" w14:textId="77777777" w:rsidTr="0046765C">
        <w:tc>
          <w:tcPr>
            <w:tcW w:w="9270" w:type="dxa"/>
          </w:tcPr>
          <w:p w14:paraId="6FEB2372" w14:textId="77777777" w:rsidR="003A3877" w:rsidRPr="00FB20FD" w:rsidRDefault="003A3877" w:rsidP="00FF1788">
            <w:pPr>
              <w:spacing w:after="120"/>
            </w:pPr>
            <w:r>
              <w:rPr>
                <w:b/>
              </w:rPr>
              <w:t xml:space="preserve">EPP Name: </w:t>
            </w:r>
          </w:p>
          <w:p w14:paraId="2ABBC799" w14:textId="77777777" w:rsidR="001F241F" w:rsidRPr="00FB20FD" w:rsidRDefault="001F241F" w:rsidP="00FF1788">
            <w:pPr>
              <w:spacing w:after="120"/>
              <w:rPr>
                <w:b/>
              </w:rPr>
            </w:pPr>
            <w:r w:rsidRPr="001F241F">
              <w:rPr>
                <w:b/>
              </w:rPr>
              <w:t>Date Submitted:</w:t>
            </w:r>
            <w:r w:rsidRPr="001F241F">
              <w:t xml:space="preserve"> </w:t>
            </w:r>
          </w:p>
          <w:p w14:paraId="00E503BD" w14:textId="77777777" w:rsidR="00B22E02" w:rsidRPr="00FB20FD" w:rsidRDefault="007F7248" w:rsidP="00B22E02">
            <w:pPr>
              <w:rPr>
                <w:b/>
              </w:rPr>
            </w:pPr>
            <w:r>
              <w:rPr>
                <w:b/>
              </w:rPr>
              <w:t>DEAN INFORMATION</w:t>
            </w:r>
            <w:r w:rsidRPr="001F241F">
              <w:rPr>
                <w:b/>
              </w:rPr>
              <w:t>:</w:t>
            </w:r>
            <w:r>
              <w:t xml:space="preserve"> </w:t>
            </w:r>
          </w:p>
          <w:p w14:paraId="6CCD2440" w14:textId="6DC1D7BE" w:rsidR="001F241F" w:rsidRPr="00FB20FD" w:rsidRDefault="00411289" w:rsidP="00411289">
            <w:pPr>
              <w:tabs>
                <w:tab w:val="left" w:pos="258"/>
              </w:tabs>
              <w:rPr>
                <w:b/>
              </w:rPr>
            </w:pPr>
            <w:r>
              <w:rPr>
                <w:b/>
              </w:rPr>
              <w:tab/>
            </w:r>
            <w:r w:rsidR="00B22E02">
              <w:rPr>
                <w:b/>
              </w:rPr>
              <w:t>Name</w:t>
            </w:r>
            <w:r w:rsidR="001F241F" w:rsidRPr="001F241F">
              <w:rPr>
                <w:b/>
              </w:rPr>
              <w:t>:</w:t>
            </w:r>
            <w:r w:rsidR="001F241F">
              <w:t xml:space="preserve"> </w:t>
            </w:r>
          </w:p>
          <w:p w14:paraId="14F4AD1B" w14:textId="12856A3B" w:rsidR="00B22E02" w:rsidRPr="00FB20FD" w:rsidRDefault="00411289" w:rsidP="00411289">
            <w:pPr>
              <w:tabs>
                <w:tab w:val="left" w:pos="258"/>
              </w:tabs>
              <w:rPr>
                <w:b/>
              </w:rPr>
            </w:pPr>
            <w:r>
              <w:rPr>
                <w:b/>
              </w:rPr>
              <w:tab/>
            </w:r>
            <w:r w:rsidR="00B22E02">
              <w:rPr>
                <w:b/>
              </w:rPr>
              <w:t>Phone:</w:t>
            </w:r>
            <w:r w:rsidR="00B22E02" w:rsidRPr="00411289">
              <w:rPr>
                <w:b/>
              </w:rPr>
              <w:t xml:space="preserve"> </w:t>
            </w:r>
          </w:p>
          <w:p w14:paraId="09A19B96" w14:textId="439842CB" w:rsidR="00B22E02" w:rsidRPr="00FB20FD" w:rsidRDefault="00411289" w:rsidP="00FF1788">
            <w:pPr>
              <w:tabs>
                <w:tab w:val="left" w:pos="258"/>
              </w:tabs>
              <w:spacing w:after="120"/>
              <w:rPr>
                <w:b/>
              </w:rPr>
            </w:pPr>
            <w:r w:rsidRPr="00411289">
              <w:rPr>
                <w:b/>
              </w:rPr>
              <w:tab/>
            </w:r>
            <w:r w:rsidR="00B22E02">
              <w:rPr>
                <w:b/>
              </w:rPr>
              <w:t>Email:</w:t>
            </w:r>
            <w:r w:rsidR="00B22E02" w:rsidRPr="00411289">
              <w:rPr>
                <w:b/>
              </w:rPr>
              <w:t xml:space="preserve"> </w:t>
            </w:r>
          </w:p>
          <w:p w14:paraId="17DA7481" w14:textId="77777777" w:rsidR="00B22E02" w:rsidRPr="00FB20FD" w:rsidRDefault="007F7248" w:rsidP="00B22E02">
            <w:r>
              <w:rPr>
                <w:b/>
              </w:rPr>
              <w:t>PREPARER INFORMATION</w:t>
            </w:r>
            <w:r w:rsidRPr="001F241F">
              <w:rPr>
                <w:b/>
              </w:rPr>
              <w:t>:</w:t>
            </w:r>
            <w:r>
              <w:t xml:space="preserve"> </w:t>
            </w:r>
          </w:p>
          <w:p w14:paraId="32B43661" w14:textId="1D9623BB" w:rsidR="00B22E02" w:rsidRPr="00411289" w:rsidRDefault="00411289" w:rsidP="00411289">
            <w:pPr>
              <w:tabs>
                <w:tab w:val="left" w:pos="258"/>
              </w:tabs>
              <w:rPr>
                <w:b/>
              </w:rPr>
            </w:pPr>
            <w:r>
              <w:rPr>
                <w:b/>
              </w:rPr>
              <w:tab/>
            </w:r>
            <w:r w:rsidR="00B22E02">
              <w:rPr>
                <w:b/>
              </w:rPr>
              <w:t>Name</w:t>
            </w:r>
            <w:r w:rsidR="00B22E02" w:rsidRPr="001F241F">
              <w:rPr>
                <w:b/>
              </w:rPr>
              <w:t>:</w:t>
            </w:r>
            <w:r w:rsidR="00B22E02" w:rsidRPr="00411289">
              <w:rPr>
                <w:b/>
              </w:rPr>
              <w:t xml:space="preserve"> </w:t>
            </w:r>
          </w:p>
          <w:p w14:paraId="469705F3" w14:textId="7EF397E7" w:rsidR="00B22E02" w:rsidRPr="00411289" w:rsidRDefault="00411289" w:rsidP="00411289">
            <w:pPr>
              <w:tabs>
                <w:tab w:val="left" w:pos="258"/>
              </w:tabs>
              <w:rPr>
                <w:b/>
              </w:rPr>
            </w:pPr>
            <w:r>
              <w:rPr>
                <w:b/>
              </w:rPr>
              <w:tab/>
            </w:r>
            <w:r w:rsidR="00B22E02">
              <w:rPr>
                <w:b/>
              </w:rPr>
              <w:t>Phone:</w:t>
            </w:r>
            <w:r w:rsidR="00B22E02" w:rsidRPr="00411289">
              <w:rPr>
                <w:b/>
              </w:rPr>
              <w:t xml:space="preserve"> </w:t>
            </w:r>
          </w:p>
          <w:p w14:paraId="2ACC0588" w14:textId="38637976" w:rsidR="001F241F" w:rsidRPr="00B22E02" w:rsidRDefault="00411289" w:rsidP="00411289">
            <w:pPr>
              <w:tabs>
                <w:tab w:val="left" w:pos="258"/>
              </w:tabs>
            </w:pPr>
            <w:r w:rsidRPr="00411289">
              <w:rPr>
                <w:b/>
              </w:rPr>
              <w:tab/>
            </w:r>
            <w:r w:rsidR="00B22E02">
              <w:rPr>
                <w:b/>
              </w:rPr>
              <w:t>Email:</w:t>
            </w:r>
            <w:r w:rsidR="00B22E02">
              <w:t xml:space="preserve"> </w:t>
            </w:r>
          </w:p>
        </w:tc>
      </w:tr>
    </w:tbl>
    <w:p w14:paraId="58E3291F" w14:textId="77777777" w:rsidR="002931E3" w:rsidRDefault="002931E3" w:rsidP="00105D89">
      <w:pPr>
        <w:spacing w:before="100" w:after="0" w:line="240" w:lineRule="auto"/>
        <w:jc w:val="center"/>
        <w:rPr>
          <w:b/>
          <w:bCs/>
          <w:sz w:val="28"/>
          <w:szCs w:val="28"/>
        </w:rPr>
      </w:pPr>
    </w:p>
    <w:p w14:paraId="3A82D2CB" w14:textId="26E922A7" w:rsidR="0046765C" w:rsidRPr="00105D89" w:rsidRDefault="0046765C" w:rsidP="00105D89">
      <w:pPr>
        <w:spacing w:before="100" w:after="0" w:line="240" w:lineRule="auto"/>
        <w:jc w:val="center"/>
        <w:rPr>
          <w:b/>
          <w:sz w:val="28"/>
        </w:rPr>
      </w:pPr>
      <w:r w:rsidRPr="67DE2176">
        <w:rPr>
          <w:b/>
          <w:bCs/>
          <w:sz w:val="28"/>
          <w:szCs w:val="28"/>
        </w:rPr>
        <w:t>General Guidance for EPP Reporting on State Specific Standards</w:t>
      </w:r>
    </w:p>
    <w:p w14:paraId="498E677D" w14:textId="2977D5A0" w:rsidR="00494AAA" w:rsidRPr="00105D89" w:rsidRDefault="00494AAA" w:rsidP="67DE2176">
      <w:pPr>
        <w:pStyle w:val="NormalWeb"/>
        <w:rPr>
          <w:rFonts w:asciiTheme="minorHAnsi" w:hAnsiTheme="minorHAnsi" w:cstheme="minorBidi"/>
        </w:rPr>
      </w:pPr>
      <w:r w:rsidRPr="67DE2176">
        <w:rPr>
          <w:rFonts w:asciiTheme="minorHAnsi" w:hAnsiTheme="minorHAnsi" w:cstheme="minorBidi"/>
        </w:rPr>
        <w:t xml:space="preserve">Strong Educator Preparation Providers (EPPs) in Oregon design programs </w:t>
      </w:r>
      <w:r w:rsidR="22827C66" w:rsidRPr="67DE2176">
        <w:rPr>
          <w:rFonts w:asciiTheme="minorHAnsi" w:hAnsiTheme="minorHAnsi" w:cstheme="minorBidi"/>
        </w:rPr>
        <w:t xml:space="preserve">as a unit </w:t>
      </w:r>
      <w:r w:rsidRPr="67DE2176">
        <w:rPr>
          <w:rFonts w:asciiTheme="minorHAnsi" w:hAnsiTheme="minorHAnsi" w:cstheme="minorBidi"/>
        </w:rPr>
        <w:t>that demonstrate continuous improvement through the intentional integration of key state standards. These include culturally sustaining practices, support for English Language Learners (ELL), social and emotional learning (SEL), and meaningful partnerships.</w:t>
      </w:r>
    </w:p>
    <w:p w14:paraId="6D3E0FB3" w14:textId="172FDE6A" w:rsidR="00494AAA" w:rsidRPr="00105D89" w:rsidRDefault="00494AAA" w:rsidP="67DE2176">
      <w:pPr>
        <w:pStyle w:val="NormalWeb"/>
        <w:rPr>
          <w:rFonts w:asciiTheme="minorHAnsi" w:hAnsiTheme="minorHAnsi" w:cstheme="minorBidi"/>
        </w:rPr>
      </w:pPr>
      <w:r w:rsidRPr="67DE2176">
        <w:rPr>
          <w:rFonts w:asciiTheme="minorHAnsi" w:hAnsiTheme="minorHAnsi" w:cstheme="minorBidi"/>
        </w:rPr>
        <w:t xml:space="preserve">Develop a series of narratives explaining how your EPP addresses each of these standards across its programs. </w:t>
      </w:r>
      <w:r w:rsidR="4F33DA6A" w:rsidRPr="67DE2176">
        <w:rPr>
          <w:rFonts w:ascii="Aptos" w:eastAsia="Aptos" w:hAnsi="Aptos" w:cs="Aptos"/>
          <w:color w:val="000000" w:themeColor="text1"/>
        </w:rPr>
        <w:t>Effective</w:t>
      </w:r>
      <w:r w:rsidR="2622F4C2" w:rsidRPr="67DE2176">
        <w:rPr>
          <w:rFonts w:ascii="Aptos" w:eastAsia="Aptos" w:hAnsi="Aptos" w:cs="Aptos"/>
          <w:color w:val="000000" w:themeColor="text1"/>
        </w:rPr>
        <w:t xml:space="preserve"> units do not see these standards as discrete components, but rather as interconnected elements embedded across the candidate experience. </w:t>
      </w:r>
      <w:r w:rsidRPr="67DE2176">
        <w:rPr>
          <w:rFonts w:asciiTheme="minorHAnsi" w:hAnsiTheme="minorHAnsi" w:cstheme="minorBidi"/>
        </w:rPr>
        <w:t xml:space="preserve">Your analysis should include specific examples that demonstrate strong integration, as well as areas where further growth is needed. </w:t>
      </w:r>
      <w:r w:rsidR="39C177D2" w:rsidRPr="67DE2176">
        <w:rPr>
          <w:rFonts w:asciiTheme="minorHAnsi" w:hAnsiTheme="minorHAnsi" w:cstheme="minorBidi"/>
        </w:rPr>
        <w:t xml:space="preserve">The document linked </w:t>
      </w:r>
      <w:hyperlink r:id="rId9" w:history="1">
        <w:r w:rsidR="39C177D2" w:rsidRPr="00DE6B8A">
          <w:rPr>
            <w:rStyle w:val="Hyperlink"/>
            <w:rFonts w:asciiTheme="minorHAnsi" w:hAnsiTheme="minorHAnsi" w:cstheme="minorBidi"/>
          </w:rPr>
          <w:t>here</w:t>
        </w:r>
      </w:hyperlink>
      <w:r w:rsidR="39C177D2" w:rsidRPr="67DE2176">
        <w:rPr>
          <w:rFonts w:asciiTheme="minorHAnsi" w:hAnsiTheme="minorHAnsi" w:cstheme="minorBidi"/>
        </w:rPr>
        <w:t xml:space="preserve"> may help you visualize the integration of these standards across your unit. </w:t>
      </w:r>
    </w:p>
    <w:p w14:paraId="77250916" w14:textId="52D41F6E" w:rsidR="00494AAA" w:rsidRPr="00105D89" w:rsidRDefault="00494AAA" w:rsidP="67DE2176">
      <w:pPr>
        <w:pStyle w:val="NormalWeb"/>
        <w:rPr>
          <w:rFonts w:asciiTheme="minorHAnsi" w:hAnsiTheme="minorHAnsi" w:cstheme="minorBidi"/>
        </w:rPr>
      </w:pPr>
      <w:r w:rsidRPr="67DE2176">
        <w:rPr>
          <w:rFonts w:asciiTheme="minorHAnsi" w:hAnsiTheme="minorHAnsi" w:cstheme="minorBidi"/>
        </w:rPr>
        <w:t>Evidence may include, but is not limited to, co-designed clinical practice opportunities with K–12 partners; coursework that provides intentional opportunities for candidates to learn and apply culturally responsive teaching; strategies that address the needs of multilingual learners; and practices that support the whole child through SEL.</w:t>
      </w:r>
    </w:p>
    <w:p w14:paraId="62DA99A9" w14:textId="7DC19250" w:rsidR="00494AAA" w:rsidRPr="00105D89" w:rsidRDefault="00494AAA" w:rsidP="67DE2176">
      <w:pPr>
        <w:spacing w:before="100" w:after="0" w:line="240" w:lineRule="auto"/>
        <w:rPr>
          <w:sz w:val="24"/>
          <w:szCs w:val="24"/>
        </w:rPr>
      </w:pPr>
      <w:r w:rsidRPr="67DE2176">
        <w:rPr>
          <w:sz w:val="24"/>
          <w:szCs w:val="24"/>
        </w:rPr>
        <w:t xml:space="preserve">TSPC </w:t>
      </w:r>
      <w:r w:rsidR="00105D89" w:rsidRPr="67DE2176">
        <w:rPr>
          <w:sz w:val="24"/>
          <w:szCs w:val="24"/>
        </w:rPr>
        <w:t>highlights</w:t>
      </w:r>
      <w:r w:rsidRPr="67DE2176">
        <w:rPr>
          <w:sz w:val="24"/>
          <w:szCs w:val="24"/>
        </w:rPr>
        <w:t xml:space="preserve"> the importance of </w:t>
      </w:r>
      <w:r w:rsidR="773AC5FA" w:rsidRPr="67DE2176">
        <w:rPr>
          <w:sz w:val="24"/>
          <w:szCs w:val="24"/>
        </w:rPr>
        <w:t xml:space="preserve">genuine </w:t>
      </w:r>
      <w:r w:rsidRPr="67DE2176">
        <w:rPr>
          <w:sz w:val="24"/>
          <w:szCs w:val="24"/>
        </w:rPr>
        <w:t>collaboration both within the EPP (across program leadership and faculty) and with external K–12 partners as a key component of an effective educator preparation unit in Oregon.</w:t>
      </w:r>
      <w:r w:rsidR="00105D89" w:rsidRPr="67DE2176">
        <w:rPr>
          <w:sz w:val="24"/>
          <w:szCs w:val="24"/>
        </w:rPr>
        <w:t xml:space="preserve"> </w:t>
      </w:r>
    </w:p>
    <w:p w14:paraId="0227D4D4" w14:textId="2801ECFF" w:rsidR="00494A84" w:rsidRPr="00105D89" w:rsidRDefault="00494AAA" w:rsidP="67DE2176">
      <w:pPr>
        <w:pStyle w:val="NormalWeb"/>
        <w:rPr>
          <w:rFonts w:asciiTheme="minorHAnsi" w:hAnsiTheme="minorHAnsi" w:cstheme="minorBidi"/>
        </w:rPr>
      </w:pPr>
      <w:r w:rsidRPr="67DE2176">
        <w:rPr>
          <w:rFonts w:asciiTheme="minorHAnsi" w:hAnsiTheme="minorHAnsi" w:cstheme="minorBidi"/>
        </w:rPr>
        <w:t xml:space="preserve">Conclude with a </w:t>
      </w:r>
      <w:r w:rsidR="0065316E" w:rsidRPr="67DE2176">
        <w:rPr>
          <w:rFonts w:asciiTheme="minorHAnsi" w:hAnsiTheme="minorHAnsi" w:cstheme="minorBidi"/>
        </w:rPr>
        <w:t>narrative</w:t>
      </w:r>
      <w:r w:rsidRPr="67DE2176">
        <w:rPr>
          <w:rFonts w:asciiTheme="minorHAnsi" w:hAnsiTheme="minorHAnsi" w:cstheme="minorBidi"/>
        </w:rPr>
        <w:t xml:space="preserve"> that explains how your </w:t>
      </w:r>
      <w:r w:rsidR="338F0C8C" w:rsidRPr="67DE2176">
        <w:rPr>
          <w:rFonts w:asciiTheme="minorHAnsi" w:hAnsiTheme="minorHAnsi" w:cstheme="minorBidi"/>
        </w:rPr>
        <w:t xml:space="preserve">unit </w:t>
      </w:r>
      <w:r w:rsidRPr="67DE2176">
        <w:rPr>
          <w:rFonts w:asciiTheme="minorHAnsi" w:hAnsiTheme="minorHAnsi" w:cstheme="minorBidi"/>
        </w:rPr>
        <w:t>will use this analysis to support continuous improvement and strengthen alignment with Oregon’s state standards moving forward.</w:t>
      </w:r>
    </w:p>
    <w:p w14:paraId="239D8050" w14:textId="77777777" w:rsidR="002931E3" w:rsidRDefault="002931E3">
      <w:pPr>
        <w:rPr>
          <w:b/>
          <w:sz w:val="28"/>
        </w:rPr>
      </w:pPr>
      <w:r>
        <w:rPr>
          <w:b/>
          <w:sz w:val="28"/>
        </w:rPr>
        <w:br w:type="page"/>
      </w:r>
    </w:p>
    <w:p w14:paraId="59D43E2B" w14:textId="1DAD7CE8" w:rsidR="0085724D" w:rsidRPr="00B40847" w:rsidRDefault="0085724D" w:rsidP="00FB20FD">
      <w:pPr>
        <w:spacing w:before="100" w:after="0" w:line="240" w:lineRule="auto"/>
        <w:jc w:val="center"/>
        <w:rPr>
          <w:b/>
          <w:sz w:val="28"/>
        </w:rPr>
      </w:pPr>
      <w:r>
        <w:rPr>
          <w:b/>
          <w:sz w:val="28"/>
        </w:rPr>
        <w:lastRenderedPageBreak/>
        <w:t>State Standards Evidence</w:t>
      </w:r>
    </w:p>
    <w:p w14:paraId="75B75048" w14:textId="77777777" w:rsidR="0046765C" w:rsidRDefault="0046765C" w:rsidP="0085724D">
      <w:pPr>
        <w:spacing w:after="0" w:line="240" w:lineRule="auto"/>
      </w:pPr>
    </w:p>
    <w:p w14:paraId="4D84814F" w14:textId="3C259044" w:rsidR="0085724D" w:rsidRPr="0074562B" w:rsidRDefault="0074562B" w:rsidP="0085724D">
      <w:pPr>
        <w:spacing w:after="0" w:line="240" w:lineRule="auto"/>
      </w:pPr>
      <w:r w:rsidRPr="0074562B">
        <w:rPr>
          <w:b/>
        </w:rPr>
        <w:t xml:space="preserve">1. Oregon state standard: </w:t>
      </w:r>
      <w:hyperlink r:id="rId10" w:history="1">
        <w:r w:rsidRPr="0074562B">
          <w:rPr>
            <w:rStyle w:val="Hyperlink"/>
            <w:b/>
          </w:rPr>
          <w:t>OAR 584-410-0070</w:t>
        </w:r>
      </w:hyperlink>
      <w:r w:rsidRPr="0074562B">
        <w:rPr>
          <w:b/>
        </w:rPr>
        <w:t xml:space="preserve"> – Cultural</w:t>
      </w:r>
      <w:r w:rsidR="00411289">
        <w:rPr>
          <w:b/>
        </w:rPr>
        <w:t>ly Sustaining Practices to Promote Equity:</w:t>
      </w:r>
    </w:p>
    <w:p w14:paraId="6F619720" w14:textId="5B831A88" w:rsidR="0074562B" w:rsidRDefault="0074562B" w:rsidP="0074562B">
      <w:pPr>
        <w:spacing w:after="0" w:line="240" w:lineRule="auto"/>
      </w:pPr>
      <w:r>
        <w:t>a. Summarize the evidence (through comparison, benchmarking, trend interpretation, etc.) that makes the case that the standard is met.</w:t>
      </w:r>
      <w:r w:rsidR="47F356D3">
        <w:t xml:space="preserve"> </w:t>
      </w:r>
    </w:p>
    <w:tbl>
      <w:tblPr>
        <w:tblStyle w:val="TableGrid"/>
        <w:tblW w:w="0" w:type="auto"/>
        <w:tblLook w:val="04A0" w:firstRow="1" w:lastRow="0" w:firstColumn="1" w:lastColumn="0" w:noHBand="0" w:noVBand="1"/>
      </w:tblPr>
      <w:tblGrid>
        <w:gridCol w:w="9350"/>
      </w:tblGrid>
      <w:tr w:rsidR="0074562B" w14:paraId="3E168261" w14:textId="77777777" w:rsidTr="00437790">
        <w:tc>
          <w:tcPr>
            <w:tcW w:w="9350" w:type="dxa"/>
          </w:tcPr>
          <w:p w14:paraId="0DEFA841" w14:textId="77777777" w:rsidR="0074562B" w:rsidRDefault="0074562B" w:rsidP="00644EC0">
            <w:r>
              <w:t xml:space="preserve">Provide </w:t>
            </w:r>
            <w:r w:rsidR="00FB20FD">
              <w:t xml:space="preserve">EPP </w:t>
            </w:r>
            <w:r w:rsidR="00644EC0">
              <w:t>analysis here</w:t>
            </w:r>
            <w:r>
              <w:t>.</w:t>
            </w:r>
          </w:p>
        </w:tc>
      </w:tr>
    </w:tbl>
    <w:p w14:paraId="0094A8FF" w14:textId="77777777" w:rsidR="0074562B" w:rsidRDefault="0074562B" w:rsidP="0085724D">
      <w:pPr>
        <w:spacing w:after="0" w:line="240" w:lineRule="auto"/>
      </w:pPr>
    </w:p>
    <w:p w14:paraId="6223E55F" w14:textId="293748C9" w:rsidR="0074562B" w:rsidRDefault="0074562B" w:rsidP="0085724D">
      <w:pPr>
        <w:spacing w:after="0" w:line="240" w:lineRule="auto"/>
      </w:pPr>
      <w:r>
        <w:t xml:space="preserve">b. </w:t>
      </w:r>
      <w:r w:rsidR="00644EC0">
        <w:t>Provide l</w:t>
      </w:r>
      <w:r>
        <w:t>ink</w:t>
      </w:r>
      <w:r w:rsidR="00644EC0">
        <w:t>(s)</w:t>
      </w:r>
      <w:r>
        <w:t xml:space="preserve"> or attach </w:t>
      </w:r>
      <w:r w:rsidR="0AAD29E9">
        <w:t>evidence/artifacts</w:t>
      </w:r>
      <w:r>
        <w:t xml:space="preserve"> that support the </w:t>
      </w:r>
      <w:r w:rsidR="3218072C">
        <w:t xml:space="preserve">analysis </w:t>
      </w:r>
      <w:r>
        <w:t>provided above.</w:t>
      </w:r>
      <w:r w:rsidR="4255FB09">
        <w:t xml:space="preserve"> </w:t>
      </w:r>
    </w:p>
    <w:tbl>
      <w:tblPr>
        <w:tblStyle w:val="TableGrid"/>
        <w:tblW w:w="0" w:type="auto"/>
        <w:tblLook w:val="04A0" w:firstRow="1" w:lastRow="0" w:firstColumn="1" w:lastColumn="0" w:noHBand="0" w:noVBand="1"/>
      </w:tblPr>
      <w:tblGrid>
        <w:gridCol w:w="9350"/>
      </w:tblGrid>
      <w:tr w:rsidR="0085724D" w14:paraId="67ADC8B1" w14:textId="77777777" w:rsidTr="00011AFA">
        <w:tc>
          <w:tcPr>
            <w:tcW w:w="9350" w:type="dxa"/>
          </w:tcPr>
          <w:p w14:paraId="16236A32" w14:textId="77777777" w:rsidR="0085724D" w:rsidRDefault="0074562B" w:rsidP="003A3877">
            <w:r>
              <w:t>Provide EPP evidence here.</w:t>
            </w:r>
          </w:p>
        </w:tc>
      </w:tr>
    </w:tbl>
    <w:p w14:paraId="10F927EA" w14:textId="77777777" w:rsidR="0085724D" w:rsidRDefault="0085724D" w:rsidP="0085724D">
      <w:pPr>
        <w:spacing w:after="0" w:line="240" w:lineRule="auto"/>
      </w:pPr>
    </w:p>
    <w:p w14:paraId="43F597B7" w14:textId="2D7E5B7E" w:rsidR="00411289" w:rsidRPr="0074562B" w:rsidRDefault="00411289" w:rsidP="00411289">
      <w:pPr>
        <w:spacing w:after="0" w:line="240" w:lineRule="auto"/>
      </w:pPr>
      <w:r>
        <w:rPr>
          <w:b/>
        </w:rPr>
        <w:t>2</w:t>
      </w:r>
      <w:r w:rsidRPr="0074562B">
        <w:rPr>
          <w:b/>
        </w:rPr>
        <w:t xml:space="preserve">. Oregon state standard: </w:t>
      </w:r>
      <w:hyperlink r:id="rId11" w:history="1">
        <w:r>
          <w:rPr>
            <w:rStyle w:val="Hyperlink"/>
            <w:b/>
          </w:rPr>
          <w:t>OAR 584-410-0075</w:t>
        </w:r>
      </w:hyperlink>
      <w:r w:rsidRPr="0074562B">
        <w:rPr>
          <w:b/>
        </w:rPr>
        <w:t xml:space="preserve"> – </w:t>
      </w:r>
      <w:r>
        <w:rPr>
          <w:b/>
        </w:rPr>
        <w:t>Social and Emotional Development to Promote Equity</w:t>
      </w:r>
      <w:r w:rsidRPr="0074562B">
        <w:rPr>
          <w:b/>
        </w:rPr>
        <w:t>:</w:t>
      </w:r>
    </w:p>
    <w:p w14:paraId="3FCA1F72" w14:textId="77777777" w:rsidR="00411289" w:rsidRDefault="00411289" w:rsidP="00411289">
      <w:pPr>
        <w:spacing w:after="0" w:line="240" w:lineRule="auto"/>
      </w:pPr>
      <w:r>
        <w:t>a. Summarize the evidence (through comparison, benchmarking, trend interpretation, etc.) that makes the case that the standard is met.</w:t>
      </w:r>
    </w:p>
    <w:tbl>
      <w:tblPr>
        <w:tblStyle w:val="TableGrid"/>
        <w:tblW w:w="0" w:type="auto"/>
        <w:tblLook w:val="04A0" w:firstRow="1" w:lastRow="0" w:firstColumn="1" w:lastColumn="0" w:noHBand="0" w:noVBand="1"/>
      </w:tblPr>
      <w:tblGrid>
        <w:gridCol w:w="9350"/>
      </w:tblGrid>
      <w:tr w:rsidR="00411289" w14:paraId="576FE8FD" w14:textId="77777777" w:rsidTr="00437790">
        <w:tc>
          <w:tcPr>
            <w:tcW w:w="9350" w:type="dxa"/>
          </w:tcPr>
          <w:p w14:paraId="48253BB2" w14:textId="77777777" w:rsidR="00411289" w:rsidRDefault="00411289" w:rsidP="00437790">
            <w:r>
              <w:t>Provide EPP analysis here.</w:t>
            </w:r>
          </w:p>
        </w:tc>
      </w:tr>
    </w:tbl>
    <w:p w14:paraId="7B4A1D21" w14:textId="77777777" w:rsidR="00411289" w:rsidRDefault="00411289" w:rsidP="00411289">
      <w:pPr>
        <w:spacing w:after="0" w:line="240" w:lineRule="auto"/>
      </w:pPr>
    </w:p>
    <w:p w14:paraId="654C786B" w14:textId="524CFB73" w:rsidR="00411289" w:rsidRDefault="00411289" w:rsidP="67DE2176">
      <w:pPr>
        <w:spacing w:after="0" w:line="240" w:lineRule="auto"/>
        <w:rPr>
          <w:highlight w:val="yellow"/>
        </w:rPr>
      </w:pPr>
      <w:r>
        <w:t>b. Provide link(s) or attach evidence /</w:t>
      </w:r>
      <w:r w:rsidR="016D0E8B">
        <w:t>artifacts</w:t>
      </w:r>
      <w:r>
        <w:t xml:space="preserve"> that support the </w:t>
      </w:r>
      <w:r w:rsidR="1228D2EA">
        <w:t xml:space="preserve">analysis </w:t>
      </w:r>
      <w:r>
        <w:t>provided above.</w:t>
      </w:r>
      <w:r w:rsidR="310355AF">
        <w:t xml:space="preserve"> </w:t>
      </w:r>
    </w:p>
    <w:tbl>
      <w:tblPr>
        <w:tblStyle w:val="TableGrid"/>
        <w:tblW w:w="0" w:type="auto"/>
        <w:tblLook w:val="04A0" w:firstRow="1" w:lastRow="0" w:firstColumn="1" w:lastColumn="0" w:noHBand="0" w:noVBand="1"/>
      </w:tblPr>
      <w:tblGrid>
        <w:gridCol w:w="9350"/>
      </w:tblGrid>
      <w:tr w:rsidR="00411289" w14:paraId="443BE522" w14:textId="77777777" w:rsidTr="00437790">
        <w:tc>
          <w:tcPr>
            <w:tcW w:w="9350" w:type="dxa"/>
          </w:tcPr>
          <w:p w14:paraId="41B47D68" w14:textId="77777777" w:rsidR="00411289" w:rsidRDefault="00411289" w:rsidP="00437790">
            <w:r>
              <w:t>Provide EPP evidence here.</w:t>
            </w:r>
          </w:p>
        </w:tc>
      </w:tr>
    </w:tbl>
    <w:p w14:paraId="1E4B25CB" w14:textId="77777777" w:rsidR="00411289" w:rsidRDefault="00411289" w:rsidP="00644EC0">
      <w:pPr>
        <w:spacing w:after="0" w:line="240" w:lineRule="auto"/>
        <w:rPr>
          <w:b/>
        </w:rPr>
      </w:pPr>
    </w:p>
    <w:p w14:paraId="417CE7EB" w14:textId="7FD860BB" w:rsidR="00644EC0" w:rsidRPr="0074562B" w:rsidRDefault="00411289" w:rsidP="00644EC0">
      <w:pPr>
        <w:spacing w:after="0" w:line="240" w:lineRule="auto"/>
      </w:pPr>
      <w:r>
        <w:rPr>
          <w:b/>
        </w:rPr>
        <w:t>3</w:t>
      </w:r>
      <w:r w:rsidR="00644EC0" w:rsidRPr="0074562B">
        <w:rPr>
          <w:b/>
        </w:rPr>
        <w:t xml:space="preserve">. Oregon state standard: </w:t>
      </w:r>
      <w:hyperlink r:id="rId12" w:history="1">
        <w:r w:rsidR="00644EC0" w:rsidRPr="00644EC0">
          <w:rPr>
            <w:rStyle w:val="Hyperlink"/>
            <w:b/>
          </w:rPr>
          <w:t>OAR 584-410-0080</w:t>
        </w:r>
      </w:hyperlink>
      <w:r w:rsidR="00644EC0" w:rsidRPr="0074562B">
        <w:rPr>
          <w:b/>
        </w:rPr>
        <w:t xml:space="preserve"> – </w:t>
      </w:r>
      <w:r w:rsidR="00644EC0">
        <w:rPr>
          <w:b/>
        </w:rPr>
        <w:t>English Language Learners (ELL)</w:t>
      </w:r>
      <w:r w:rsidR="00644EC0" w:rsidRPr="0074562B">
        <w:rPr>
          <w:b/>
        </w:rPr>
        <w:t>:</w:t>
      </w:r>
    </w:p>
    <w:p w14:paraId="6FD9E6C7" w14:textId="77777777" w:rsidR="00644EC0" w:rsidRDefault="00644EC0" w:rsidP="00644EC0">
      <w:pPr>
        <w:spacing w:after="0" w:line="240" w:lineRule="auto"/>
      </w:pPr>
      <w:r>
        <w:t>a. Summarize the evidence (through comparison, benchmarking, trend interpretation, etc.) that makes the case that the standard is met.</w:t>
      </w:r>
    </w:p>
    <w:tbl>
      <w:tblPr>
        <w:tblStyle w:val="TableGrid"/>
        <w:tblW w:w="0" w:type="auto"/>
        <w:tblLook w:val="04A0" w:firstRow="1" w:lastRow="0" w:firstColumn="1" w:lastColumn="0" w:noHBand="0" w:noVBand="1"/>
      </w:tblPr>
      <w:tblGrid>
        <w:gridCol w:w="9350"/>
      </w:tblGrid>
      <w:tr w:rsidR="00644EC0" w14:paraId="1ECF248C" w14:textId="77777777" w:rsidTr="00437790">
        <w:tc>
          <w:tcPr>
            <w:tcW w:w="9350" w:type="dxa"/>
          </w:tcPr>
          <w:p w14:paraId="15775A47" w14:textId="77777777" w:rsidR="00644EC0" w:rsidRDefault="00644EC0" w:rsidP="00437790">
            <w:r>
              <w:t xml:space="preserve">Provide </w:t>
            </w:r>
            <w:r w:rsidR="00FB20FD">
              <w:t xml:space="preserve">EPP </w:t>
            </w:r>
            <w:r>
              <w:t>analysis here.</w:t>
            </w:r>
          </w:p>
        </w:tc>
      </w:tr>
    </w:tbl>
    <w:p w14:paraId="0BB9BEAB" w14:textId="77777777" w:rsidR="00644EC0" w:rsidRDefault="00644EC0" w:rsidP="00644EC0">
      <w:pPr>
        <w:spacing w:after="0" w:line="240" w:lineRule="auto"/>
      </w:pPr>
    </w:p>
    <w:p w14:paraId="6FD45540" w14:textId="73339FCF" w:rsidR="00644EC0" w:rsidRDefault="00644EC0" w:rsidP="67DE2176">
      <w:pPr>
        <w:spacing w:after="0" w:line="240" w:lineRule="auto"/>
      </w:pPr>
      <w:r>
        <w:t xml:space="preserve">b. Provide link(s) or attach evidence / </w:t>
      </w:r>
      <w:r w:rsidR="69C49363">
        <w:t>artifact</w:t>
      </w:r>
      <w:r>
        <w:t xml:space="preserve">s that support the </w:t>
      </w:r>
      <w:r w:rsidR="0ADFBC78">
        <w:t xml:space="preserve">analysis </w:t>
      </w:r>
      <w:r>
        <w:t>provided above.</w:t>
      </w:r>
    </w:p>
    <w:tbl>
      <w:tblPr>
        <w:tblStyle w:val="TableGrid"/>
        <w:tblW w:w="0" w:type="auto"/>
        <w:tblLook w:val="04A0" w:firstRow="1" w:lastRow="0" w:firstColumn="1" w:lastColumn="0" w:noHBand="0" w:noVBand="1"/>
      </w:tblPr>
      <w:tblGrid>
        <w:gridCol w:w="9350"/>
      </w:tblGrid>
      <w:tr w:rsidR="00644EC0" w14:paraId="43E7DD58" w14:textId="77777777" w:rsidTr="00437790">
        <w:tc>
          <w:tcPr>
            <w:tcW w:w="9350" w:type="dxa"/>
          </w:tcPr>
          <w:p w14:paraId="3FD75BC1" w14:textId="77777777" w:rsidR="00644EC0" w:rsidRDefault="00644EC0" w:rsidP="003A3877">
            <w:r>
              <w:t>Provide EPP evidence here.</w:t>
            </w:r>
          </w:p>
        </w:tc>
      </w:tr>
    </w:tbl>
    <w:p w14:paraId="312357D4" w14:textId="77777777" w:rsidR="00644EC0" w:rsidRDefault="00644EC0" w:rsidP="00644EC0">
      <w:pPr>
        <w:spacing w:after="0" w:line="240" w:lineRule="auto"/>
      </w:pPr>
    </w:p>
    <w:p w14:paraId="33ED3835" w14:textId="51A04771" w:rsidR="00644EC0" w:rsidRPr="0074562B" w:rsidRDefault="00411289" w:rsidP="00644EC0">
      <w:pPr>
        <w:spacing w:after="0" w:line="240" w:lineRule="auto"/>
      </w:pPr>
      <w:r>
        <w:rPr>
          <w:b/>
        </w:rPr>
        <w:t>4</w:t>
      </w:r>
      <w:r w:rsidR="00644EC0" w:rsidRPr="0074562B">
        <w:rPr>
          <w:b/>
        </w:rPr>
        <w:t xml:space="preserve">. Oregon state standard: </w:t>
      </w:r>
      <w:hyperlink r:id="rId13" w:history="1">
        <w:r w:rsidR="00644EC0" w:rsidRPr="00644EC0">
          <w:rPr>
            <w:rStyle w:val="Hyperlink"/>
            <w:b/>
          </w:rPr>
          <w:t>OAR 584-410-00</w:t>
        </w:r>
        <w:r w:rsidR="00644EC0">
          <w:rPr>
            <w:rStyle w:val="Hyperlink"/>
            <w:b/>
          </w:rPr>
          <w:t>9</w:t>
        </w:r>
        <w:r w:rsidR="00644EC0" w:rsidRPr="00644EC0">
          <w:rPr>
            <w:rStyle w:val="Hyperlink"/>
            <w:b/>
          </w:rPr>
          <w:t>0</w:t>
        </w:r>
      </w:hyperlink>
      <w:r w:rsidR="00644EC0" w:rsidRPr="0074562B">
        <w:rPr>
          <w:b/>
        </w:rPr>
        <w:t xml:space="preserve"> – </w:t>
      </w:r>
      <w:r w:rsidR="00644EC0">
        <w:rPr>
          <w:b/>
        </w:rPr>
        <w:t>Educator Preparation Provider Partnerships</w:t>
      </w:r>
      <w:r w:rsidR="00644EC0" w:rsidRPr="0074562B">
        <w:rPr>
          <w:b/>
        </w:rPr>
        <w:t>:</w:t>
      </w:r>
    </w:p>
    <w:p w14:paraId="2E921B14" w14:textId="77777777" w:rsidR="00644EC0" w:rsidRDefault="00644EC0" w:rsidP="00644EC0">
      <w:pPr>
        <w:spacing w:after="0" w:line="240" w:lineRule="auto"/>
      </w:pPr>
      <w:r>
        <w:t>a. Summarize the evidence (through comparison, benchmarking, trend interpretation, etc.) that makes the case that the standard is met.</w:t>
      </w:r>
    </w:p>
    <w:tbl>
      <w:tblPr>
        <w:tblStyle w:val="TableGrid"/>
        <w:tblW w:w="0" w:type="auto"/>
        <w:tblLook w:val="04A0" w:firstRow="1" w:lastRow="0" w:firstColumn="1" w:lastColumn="0" w:noHBand="0" w:noVBand="1"/>
      </w:tblPr>
      <w:tblGrid>
        <w:gridCol w:w="9350"/>
      </w:tblGrid>
      <w:tr w:rsidR="00644EC0" w14:paraId="59F4906A" w14:textId="77777777" w:rsidTr="00437790">
        <w:tc>
          <w:tcPr>
            <w:tcW w:w="9350" w:type="dxa"/>
          </w:tcPr>
          <w:p w14:paraId="36258F3B" w14:textId="77777777" w:rsidR="00644EC0" w:rsidRDefault="00644EC0" w:rsidP="00437790">
            <w:r>
              <w:t xml:space="preserve">Provide </w:t>
            </w:r>
            <w:r w:rsidR="00FB20FD">
              <w:t xml:space="preserve">EPP </w:t>
            </w:r>
            <w:r>
              <w:t>analysis here.</w:t>
            </w:r>
          </w:p>
        </w:tc>
      </w:tr>
    </w:tbl>
    <w:p w14:paraId="16552560" w14:textId="77777777" w:rsidR="00644EC0" w:rsidRDefault="00644EC0" w:rsidP="00644EC0">
      <w:pPr>
        <w:spacing w:after="0" w:line="240" w:lineRule="auto"/>
      </w:pPr>
    </w:p>
    <w:p w14:paraId="5B8798CF" w14:textId="40023104" w:rsidR="00644EC0" w:rsidRDefault="00644EC0" w:rsidP="67DE2176">
      <w:pPr>
        <w:spacing w:after="0" w:line="240" w:lineRule="auto"/>
      </w:pPr>
      <w:r>
        <w:t xml:space="preserve">b. Provide link(s) or attach evidence / </w:t>
      </w:r>
      <w:r w:rsidR="6B05D330">
        <w:t>artifact</w:t>
      </w:r>
      <w:r>
        <w:t xml:space="preserve">s that support the </w:t>
      </w:r>
      <w:r w:rsidR="6029F122">
        <w:t xml:space="preserve">analysis </w:t>
      </w:r>
      <w:r>
        <w:t>provided above.</w:t>
      </w:r>
    </w:p>
    <w:tbl>
      <w:tblPr>
        <w:tblStyle w:val="TableGrid"/>
        <w:tblW w:w="0" w:type="auto"/>
        <w:tblLook w:val="04A0" w:firstRow="1" w:lastRow="0" w:firstColumn="1" w:lastColumn="0" w:noHBand="0" w:noVBand="1"/>
      </w:tblPr>
      <w:tblGrid>
        <w:gridCol w:w="9350"/>
      </w:tblGrid>
      <w:tr w:rsidR="00644EC0" w14:paraId="5E67A510" w14:textId="77777777" w:rsidTr="00437790">
        <w:tc>
          <w:tcPr>
            <w:tcW w:w="9350" w:type="dxa"/>
          </w:tcPr>
          <w:p w14:paraId="7BFE1B3B" w14:textId="77777777" w:rsidR="00644EC0" w:rsidRDefault="00644EC0" w:rsidP="003A3877">
            <w:r>
              <w:t>Provide EPP evidence here.</w:t>
            </w:r>
          </w:p>
        </w:tc>
      </w:tr>
    </w:tbl>
    <w:p w14:paraId="5A0541E3" w14:textId="77777777" w:rsidR="002931E3" w:rsidRPr="002931E3" w:rsidRDefault="002931E3" w:rsidP="002931E3">
      <w:pPr>
        <w:spacing w:after="0" w:line="240" w:lineRule="auto"/>
      </w:pPr>
    </w:p>
    <w:p w14:paraId="102F8984" w14:textId="61858326" w:rsidR="00105D89" w:rsidRPr="00105D89" w:rsidRDefault="00105D89" w:rsidP="002931E3">
      <w:pPr>
        <w:pStyle w:val="NormalWeb"/>
        <w:spacing w:before="0" w:beforeAutospacing="0" w:after="0" w:afterAutospacing="0"/>
        <w:rPr>
          <w:rFonts w:asciiTheme="minorHAnsi" w:hAnsiTheme="minorHAnsi" w:cstheme="minorHAnsi"/>
          <w:sz w:val="22"/>
          <w:szCs w:val="22"/>
        </w:rPr>
      </w:pPr>
      <w:r w:rsidRPr="00105D89">
        <w:rPr>
          <w:rFonts w:asciiTheme="minorHAnsi" w:hAnsiTheme="minorHAnsi" w:cstheme="minorHAnsi"/>
          <w:b/>
          <w:bCs/>
          <w:sz w:val="22"/>
          <w:szCs w:val="22"/>
        </w:rPr>
        <w:t>5. Continuous Improvement:</w:t>
      </w:r>
      <w:r w:rsidRPr="00105D89">
        <w:rPr>
          <w:rFonts w:asciiTheme="minorHAnsi" w:hAnsiTheme="minorHAnsi" w:cstheme="minorHAnsi"/>
          <w:sz w:val="22"/>
          <w:szCs w:val="22"/>
        </w:rPr>
        <w:t xml:space="preserve"> Explain how your EPP will use this analysis to support continuous improvement and strengthen alignment with Oregon’s state standards moving forward.</w:t>
      </w:r>
    </w:p>
    <w:tbl>
      <w:tblPr>
        <w:tblStyle w:val="TableGrid"/>
        <w:tblW w:w="0" w:type="auto"/>
        <w:tblLook w:val="04A0" w:firstRow="1" w:lastRow="0" w:firstColumn="1" w:lastColumn="0" w:noHBand="0" w:noVBand="1"/>
      </w:tblPr>
      <w:tblGrid>
        <w:gridCol w:w="9350"/>
      </w:tblGrid>
      <w:tr w:rsidR="00105D89" w14:paraId="621DDE5B" w14:textId="77777777" w:rsidTr="00105D89">
        <w:tc>
          <w:tcPr>
            <w:tcW w:w="9350" w:type="dxa"/>
          </w:tcPr>
          <w:p w14:paraId="764C246A" w14:textId="57D8BA2C" w:rsidR="00105D89" w:rsidRPr="00105D89" w:rsidRDefault="00105D89" w:rsidP="00105D89">
            <w:pPr>
              <w:pStyle w:val="NormalWeb"/>
              <w:rPr>
                <w:rFonts w:asciiTheme="minorHAnsi" w:hAnsiTheme="minorHAnsi" w:cstheme="minorHAnsi"/>
                <w:sz w:val="22"/>
                <w:szCs w:val="22"/>
              </w:rPr>
            </w:pPr>
            <w:r w:rsidRPr="00105D89">
              <w:rPr>
                <w:rFonts w:asciiTheme="minorHAnsi" w:hAnsiTheme="minorHAnsi" w:cstheme="minorHAnsi"/>
                <w:sz w:val="22"/>
                <w:szCs w:val="22"/>
              </w:rPr>
              <w:t xml:space="preserve">Provide EPP summary here: </w:t>
            </w:r>
          </w:p>
        </w:tc>
      </w:tr>
    </w:tbl>
    <w:p w14:paraId="374E5B45" w14:textId="77777777" w:rsidR="00105D89" w:rsidRPr="00494AAA" w:rsidRDefault="00105D89" w:rsidP="00105D89">
      <w:pPr>
        <w:pStyle w:val="NormalWeb"/>
      </w:pPr>
    </w:p>
    <w:p w14:paraId="02586F6D" w14:textId="77777777" w:rsidR="00105D89" w:rsidRDefault="00105D89" w:rsidP="00FB20FD">
      <w:pPr>
        <w:spacing w:after="0" w:line="240" w:lineRule="auto"/>
        <w:jc w:val="center"/>
        <w:rPr>
          <w:i/>
        </w:rPr>
      </w:pPr>
    </w:p>
    <w:p w14:paraId="37486B96" w14:textId="77777777" w:rsidR="00105D89" w:rsidRDefault="00105D89" w:rsidP="00FB20FD">
      <w:pPr>
        <w:spacing w:after="0" w:line="240" w:lineRule="auto"/>
        <w:jc w:val="center"/>
        <w:rPr>
          <w:i/>
        </w:rPr>
      </w:pPr>
    </w:p>
    <w:p w14:paraId="262BB49A" w14:textId="77777777" w:rsidR="002931E3" w:rsidRDefault="002931E3" w:rsidP="00FB20FD">
      <w:pPr>
        <w:spacing w:after="0" w:line="240" w:lineRule="auto"/>
        <w:jc w:val="center"/>
        <w:rPr>
          <w:i/>
        </w:rPr>
      </w:pPr>
    </w:p>
    <w:p w14:paraId="620B6084" w14:textId="77777777" w:rsidR="002931E3" w:rsidRDefault="002931E3" w:rsidP="00FB20FD">
      <w:pPr>
        <w:spacing w:after="0" w:line="240" w:lineRule="auto"/>
        <w:jc w:val="center"/>
        <w:rPr>
          <w:i/>
        </w:rPr>
      </w:pPr>
    </w:p>
    <w:p w14:paraId="541EC340" w14:textId="77777777" w:rsidR="002931E3" w:rsidRDefault="002931E3" w:rsidP="00FB20FD">
      <w:pPr>
        <w:spacing w:after="0" w:line="240" w:lineRule="auto"/>
        <w:jc w:val="center"/>
        <w:rPr>
          <w:i/>
        </w:rPr>
      </w:pPr>
    </w:p>
    <w:p w14:paraId="6622F980" w14:textId="77777777" w:rsidR="00105D89" w:rsidRDefault="00105D89" w:rsidP="00FB20FD">
      <w:pPr>
        <w:spacing w:after="0" w:line="240" w:lineRule="auto"/>
        <w:jc w:val="center"/>
        <w:rPr>
          <w:i/>
        </w:rPr>
      </w:pPr>
    </w:p>
    <w:p w14:paraId="061C8BE5" w14:textId="77777777" w:rsidR="00105D89" w:rsidRDefault="00105D89" w:rsidP="00FB20FD">
      <w:pPr>
        <w:spacing w:after="0" w:line="240" w:lineRule="auto"/>
        <w:jc w:val="center"/>
        <w:rPr>
          <w:i/>
        </w:rPr>
      </w:pPr>
    </w:p>
    <w:p w14:paraId="2C13D1A1" w14:textId="6B3B42AB" w:rsidR="2DD3AD97" w:rsidRDefault="000F4ED0" w:rsidP="67DE2176">
      <w:pPr>
        <w:spacing w:after="0" w:line="240" w:lineRule="auto"/>
        <w:jc w:val="center"/>
        <w:rPr>
          <w:i/>
          <w:iCs/>
        </w:rPr>
      </w:pPr>
      <w:r w:rsidRPr="67DE2176">
        <w:rPr>
          <w:i/>
          <w:iCs/>
        </w:rPr>
        <w:t xml:space="preserve">Please </w:t>
      </w:r>
      <w:r w:rsidR="003A3877" w:rsidRPr="67DE2176">
        <w:rPr>
          <w:i/>
          <w:iCs/>
        </w:rPr>
        <w:t xml:space="preserve">submit </w:t>
      </w:r>
      <w:r w:rsidRPr="67DE2176">
        <w:rPr>
          <w:i/>
          <w:iCs/>
        </w:rPr>
        <w:t xml:space="preserve">the completed document to </w:t>
      </w:r>
      <w:r w:rsidR="00411289" w:rsidRPr="67DE2176">
        <w:rPr>
          <w:i/>
          <w:iCs/>
        </w:rPr>
        <w:t>Dr.</w:t>
      </w:r>
      <w:r w:rsidR="002931E3">
        <w:rPr>
          <w:i/>
          <w:iCs/>
        </w:rPr>
        <w:t xml:space="preserve"> </w:t>
      </w:r>
      <w:r w:rsidR="2DD3AD97" w:rsidRPr="67DE2176">
        <w:rPr>
          <w:i/>
          <w:iCs/>
        </w:rPr>
        <w:t xml:space="preserve">Bill Rhoades, Director of Educator Preparation &amp; Pathways, </w:t>
      </w:r>
      <w:hyperlink r:id="rId14" w:history="1">
        <w:r w:rsidR="0E6E7D78" w:rsidRPr="002931E3">
          <w:rPr>
            <w:rStyle w:val="Hyperlink"/>
            <w:i/>
            <w:iCs/>
          </w:rPr>
          <w:t>Bill.Rhoades@tspc.oregon.gov</w:t>
        </w:r>
      </w:hyperlink>
    </w:p>
    <w:sectPr w:rsidR="2DD3AD97" w:rsidSect="002416EC">
      <w:footerReference w:type="default" r:id="rId15"/>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A5DB" w14:textId="77777777" w:rsidR="00E75EC0" w:rsidRDefault="00E75EC0" w:rsidP="009B4F13">
      <w:pPr>
        <w:spacing w:after="0" w:line="240" w:lineRule="auto"/>
      </w:pPr>
      <w:r>
        <w:separator/>
      </w:r>
    </w:p>
  </w:endnote>
  <w:endnote w:type="continuationSeparator" w:id="0">
    <w:p w14:paraId="2434517B" w14:textId="77777777" w:rsidR="00E75EC0" w:rsidRDefault="00E75EC0" w:rsidP="009B4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4423" w14:textId="706050CA" w:rsidR="00011AFA" w:rsidRPr="00B96443" w:rsidRDefault="00B96443" w:rsidP="00B96443">
    <w:pPr>
      <w:pStyle w:val="Footer"/>
      <w:pBdr>
        <w:top w:val="single" w:sz="4" w:space="1" w:color="auto"/>
      </w:pBdr>
      <w:rPr>
        <w:rFonts w:ascii="Calibri" w:hAnsi="Calibri"/>
        <w:sz w:val="16"/>
      </w:rPr>
    </w:pPr>
    <w:r w:rsidRPr="00B96443">
      <w:rPr>
        <w:rFonts w:ascii="Calibri" w:hAnsi="Calibri"/>
        <w:sz w:val="16"/>
      </w:rPr>
      <w:t xml:space="preserve">EP\Templates\Unit Review\State-Specific Unit-Level Standards </w:t>
    </w:r>
    <w:r w:rsidR="002931E3">
      <w:rPr>
        <w:rFonts w:ascii="Calibri" w:hAnsi="Calibri"/>
        <w:sz w:val="16"/>
      </w:rPr>
      <w:t xml:space="preserve">Reporting </w:t>
    </w:r>
    <w:r w:rsidRPr="00B96443">
      <w:rPr>
        <w:rFonts w:ascii="Calibri" w:hAnsi="Calibri"/>
        <w:sz w:val="16"/>
      </w:rPr>
      <w:t xml:space="preserve">template | Page </w:t>
    </w:r>
    <w:r w:rsidRPr="00B96443">
      <w:rPr>
        <w:rFonts w:ascii="Calibri" w:hAnsi="Calibri"/>
        <w:sz w:val="16"/>
      </w:rPr>
      <w:fldChar w:fldCharType="begin"/>
    </w:r>
    <w:r w:rsidRPr="00B96443">
      <w:rPr>
        <w:rFonts w:ascii="Calibri" w:hAnsi="Calibri"/>
        <w:sz w:val="16"/>
      </w:rPr>
      <w:instrText xml:space="preserve"> PAGE   \* MERGEFORMAT </w:instrText>
    </w:r>
    <w:r w:rsidRPr="00B96443">
      <w:rPr>
        <w:rFonts w:ascii="Calibri" w:hAnsi="Calibri"/>
        <w:sz w:val="16"/>
      </w:rPr>
      <w:fldChar w:fldCharType="separate"/>
    </w:r>
    <w:r>
      <w:rPr>
        <w:rFonts w:ascii="Calibri" w:hAnsi="Calibri"/>
        <w:noProof/>
        <w:sz w:val="16"/>
      </w:rPr>
      <w:t>1</w:t>
    </w:r>
    <w:r w:rsidRPr="00B96443">
      <w:rPr>
        <w:rFonts w:ascii="Calibri" w:hAnsi="Calibri"/>
        <w:noProof/>
        <w:sz w:val="16"/>
      </w:rPr>
      <w:fldChar w:fldCharType="end"/>
    </w:r>
    <w:r>
      <w:rPr>
        <w:rFonts w:ascii="Calibri" w:hAnsi="Calibri"/>
        <w:noProof/>
        <w:sz w:val="16"/>
      </w:rPr>
      <w:tab/>
    </w:r>
    <w:r w:rsidR="002931E3" w:rsidRPr="002931E3">
      <w:rPr>
        <w:rFonts w:ascii="Calibri" w:hAnsi="Calibri"/>
        <w:iCs/>
        <w:noProof/>
        <w:sz w:val="16"/>
      </w:rPr>
      <w:t>U</w:t>
    </w:r>
    <w:r w:rsidR="00994C63" w:rsidRPr="002931E3">
      <w:rPr>
        <w:rFonts w:ascii="Calibri" w:hAnsi="Calibri"/>
        <w:iCs/>
        <w:noProof/>
        <w:sz w:val="16"/>
      </w:rPr>
      <w:t>p</w:t>
    </w:r>
    <w:r w:rsidR="00994C63">
      <w:rPr>
        <w:rFonts w:ascii="Calibri" w:hAnsi="Calibri"/>
        <w:noProof/>
        <w:sz w:val="16"/>
      </w:rPr>
      <w:t xml:space="preserve">dated: </w:t>
    </w:r>
    <w:r w:rsidR="002931E3">
      <w:rPr>
        <w:rFonts w:ascii="Calibri" w:hAnsi="Calibri"/>
        <w:noProof/>
        <w:sz w:val="16"/>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0C63" w14:textId="77777777" w:rsidR="00E75EC0" w:rsidRDefault="00E75EC0" w:rsidP="009B4F13">
      <w:pPr>
        <w:spacing w:after="0" w:line="240" w:lineRule="auto"/>
      </w:pPr>
      <w:r>
        <w:separator/>
      </w:r>
    </w:p>
  </w:footnote>
  <w:footnote w:type="continuationSeparator" w:id="0">
    <w:p w14:paraId="005E5B99" w14:textId="77777777" w:rsidR="00E75EC0" w:rsidRDefault="00E75EC0" w:rsidP="009B4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D142A"/>
    <w:multiLevelType w:val="hybridMultilevel"/>
    <w:tmpl w:val="0AD61BA2"/>
    <w:lvl w:ilvl="0" w:tplc="C0E0D3B2">
      <w:start w:val="20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B07EF"/>
    <w:multiLevelType w:val="hybridMultilevel"/>
    <w:tmpl w:val="BD54DD72"/>
    <w:lvl w:ilvl="0" w:tplc="A38A4DD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147478">
    <w:abstractNumId w:val="0"/>
  </w:num>
  <w:num w:numId="2" w16cid:durableId="1951623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398"/>
    <w:rsid w:val="00005B9D"/>
    <w:rsid w:val="00011AFA"/>
    <w:rsid w:val="0001384C"/>
    <w:rsid w:val="00015EB6"/>
    <w:rsid w:val="0002298D"/>
    <w:rsid w:val="000358D8"/>
    <w:rsid w:val="0004106F"/>
    <w:rsid w:val="00043EC3"/>
    <w:rsid w:val="00047740"/>
    <w:rsid w:val="000566BD"/>
    <w:rsid w:val="00057F47"/>
    <w:rsid w:val="00061915"/>
    <w:rsid w:val="00063583"/>
    <w:rsid w:val="00072BFF"/>
    <w:rsid w:val="00081DF6"/>
    <w:rsid w:val="00092860"/>
    <w:rsid w:val="00096812"/>
    <w:rsid w:val="00097C37"/>
    <w:rsid w:val="000A6CF5"/>
    <w:rsid w:val="000C10A5"/>
    <w:rsid w:val="000D07C3"/>
    <w:rsid w:val="000D640A"/>
    <w:rsid w:val="000E0F12"/>
    <w:rsid w:val="000E25F0"/>
    <w:rsid w:val="000E7507"/>
    <w:rsid w:val="000F4ED0"/>
    <w:rsid w:val="00100FD6"/>
    <w:rsid w:val="001010FF"/>
    <w:rsid w:val="00102B11"/>
    <w:rsid w:val="00105D89"/>
    <w:rsid w:val="001065E5"/>
    <w:rsid w:val="00112F1E"/>
    <w:rsid w:val="00114436"/>
    <w:rsid w:val="00120E18"/>
    <w:rsid w:val="00122398"/>
    <w:rsid w:val="00124C7B"/>
    <w:rsid w:val="00124EBF"/>
    <w:rsid w:val="00133F02"/>
    <w:rsid w:val="00135BB2"/>
    <w:rsid w:val="00171687"/>
    <w:rsid w:val="0018610A"/>
    <w:rsid w:val="00194DCB"/>
    <w:rsid w:val="001A4970"/>
    <w:rsid w:val="001A7A7D"/>
    <w:rsid w:val="001B50F2"/>
    <w:rsid w:val="001B5834"/>
    <w:rsid w:val="001B5FB6"/>
    <w:rsid w:val="001C14F5"/>
    <w:rsid w:val="001C487C"/>
    <w:rsid w:val="001C67DE"/>
    <w:rsid w:val="001D6864"/>
    <w:rsid w:val="001E4749"/>
    <w:rsid w:val="001E7192"/>
    <w:rsid w:val="001F241F"/>
    <w:rsid w:val="00212086"/>
    <w:rsid w:val="00216BF7"/>
    <w:rsid w:val="00224392"/>
    <w:rsid w:val="002340E8"/>
    <w:rsid w:val="002416EC"/>
    <w:rsid w:val="0024444F"/>
    <w:rsid w:val="002446E2"/>
    <w:rsid w:val="002470E8"/>
    <w:rsid w:val="00250737"/>
    <w:rsid w:val="00256B3E"/>
    <w:rsid w:val="0026128D"/>
    <w:rsid w:val="00264FB3"/>
    <w:rsid w:val="0026571B"/>
    <w:rsid w:val="00273786"/>
    <w:rsid w:val="00280F3B"/>
    <w:rsid w:val="00290F59"/>
    <w:rsid w:val="002931E3"/>
    <w:rsid w:val="0029425B"/>
    <w:rsid w:val="002A205F"/>
    <w:rsid w:val="002A69E4"/>
    <w:rsid w:val="002A7516"/>
    <w:rsid w:val="002B142A"/>
    <w:rsid w:val="002C52F7"/>
    <w:rsid w:val="002C65B1"/>
    <w:rsid w:val="002D1323"/>
    <w:rsid w:val="002D2C2E"/>
    <w:rsid w:val="002D3C2C"/>
    <w:rsid w:val="002D5327"/>
    <w:rsid w:val="002D5872"/>
    <w:rsid w:val="002D6EFF"/>
    <w:rsid w:val="002D7909"/>
    <w:rsid w:val="002E332B"/>
    <w:rsid w:val="00306A0B"/>
    <w:rsid w:val="00306F27"/>
    <w:rsid w:val="003121C8"/>
    <w:rsid w:val="0031536B"/>
    <w:rsid w:val="003209B6"/>
    <w:rsid w:val="003313A6"/>
    <w:rsid w:val="0034171D"/>
    <w:rsid w:val="00345D53"/>
    <w:rsid w:val="003478BE"/>
    <w:rsid w:val="003724CD"/>
    <w:rsid w:val="003922A5"/>
    <w:rsid w:val="003A3877"/>
    <w:rsid w:val="003A6263"/>
    <w:rsid w:val="003A7838"/>
    <w:rsid w:val="003D5278"/>
    <w:rsid w:val="003E3230"/>
    <w:rsid w:val="003F3A45"/>
    <w:rsid w:val="004069EC"/>
    <w:rsid w:val="00411289"/>
    <w:rsid w:val="00427947"/>
    <w:rsid w:val="0043079F"/>
    <w:rsid w:val="00436EED"/>
    <w:rsid w:val="00437790"/>
    <w:rsid w:val="0045463D"/>
    <w:rsid w:val="0045730C"/>
    <w:rsid w:val="00466002"/>
    <w:rsid w:val="0046765C"/>
    <w:rsid w:val="00472E44"/>
    <w:rsid w:val="00482636"/>
    <w:rsid w:val="00484139"/>
    <w:rsid w:val="00491EDC"/>
    <w:rsid w:val="00494A84"/>
    <w:rsid w:val="00494AAA"/>
    <w:rsid w:val="004A0EAA"/>
    <w:rsid w:val="004A345F"/>
    <w:rsid w:val="004A51E1"/>
    <w:rsid w:val="004B181B"/>
    <w:rsid w:val="004B78C3"/>
    <w:rsid w:val="004C6A0A"/>
    <w:rsid w:val="004D53EF"/>
    <w:rsid w:val="004E1307"/>
    <w:rsid w:val="004E4184"/>
    <w:rsid w:val="004F6605"/>
    <w:rsid w:val="004F731B"/>
    <w:rsid w:val="0050097D"/>
    <w:rsid w:val="00501365"/>
    <w:rsid w:val="00512D3E"/>
    <w:rsid w:val="0051382C"/>
    <w:rsid w:val="005142CB"/>
    <w:rsid w:val="0051648D"/>
    <w:rsid w:val="0052401C"/>
    <w:rsid w:val="00536B6A"/>
    <w:rsid w:val="00543E44"/>
    <w:rsid w:val="00564D49"/>
    <w:rsid w:val="005654D0"/>
    <w:rsid w:val="005658BF"/>
    <w:rsid w:val="00566CF6"/>
    <w:rsid w:val="00570000"/>
    <w:rsid w:val="00571C3A"/>
    <w:rsid w:val="00576C87"/>
    <w:rsid w:val="00592731"/>
    <w:rsid w:val="005948F2"/>
    <w:rsid w:val="005B08F3"/>
    <w:rsid w:val="005C311C"/>
    <w:rsid w:val="005F298D"/>
    <w:rsid w:val="006100AC"/>
    <w:rsid w:val="0064010B"/>
    <w:rsid w:val="00643700"/>
    <w:rsid w:val="00644EC0"/>
    <w:rsid w:val="00646582"/>
    <w:rsid w:val="00651DB6"/>
    <w:rsid w:val="0065316E"/>
    <w:rsid w:val="00663E9F"/>
    <w:rsid w:val="00666E3D"/>
    <w:rsid w:val="00671293"/>
    <w:rsid w:val="0068352A"/>
    <w:rsid w:val="006927B8"/>
    <w:rsid w:val="006A0D45"/>
    <w:rsid w:val="006C24EA"/>
    <w:rsid w:val="006C2B95"/>
    <w:rsid w:val="006D2F91"/>
    <w:rsid w:val="006D4AA7"/>
    <w:rsid w:val="00707F11"/>
    <w:rsid w:val="00711D67"/>
    <w:rsid w:val="00711E56"/>
    <w:rsid w:val="007132E7"/>
    <w:rsid w:val="007144CE"/>
    <w:rsid w:val="00727CF5"/>
    <w:rsid w:val="00737814"/>
    <w:rsid w:val="0074562B"/>
    <w:rsid w:val="00746E5D"/>
    <w:rsid w:val="00747F6B"/>
    <w:rsid w:val="007550D7"/>
    <w:rsid w:val="00765FD1"/>
    <w:rsid w:val="00772CE7"/>
    <w:rsid w:val="00772FB4"/>
    <w:rsid w:val="00774CAA"/>
    <w:rsid w:val="0077507D"/>
    <w:rsid w:val="007850BF"/>
    <w:rsid w:val="00790494"/>
    <w:rsid w:val="00792F13"/>
    <w:rsid w:val="00794750"/>
    <w:rsid w:val="007A7A94"/>
    <w:rsid w:val="007B14AF"/>
    <w:rsid w:val="007B58E6"/>
    <w:rsid w:val="007C1535"/>
    <w:rsid w:val="007C4878"/>
    <w:rsid w:val="007C6F3E"/>
    <w:rsid w:val="007E1D5B"/>
    <w:rsid w:val="007E2E87"/>
    <w:rsid w:val="007F7248"/>
    <w:rsid w:val="00801DCF"/>
    <w:rsid w:val="00814EE1"/>
    <w:rsid w:val="00840F37"/>
    <w:rsid w:val="00844419"/>
    <w:rsid w:val="00853575"/>
    <w:rsid w:val="008570CC"/>
    <w:rsid w:val="0085724D"/>
    <w:rsid w:val="008738FD"/>
    <w:rsid w:val="00877672"/>
    <w:rsid w:val="00877B76"/>
    <w:rsid w:val="008871E5"/>
    <w:rsid w:val="00892F5F"/>
    <w:rsid w:val="008A2E34"/>
    <w:rsid w:val="008A6B85"/>
    <w:rsid w:val="008B2CA6"/>
    <w:rsid w:val="008B4EF5"/>
    <w:rsid w:val="008B67AB"/>
    <w:rsid w:val="008C2821"/>
    <w:rsid w:val="008C6290"/>
    <w:rsid w:val="008D14BF"/>
    <w:rsid w:val="008D5E44"/>
    <w:rsid w:val="008E77E4"/>
    <w:rsid w:val="008F21B8"/>
    <w:rsid w:val="008F67B3"/>
    <w:rsid w:val="008F6AA7"/>
    <w:rsid w:val="0090402A"/>
    <w:rsid w:val="009150EF"/>
    <w:rsid w:val="0091602F"/>
    <w:rsid w:val="0091796B"/>
    <w:rsid w:val="00920A89"/>
    <w:rsid w:val="00945641"/>
    <w:rsid w:val="00947624"/>
    <w:rsid w:val="00952AA2"/>
    <w:rsid w:val="0095407F"/>
    <w:rsid w:val="009542A7"/>
    <w:rsid w:val="00963718"/>
    <w:rsid w:val="00964D8D"/>
    <w:rsid w:val="00977068"/>
    <w:rsid w:val="00994C63"/>
    <w:rsid w:val="00997E51"/>
    <w:rsid w:val="009A0A32"/>
    <w:rsid w:val="009B03FB"/>
    <w:rsid w:val="009B4F13"/>
    <w:rsid w:val="009C4EC4"/>
    <w:rsid w:val="009C5436"/>
    <w:rsid w:val="009E02FB"/>
    <w:rsid w:val="009E4DFA"/>
    <w:rsid w:val="009E7042"/>
    <w:rsid w:val="009F2327"/>
    <w:rsid w:val="00A0295F"/>
    <w:rsid w:val="00A05E15"/>
    <w:rsid w:val="00A13654"/>
    <w:rsid w:val="00A173D3"/>
    <w:rsid w:val="00A354AE"/>
    <w:rsid w:val="00A422F5"/>
    <w:rsid w:val="00A56857"/>
    <w:rsid w:val="00A66BEA"/>
    <w:rsid w:val="00A706DF"/>
    <w:rsid w:val="00A723F2"/>
    <w:rsid w:val="00A72D3B"/>
    <w:rsid w:val="00A77FD2"/>
    <w:rsid w:val="00A801FD"/>
    <w:rsid w:val="00A809FF"/>
    <w:rsid w:val="00A82B39"/>
    <w:rsid w:val="00A831D8"/>
    <w:rsid w:val="00A96BAD"/>
    <w:rsid w:val="00AA1E27"/>
    <w:rsid w:val="00AB21A5"/>
    <w:rsid w:val="00AB6560"/>
    <w:rsid w:val="00AB7074"/>
    <w:rsid w:val="00AD0BB7"/>
    <w:rsid w:val="00AF153C"/>
    <w:rsid w:val="00AF7507"/>
    <w:rsid w:val="00B019CA"/>
    <w:rsid w:val="00B22E02"/>
    <w:rsid w:val="00B32A69"/>
    <w:rsid w:val="00B34E61"/>
    <w:rsid w:val="00B358FF"/>
    <w:rsid w:val="00B35DEB"/>
    <w:rsid w:val="00B37F91"/>
    <w:rsid w:val="00B40847"/>
    <w:rsid w:val="00B44C23"/>
    <w:rsid w:val="00B45F1D"/>
    <w:rsid w:val="00B47CEC"/>
    <w:rsid w:val="00B5320F"/>
    <w:rsid w:val="00B536CB"/>
    <w:rsid w:val="00B54E86"/>
    <w:rsid w:val="00B603BA"/>
    <w:rsid w:val="00B66D01"/>
    <w:rsid w:val="00B74BCC"/>
    <w:rsid w:val="00B938D2"/>
    <w:rsid w:val="00B95517"/>
    <w:rsid w:val="00B96443"/>
    <w:rsid w:val="00BB3E40"/>
    <w:rsid w:val="00BC1D1B"/>
    <w:rsid w:val="00BC20B0"/>
    <w:rsid w:val="00BE274E"/>
    <w:rsid w:val="00BE38D0"/>
    <w:rsid w:val="00BF1C60"/>
    <w:rsid w:val="00BF26BA"/>
    <w:rsid w:val="00C0183E"/>
    <w:rsid w:val="00C041AA"/>
    <w:rsid w:val="00C057ED"/>
    <w:rsid w:val="00C13C2E"/>
    <w:rsid w:val="00C1516E"/>
    <w:rsid w:val="00C21339"/>
    <w:rsid w:val="00C34041"/>
    <w:rsid w:val="00C36817"/>
    <w:rsid w:val="00C3722D"/>
    <w:rsid w:val="00C52F5C"/>
    <w:rsid w:val="00C54778"/>
    <w:rsid w:val="00C66DC5"/>
    <w:rsid w:val="00C7306B"/>
    <w:rsid w:val="00C81FA3"/>
    <w:rsid w:val="00C82E05"/>
    <w:rsid w:val="00C83D02"/>
    <w:rsid w:val="00C8624A"/>
    <w:rsid w:val="00C90AE7"/>
    <w:rsid w:val="00C9286C"/>
    <w:rsid w:val="00C92DD2"/>
    <w:rsid w:val="00CA294F"/>
    <w:rsid w:val="00CB073E"/>
    <w:rsid w:val="00CB3A13"/>
    <w:rsid w:val="00CB747A"/>
    <w:rsid w:val="00CC4D2F"/>
    <w:rsid w:val="00CD3151"/>
    <w:rsid w:val="00CD73CC"/>
    <w:rsid w:val="00CD7AC3"/>
    <w:rsid w:val="00CE561E"/>
    <w:rsid w:val="00D27F14"/>
    <w:rsid w:val="00D341B7"/>
    <w:rsid w:val="00D379BA"/>
    <w:rsid w:val="00D40AEC"/>
    <w:rsid w:val="00D62665"/>
    <w:rsid w:val="00D658B9"/>
    <w:rsid w:val="00D81D06"/>
    <w:rsid w:val="00D84618"/>
    <w:rsid w:val="00D9050F"/>
    <w:rsid w:val="00D90B6A"/>
    <w:rsid w:val="00D9134A"/>
    <w:rsid w:val="00DB2B35"/>
    <w:rsid w:val="00DB5926"/>
    <w:rsid w:val="00DC21AD"/>
    <w:rsid w:val="00DE3CC2"/>
    <w:rsid w:val="00DE6AA0"/>
    <w:rsid w:val="00DE6B8A"/>
    <w:rsid w:val="00DE6C45"/>
    <w:rsid w:val="00DF0776"/>
    <w:rsid w:val="00E01642"/>
    <w:rsid w:val="00E21BD9"/>
    <w:rsid w:val="00E22B19"/>
    <w:rsid w:val="00E26523"/>
    <w:rsid w:val="00E306CD"/>
    <w:rsid w:val="00E348C3"/>
    <w:rsid w:val="00E5352B"/>
    <w:rsid w:val="00E66872"/>
    <w:rsid w:val="00E71374"/>
    <w:rsid w:val="00E74FF7"/>
    <w:rsid w:val="00E75EC0"/>
    <w:rsid w:val="00E77306"/>
    <w:rsid w:val="00E83474"/>
    <w:rsid w:val="00E95B9B"/>
    <w:rsid w:val="00EA3A74"/>
    <w:rsid w:val="00EC498C"/>
    <w:rsid w:val="00EC65FA"/>
    <w:rsid w:val="00ED075E"/>
    <w:rsid w:val="00ED2766"/>
    <w:rsid w:val="00ED2E03"/>
    <w:rsid w:val="00ED7808"/>
    <w:rsid w:val="00EE2335"/>
    <w:rsid w:val="00EE5579"/>
    <w:rsid w:val="00EF3051"/>
    <w:rsid w:val="00EF74FC"/>
    <w:rsid w:val="00F05799"/>
    <w:rsid w:val="00F121E2"/>
    <w:rsid w:val="00F24791"/>
    <w:rsid w:val="00F27D60"/>
    <w:rsid w:val="00F31433"/>
    <w:rsid w:val="00F44237"/>
    <w:rsid w:val="00F44E1C"/>
    <w:rsid w:val="00F46894"/>
    <w:rsid w:val="00F82A98"/>
    <w:rsid w:val="00F8481B"/>
    <w:rsid w:val="00F90856"/>
    <w:rsid w:val="00F90EAD"/>
    <w:rsid w:val="00F90F7C"/>
    <w:rsid w:val="00F9454C"/>
    <w:rsid w:val="00FA3AC0"/>
    <w:rsid w:val="00FB20FD"/>
    <w:rsid w:val="00FB436A"/>
    <w:rsid w:val="00FD1406"/>
    <w:rsid w:val="00FD519D"/>
    <w:rsid w:val="00FE35F8"/>
    <w:rsid w:val="00FE4D6B"/>
    <w:rsid w:val="00FE755A"/>
    <w:rsid w:val="00FF0ECC"/>
    <w:rsid w:val="00FF1788"/>
    <w:rsid w:val="00FF353C"/>
    <w:rsid w:val="016D0E8B"/>
    <w:rsid w:val="0AAD29E9"/>
    <w:rsid w:val="0ADFBC78"/>
    <w:rsid w:val="0E6E7D78"/>
    <w:rsid w:val="1228D2EA"/>
    <w:rsid w:val="22827C66"/>
    <w:rsid w:val="2622F4C2"/>
    <w:rsid w:val="2DD3AD97"/>
    <w:rsid w:val="310355AF"/>
    <w:rsid w:val="3218072C"/>
    <w:rsid w:val="338F0C8C"/>
    <w:rsid w:val="39C177D2"/>
    <w:rsid w:val="41EB00D2"/>
    <w:rsid w:val="4255FB09"/>
    <w:rsid w:val="47F356D3"/>
    <w:rsid w:val="4B8030A4"/>
    <w:rsid w:val="4F33DA6A"/>
    <w:rsid w:val="6029F122"/>
    <w:rsid w:val="67DE2176"/>
    <w:rsid w:val="69C49363"/>
    <w:rsid w:val="6B05D330"/>
    <w:rsid w:val="773AC5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438DD"/>
  <w15:chartTrackingRefBased/>
  <w15:docId w15:val="{2EEAF77E-DD47-45DA-AAB7-5B9A25FF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F13"/>
  </w:style>
  <w:style w:type="paragraph" w:styleId="Footer">
    <w:name w:val="footer"/>
    <w:basedOn w:val="Normal"/>
    <w:link w:val="FooterChar"/>
    <w:uiPriority w:val="99"/>
    <w:unhideWhenUsed/>
    <w:rsid w:val="009B4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F13"/>
  </w:style>
  <w:style w:type="paragraph" w:styleId="ListParagraph">
    <w:name w:val="List Paragraph"/>
    <w:basedOn w:val="Normal"/>
    <w:uiPriority w:val="34"/>
    <w:qFormat/>
    <w:rsid w:val="009B4F13"/>
    <w:pPr>
      <w:ind w:left="720"/>
      <w:contextualSpacing/>
    </w:pPr>
  </w:style>
  <w:style w:type="table" w:styleId="TableGrid">
    <w:name w:val="Table Grid"/>
    <w:basedOn w:val="TableNormal"/>
    <w:uiPriority w:val="39"/>
    <w:rsid w:val="009B4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6290"/>
    <w:rPr>
      <w:sz w:val="16"/>
      <w:szCs w:val="16"/>
    </w:rPr>
  </w:style>
  <w:style w:type="paragraph" w:styleId="CommentText">
    <w:name w:val="annotation text"/>
    <w:basedOn w:val="Normal"/>
    <w:link w:val="CommentTextChar"/>
    <w:uiPriority w:val="99"/>
    <w:semiHidden/>
    <w:unhideWhenUsed/>
    <w:rsid w:val="008C6290"/>
    <w:pPr>
      <w:spacing w:line="240" w:lineRule="auto"/>
    </w:pPr>
    <w:rPr>
      <w:sz w:val="20"/>
      <w:szCs w:val="20"/>
    </w:rPr>
  </w:style>
  <w:style w:type="character" w:customStyle="1" w:styleId="CommentTextChar">
    <w:name w:val="Comment Text Char"/>
    <w:basedOn w:val="DefaultParagraphFont"/>
    <w:link w:val="CommentText"/>
    <w:uiPriority w:val="99"/>
    <w:semiHidden/>
    <w:rsid w:val="008C6290"/>
    <w:rPr>
      <w:sz w:val="20"/>
      <w:szCs w:val="20"/>
    </w:rPr>
  </w:style>
  <w:style w:type="paragraph" w:styleId="CommentSubject">
    <w:name w:val="annotation subject"/>
    <w:basedOn w:val="CommentText"/>
    <w:next w:val="CommentText"/>
    <w:link w:val="CommentSubjectChar"/>
    <w:uiPriority w:val="99"/>
    <w:semiHidden/>
    <w:unhideWhenUsed/>
    <w:rsid w:val="008C6290"/>
    <w:rPr>
      <w:b/>
      <w:bCs/>
    </w:rPr>
  </w:style>
  <w:style w:type="character" w:customStyle="1" w:styleId="CommentSubjectChar">
    <w:name w:val="Comment Subject Char"/>
    <w:basedOn w:val="CommentTextChar"/>
    <w:link w:val="CommentSubject"/>
    <w:uiPriority w:val="99"/>
    <w:semiHidden/>
    <w:rsid w:val="008C6290"/>
    <w:rPr>
      <w:b/>
      <w:bCs/>
      <w:sz w:val="20"/>
      <w:szCs w:val="20"/>
    </w:rPr>
  </w:style>
  <w:style w:type="paragraph" w:styleId="BalloonText">
    <w:name w:val="Balloon Text"/>
    <w:basedOn w:val="Normal"/>
    <w:link w:val="BalloonTextChar"/>
    <w:uiPriority w:val="99"/>
    <w:semiHidden/>
    <w:unhideWhenUsed/>
    <w:rsid w:val="008C6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290"/>
    <w:rPr>
      <w:rFonts w:ascii="Segoe UI" w:hAnsi="Segoe UI" w:cs="Segoe UI"/>
      <w:sz w:val="18"/>
      <w:szCs w:val="18"/>
    </w:rPr>
  </w:style>
  <w:style w:type="character" w:styleId="Hyperlink">
    <w:name w:val="Hyperlink"/>
    <w:basedOn w:val="DefaultParagraphFont"/>
    <w:uiPriority w:val="99"/>
    <w:unhideWhenUsed/>
    <w:rsid w:val="000F4ED0"/>
    <w:rPr>
      <w:color w:val="0563C1" w:themeColor="hyperlink"/>
      <w:u w:val="single"/>
    </w:rPr>
  </w:style>
  <w:style w:type="character" w:styleId="FollowedHyperlink">
    <w:name w:val="FollowedHyperlink"/>
    <w:basedOn w:val="DefaultParagraphFont"/>
    <w:uiPriority w:val="99"/>
    <w:semiHidden/>
    <w:unhideWhenUsed/>
    <w:rsid w:val="00411289"/>
    <w:rPr>
      <w:color w:val="954F72" w:themeColor="followedHyperlink"/>
      <w:u w:val="single"/>
    </w:rPr>
  </w:style>
  <w:style w:type="paragraph" w:styleId="NormalWeb">
    <w:name w:val="Normal (Web)"/>
    <w:basedOn w:val="Normal"/>
    <w:uiPriority w:val="99"/>
    <w:semiHidden/>
    <w:unhideWhenUsed/>
    <w:rsid w:val="00E74FF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93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ure.sos.state.or.us/oard/viewSingleRule.action?ruleVrsnRsn=244717"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sos.state.or.us/oard/viewSingleRule.action?ruleVrsnRsn=2447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sos.state.or.us/oard/viewSingleRule.action?ruleVrsnRsn=30647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cure.sos.state.or.us/oard/viewSingleRule.action;JSESSIONID_OARD=B3oE1K_wUP8lggCrGXyVOxiw7l31TO_fTT0ruXqOmtq5i9D01AZO!568786841?ruleVrsnRsn=244715"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auth.oregon.gov/tspc/EPP/Documents/TSPC_Programs_Program_Approval_Process/Reporting%20State%20Specific%20Standards%20-%20Graphic.pdf" TargetMode="External"/><Relationship Id="rId14" Type="http://schemas.openxmlformats.org/officeDocument/2006/relationships/hyperlink" Target="mailto:Bill.Rhoades@tspc.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6E0B15-D22B-43D1-8C28-836AE553075B}">
  <ds:schemaRefs>
    <ds:schemaRef ds:uri="http://schemas.openxmlformats.org/officeDocument/2006/bibliography"/>
  </ds:schemaRefs>
</ds:datastoreItem>
</file>

<file path=customXml/itemProps2.xml><?xml version="1.0" encoding="utf-8"?>
<ds:datastoreItem xmlns:ds="http://schemas.openxmlformats.org/officeDocument/2006/customXml" ds:itemID="{1162E351-3B69-406C-8187-D50D440B958A}"/>
</file>

<file path=customXml/itemProps3.xml><?xml version="1.0" encoding="utf-8"?>
<ds:datastoreItem xmlns:ds="http://schemas.openxmlformats.org/officeDocument/2006/customXml" ds:itemID="{1BCAAF35-A285-4516-80B6-75C570C4371E}"/>
</file>

<file path=customXml/itemProps4.xml><?xml version="1.0" encoding="utf-8"?>
<ds:datastoreItem xmlns:ds="http://schemas.openxmlformats.org/officeDocument/2006/customXml" ds:itemID="{02D5D4C5-CF83-4912-BEF9-F33E65D08494}"/>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92</TotalTime>
  <Pages>2</Pages>
  <Words>584</Words>
  <Characters>3756</Characters>
  <Application>Microsoft Office Word</Application>
  <DocSecurity>0</DocSecurity>
  <Lines>69</Lines>
  <Paragraphs>33</Paragraphs>
  <ScaleCrop>false</ScaleCrop>
  <Company>State of Oregon - DAS</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ROBBECKE Candace * TSPC</dc:creator>
  <cp:keywords/>
  <dc:description/>
  <cp:lastModifiedBy>KROTTS Richelle * TSPC</cp:lastModifiedBy>
  <cp:revision>7</cp:revision>
  <cp:lastPrinted>2019-04-09T16:43:00Z</cp:lastPrinted>
  <dcterms:created xsi:type="dcterms:W3CDTF">2026-04-09T15:41:00Z</dcterms:created>
  <dcterms:modified xsi:type="dcterms:W3CDTF">2026-04-09T17:24:00Z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2023-11-13T23:54:13Z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42ed23f0-304a-4480-a648-f3e567f2b165</vt:lpwstr>
  </property>
  <property fmtid="{D5CDD505-2E9C-101B-9397-08002B2CF9AE}" pid="8" name="MSIP_Label_09b73270-2993-4076-be47-9c78f42a1e84_ContentBits">
    <vt:lpwstr>0</vt:lpwstr>
  </property>
  <property fmtid="{D5CDD505-2E9C-101B-9397-08002B2CF9AE}" pid="9" name="ContentTypeId">
    <vt:lpwstr>0x010100DF93E540996D9649B6BD79A172D17BA0</vt:lpwstr>
  </property>
</Properties>
</file>